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8AF" w:rsidP="007228AF" w:rsidRDefault="007228AF" w14:paraId="615933B4" w14:textId="77777777">
      <w:r>
        <w:t>Geachte voorzitter,</w:t>
      </w:r>
    </w:p>
    <w:p w:rsidR="007228AF" w:rsidP="007228AF" w:rsidRDefault="007228AF" w14:paraId="36217727" w14:textId="77777777"/>
    <w:p w:rsidR="007228AF" w:rsidP="007228AF" w:rsidRDefault="007228AF" w14:paraId="3CE4E930" w14:textId="77777777">
      <w:r>
        <w:t>Tijdens het commissiedebat van 2 april 2025 over de beleidsbrief Ontwikkelingshulp heeft de voormalige minister voor Buitenlandse Handel en Ontwikkelingshulp toegezegd de Kamer schriftelijk te informeren over hoe ontwikkelingshulp meer gebonden wordt aan het Nederlandse verdienvermogen en met name het Nederlandse bedrijfsleven. Tevens is er een tweetal moties ingediend door lid Ram (PVV) op 27 mei 2025 (motie 160</w:t>
      </w:r>
      <w:r>
        <w:rPr>
          <w:rStyle w:val="FootnoteReference"/>
        </w:rPr>
        <w:footnoteReference w:id="2"/>
      </w:r>
      <w:r>
        <w:t xml:space="preserve"> en 161</w:t>
      </w:r>
      <w:r>
        <w:rPr>
          <w:rStyle w:val="FootnoteReference"/>
        </w:rPr>
        <w:footnoteReference w:id="3"/>
      </w:r>
      <w:r>
        <w:t xml:space="preserve">). Met deze brief informeer ik uw Kamer over </w:t>
      </w:r>
      <w:r w:rsidRPr="00122BE0">
        <w:t>de toezegging</w:t>
      </w:r>
      <w:r>
        <w:t xml:space="preserve"> en de opvolging van beide moties. </w:t>
      </w:r>
    </w:p>
    <w:p w:rsidR="007228AF" w:rsidP="007228AF" w:rsidRDefault="007228AF" w14:paraId="34D29DFF" w14:textId="77777777"/>
    <w:p w:rsidR="007228AF" w:rsidP="007228AF" w:rsidRDefault="007228AF" w14:paraId="0F040506" w14:textId="3EA3FDA1">
      <w:r>
        <w:t>Voorafgaand aan dit commissiedebat is in de beleidsbrief</w:t>
      </w:r>
      <w:r>
        <w:rPr>
          <w:rStyle w:val="FootnoteReference"/>
        </w:rPr>
        <w:footnoteReference w:id="4"/>
      </w:r>
      <w:r>
        <w:t xml:space="preserve"> ontwikkelingshulp van 20 februari 2025 het voornemen van het kabinet opgenomen om Nederlandse bedrijven beter te positioneren voor internationale opdrachten door te onderzoeken hoe innovatieve opties kunnen worden toegevoegd aan het DRIVE instrumentarium voor infrastructuur. Bij de modernisering van DRIVE is onder andere gekeken naar de introductie van elementen van binding en het aanbieden van meer maatwerkoplossingen voor financiering</w:t>
      </w:r>
      <w:r w:rsidR="002C55E8">
        <w:t>,</w:t>
      </w:r>
      <w:r>
        <w:t xml:space="preserve"> bijvoorbeeld </w:t>
      </w:r>
      <w:r w:rsidR="002C55E8">
        <w:t xml:space="preserve">via </w:t>
      </w:r>
      <w:r>
        <w:t xml:space="preserve">concessionele leningen. In dit proces zijn </w:t>
      </w:r>
      <w:proofErr w:type="spellStart"/>
      <w:r>
        <w:t>Invest</w:t>
      </w:r>
      <w:proofErr w:type="spellEnd"/>
      <w:r>
        <w:t xml:space="preserve"> International, VNO-NCW, bedrijven en banken geconsulteerd. </w:t>
      </w:r>
    </w:p>
    <w:p w:rsidR="007228AF" w:rsidP="007228AF" w:rsidRDefault="007228AF" w14:paraId="2841724D" w14:textId="77777777"/>
    <w:p w:rsidRPr="007E5E10" w:rsidR="007228AF" w:rsidP="007228AF" w:rsidRDefault="007228AF" w14:paraId="71CAB382" w14:textId="77777777">
      <w:pPr>
        <w:rPr>
          <w:b/>
          <w:bCs/>
        </w:rPr>
      </w:pPr>
      <w:r>
        <w:rPr>
          <w:b/>
          <w:bCs/>
        </w:rPr>
        <w:t xml:space="preserve">Binding </w:t>
      </w:r>
    </w:p>
    <w:p w:rsidR="007228AF" w:rsidP="007228AF" w:rsidRDefault="007228AF" w14:paraId="085583A2" w14:textId="77777777">
      <w:r>
        <w:t xml:space="preserve">Het DRIVE-programma helpt publieke infrastructuur in lage- en middeninkomenslanden te realiseren en wordt, namens mij, uitgevoerd door </w:t>
      </w:r>
      <w:proofErr w:type="spellStart"/>
      <w:r>
        <w:t>Invest</w:t>
      </w:r>
      <w:proofErr w:type="spellEnd"/>
      <w:r>
        <w:t xml:space="preserve"> International. Het kabinet wil dat er meer Nederlandse bedrijven meedoen aan projecten die worden betaald uit het DRIVE-programma.</w:t>
      </w:r>
    </w:p>
    <w:p w:rsidR="007228AF" w:rsidP="007228AF" w:rsidRDefault="007228AF" w14:paraId="53A785A3" w14:textId="77777777"/>
    <w:p w:rsidR="007228AF" w:rsidP="007228AF" w:rsidRDefault="007228AF" w14:paraId="5CBEA95C" w14:textId="3445F1A4">
      <w:r>
        <w:t xml:space="preserve">Daarom is gekeken op welke wijze, binnen de kaders van de OESO en (EU-) wet- en regelgeving, meer Nederlandse bedrijven deel kunnen nemen aan infrastructuurprojecten ondersteund via het DRIVE-instrumentarium. </w:t>
      </w:r>
    </w:p>
    <w:p w:rsidR="007228AF" w:rsidP="007228AF" w:rsidRDefault="007228AF" w14:paraId="197424E3" w14:textId="77777777">
      <w:r>
        <w:t xml:space="preserve">Dit kan worden gerealiseerd door een bindingsoptie aan het DRIVE-instrumentarium toe te voegen, waarbij </w:t>
      </w:r>
      <w:r w:rsidRPr="0057394B">
        <w:t xml:space="preserve">minimaal 35 procent van de projectwaarde </w:t>
      </w:r>
      <w:r>
        <w:t xml:space="preserve">dient te </w:t>
      </w:r>
      <w:r w:rsidRPr="0057394B">
        <w:t xml:space="preserve">bestaan uit Nederlandse onderdelen, diensten, kennis of </w:t>
      </w:r>
      <w:r w:rsidRPr="0057394B">
        <w:lastRenderedPageBreak/>
        <w:t>bedrijven</w:t>
      </w:r>
      <w:r>
        <w:t xml:space="preserve">. Aangezien Nederlandse bedrijven en met name ook het MKB vaak een deel van een project voor hun rekening nemen is het van belang dit minimale percentage niet te hoog vast te stellen. </w:t>
      </w:r>
    </w:p>
    <w:p w:rsidR="007228AF" w:rsidP="007228AF" w:rsidRDefault="007228AF" w14:paraId="17B7D29D" w14:textId="77777777"/>
    <w:p w:rsidR="007228AF" w:rsidP="007228AF" w:rsidRDefault="007228AF" w14:paraId="021782B7" w14:textId="65D275AF">
      <w:r>
        <w:t xml:space="preserve">Deze bindingsoptie met een gebonden aanbesteding is een aanvullende mogelijkheid binnen DRIVE. Hierdoor is meer maatwerk mogelijk in die midden-inkomenslanden waar dit volgens lokale wet- en regelgeving is toegestaan en waarmee is ingestemd door het ontvangende land. Opgemerkt wordt dat volgens </w:t>
      </w:r>
      <w:r w:rsidR="009A42E6">
        <w:t xml:space="preserve">regelgeving van de </w:t>
      </w:r>
      <w:r>
        <w:t xml:space="preserve">OESO-DAC een gebonden aanbesteding bij ODA-programma’s in lage-inkomens landen niet is toegestaan. </w:t>
      </w:r>
    </w:p>
    <w:p w:rsidR="007228AF" w:rsidP="007228AF" w:rsidRDefault="007228AF" w14:paraId="5AFE6A5D" w14:textId="77777777"/>
    <w:p w:rsidR="007228AF" w:rsidP="007228AF" w:rsidRDefault="007228AF" w14:paraId="6D43615A" w14:textId="2F43EEF8">
      <w:r>
        <w:t xml:space="preserve">In lijn met motie </w:t>
      </w:r>
      <w:r w:rsidR="00AE3EDC">
        <w:t xml:space="preserve">van het </w:t>
      </w:r>
      <w:r>
        <w:t>lid Ram</w:t>
      </w:r>
      <w:r w:rsidR="00AE3EDC">
        <w:t xml:space="preserve"> (</w:t>
      </w:r>
      <w:r w:rsidRPr="00FE13E6" w:rsidR="00AE3EDC">
        <w:t>36 180 nr.</w:t>
      </w:r>
      <w:r w:rsidR="00AE3EDC">
        <w:t xml:space="preserve"> 160</w:t>
      </w:r>
      <w:r>
        <w:t>), maakt het kabinet het zo mogelijk om meer Nederlandse bedrijven bij de uitvoering van DRIVE projecten te betrekken.</w:t>
      </w:r>
      <w:r w:rsidRPr="00912340">
        <w:t xml:space="preserve"> De </w:t>
      </w:r>
      <w:r>
        <w:t xml:space="preserve">benodigde </w:t>
      </w:r>
      <w:r w:rsidRPr="00912340">
        <w:t xml:space="preserve">aanpassing van de DRIVE-regeling wordt </w:t>
      </w:r>
      <w:r>
        <w:t xml:space="preserve">op korte termijn gepubliceerd, en nieuwe DRIVE-projecten kunnen vanaf heden al langs deze lijn worden voorbereid. </w:t>
      </w:r>
    </w:p>
    <w:p w:rsidR="007228AF" w:rsidP="007228AF" w:rsidRDefault="007228AF" w14:paraId="4CFABC4B" w14:textId="77777777"/>
    <w:p w:rsidR="007228AF" w:rsidP="007228AF" w:rsidRDefault="007228AF" w14:paraId="4A167A2A" w14:textId="77777777">
      <w:proofErr w:type="spellStart"/>
      <w:r>
        <w:t>Invest</w:t>
      </w:r>
      <w:proofErr w:type="spellEnd"/>
      <w:r>
        <w:t xml:space="preserve"> International blijft ernaar streven dat bij minimaal 70 procent van de projecten die </w:t>
      </w:r>
      <w:proofErr w:type="spellStart"/>
      <w:r>
        <w:t>Invest</w:t>
      </w:r>
      <w:proofErr w:type="spellEnd"/>
      <w:r>
        <w:t xml:space="preserve"> International uitvoert onder DRIVE, sprake is van betrokkenheid van Nederlandse bedrijven. </w:t>
      </w:r>
    </w:p>
    <w:p w:rsidR="007228AF" w:rsidP="007228AF" w:rsidRDefault="007228AF" w14:paraId="5B596CD5" w14:textId="77777777"/>
    <w:p w:rsidR="007228AF" w:rsidP="007228AF" w:rsidRDefault="007228AF" w14:paraId="10B0FD7A" w14:textId="77777777">
      <w:pPr>
        <w:rPr>
          <w:b/>
          <w:bCs/>
        </w:rPr>
      </w:pPr>
      <w:r>
        <w:rPr>
          <w:b/>
          <w:bCs/>
        </w:rPr>
        <w:t>Nieuwe concessionele leningen binnen DRIVE</w:t>
      </w:r>
    </w:p>
    <w:p w:rsidR="007228AF" w:rsidP="007228AF" w:rsidRDefault="007228AF" w14:paraId="70F8D97B" w14:textId="3D6A4B09">
      <w:r w:rsidRPr="004C4548">
        <w:t xml:space="preserve">In lijn met </w:t>
      </w:r>
      <w:r w:rsidR="00AE3EDC">
        <w:t xml:space="preserve">de tweede motie van het </w:t>
      </w:r>
      <w:r>
        <w:t>lid Ram</w:t>
      </w:r>
      <w:r w:rsidR="00AE3EDC">
        <w:t xml:space="preserve"> (</w:t>
      </w:r>
      <w:r w:rsidRPr="00FE13E6" w:rsidR="00AE3EDC">
        <w:t>36 180 nr.</w:t>
      </w:r>
      <w:r w:rsidR="00AE3EDC">
        <w:t xml:space="preserve"> 161</w:t>
      </w:r>
      <w:r>
        <w:t>)</w:t>
      </w:r>
      <w:r w:rsidRPr="004C4548">
        <w:t xml:space="preserve"> </w:t>
      </w:r>
      <w:r>
        <w:t xml:space="preserve">wordt op dit moment </w:t>
      </w:r>
      <w:r w:rsidRPr="004C4548">
        <w:t>ook verkend of DRIVE kan worden uitgebreid met</w:t>
      </w:r>
      <w:r>
        <w:t xml:space="preserve"> </w:t>
      </w:r>
      <w:r w:rsidRPr="004C4548">
        <w:t xml:space="preserve">een </w:t>
      </w:r>
      <w:r>
        <w:t xml:space="preserve">zogeheten </w:t>
      </w:r>
      <w:r w:rsidRPr="004C4548">
        <w:t>concessioneel luik</w:t>
      </w:r>
      <w:r>
        <w:t xml:space="preserve">. Hierbij zouden </w:t>
      </w:r>
      <w:r w:rsidRPr="004C4548">
        <w:t xml:space="preserve">naast schenkingen ook leningen op gunstige voorwaarden vanuit DRIVE aangeboden </w:t>
      </w:r>
      <w:r>
        <w:t xml:space="preserve">kunnen </w:t>
      </w:r>
      <w:r w:rsidRPr="004C4548">
        <w:t>worden</w:t>
      </w:r>
      <w:r>
        <w:t xml:space="preserve"> als maatwerkoplossingen voor financiering. </w:t>
      </w:r>
    </w:p>
    <w:p w:rsidR="007228AF" w:rsidP="007228AF" w:rsidRDefault="007228AF" w14:paraId="15BC2B50" w14:textId="77777777"/>
    <w:p w:rsidR="007228AF" w:rsidP="007228AF" w:rsidRDefault="007228AF" w14:paraId="6ED657A1" w14:textId="77777777">
      <w:r>
        <w:t xml:space="preserve">Bij het ontwikkelen van nieuwe concessionele leningsoptie(s) moet tevens rekening gehouden worden met het risicokader van het Ministerie van Financiën voor risicoregelingen en uitvoerbaarheid en conformiteit met wet- en regelgeving, waaronder OESO-regelgeving, het aanbestedingsrecht en het staatssteunrecht. Ik zal uw Kamer medio 2026 hier verder over informeren. </w:t>
      </w:r>
    </w:p>
    <w:p w:rsidR="007228AF" w:rsidP="007228AF" w:rsidRDefault="007228AF" w14:paraId="2FECA4D7" w14:textId="77777777"/>
    <w:p w:rsidR="007228AF" w:rsidP="007228AF" w:rsidRDefault="007228AF" w14:paraId="247C8E92" w14:textId="77777777">
      <w:pPr>
        <w:rPr>
          <w:b/>
          <w:bCs/>
        </w:rPr>
      </w:pPr>
      <w:r>
        <w:rPr>
          <w:b/>
          <w:bCs/>
        </w:rPr>
        <w:t>Versimpeling en versnelling</w:t>
      </w:r>
    </w:p>
    <w:p w:rsidRPr="009748ED" w:rsidR="007228AF" w:rsidP="007228AF" w:rsidRDefault="007228AF" w14:paraId="25F373FF" w14:textId="3CABDF0D">
      <w:r w:rsidRPr="00460AB6">
        <w:rPr>
          <w:color w:val="auto"/>
        </w:rPr>
        <w:t>In het proces van modernisering van DRIVE wordt ook gekeken naar hoe procedures versimpeld en versneld kunnen worden en hoe bedrijven nog meer ondersteund kunnen worden bij het ontwikkelen van infrastructuurprojecten. Dit kan onder andere door de zoge</w:t>
      </w:r>
      <w:r w:rsidR="009A42E6">
        <w:rPr>
          <w:color w:val="auto"/>
        </w:rPr>
        <w:t xml:space="preserve">heten </w:t>
      </w:r>
      <w:r w:rsidRPr="00853DED">
        <w:t xml:space="preserve">bouwteam- of 2-fasen aanpak </w:t>
      </w:r>
      <w:r>
        <w:t>mogelijk te maken waardoor d</w:t>
      </w:r>
      <w:r w:rsidRPr="00853DED">
        <w:t>e ontwikkeling en bouw van een infrastructuur project met elkaar</w:t>
      </w:r>
      <w:r>
        <w:t xml:space="preserve"> wordt</w:t>
      </w:r>
      <w:r w:rsidRPr="00853DED">
        <w:t xml:space="preserve"> gecombineerd</w:t>
      </w:r>
      <w:r>
        <w:t xml:space="preserve">. Hiermee krijgen betrokken Nederlandse </w:t>
      </w:r>
      <w:r w:rsidRPr="009748ED">
        <w:t>partijen</w:t>
      </w:r>
      <w:r>
        <w:t xml:space="preserve"> meer</w:t>
      </w:r>
      <w:r w:rsidRPr="009748ED">
        <w:t xml:space="preserve"> zekerheid dat zij, mi</w:t>
      </w:r>
      <w:r w:rsidR="002C55E8">
        <w:t>ts</w:t>
      </w:r>
      <w:r w:rsidRPr="009748ED">
        <w:t xml:space="preserve"> aan de voorwaarden </w:t>
      </w:r>
      <w:r>
        <w:t xml:space="preserve">is </w:t>
      </w:r>
      <w:r w:rsidRPr="009748ED">
        <w:t>vold</w:t>
      </w:r>
      <w:r>
        <w:t>aan</w:t>
      </w:r>
      <w:r w:rsidRPr="009748ED">
        <w:t>, ook daadwerkelijk het project mogen uitvoeren.</w:t>
      </w:r>
    </w:p>
    <w:p w:rsidRPr="009748ED" w:rsidR="007228AF" w:rsidP="007228AF" w:rsidRDefault="007228AF" w14:paraId="07B5CA11" w14:textId="77777777"/>
    <w:p w:rsidR="009A42E6" w:rsidRDefault="009A42E6" w14:paraId="2FA16871" w14:textId="2898D4A9">
      <w:pPr>
        <w:spacing w:line="240" w:lineRule="auto"/>
        <w:rPr>
          <w:b/>
          <w:bCs/>
        </w:rPr>
      </w:pPr>
      <w:r>
        <w:rPr>
          <w:b/>
          <w:bCs/>
        </w:rPr>
        <w:br w:type="page"/>
      </w:r>
    </w:p>
    <w:p w:rsidRPr="00460AB6" w:rsidR="007228AF" w:rsidP="007228AF" w:rsidRDefault="007228AF" w14:paraId="6463972D" w14:textId="23A297AC">
      <w:pPr>
        <w:rPr>
          <w:b/>
          <w:bCs/>
        </w:rPr>
      </w:pPr>
      <w:r w:rsidRPr="00460AB6">
        <w:rPr>
          <w:b/>
          <w:bCs/>
        </w:rPr>
        <w:lastRenderedPageBreak/>
        <w:t>Afsluitend</w:t>
      </w:r>
    </w:p>
    <w:p w:rsidR="007228AF" w:rsidP="007228AF" w:rsidRDefault="007228AF" w14:paraId="5EE70225" w14:textId="147D5C6E">
      <w:r>
        <w:t>Met het toevoegen van binding aan het DRIVE instrumentarium is een concrete stap gezet om de rol van het Nederlandse bedrijfsleven en het Nederlandse verdienvermogen binnen ontwikkelingshulp te versterken. De komende periode blijft het kabinet zich verder inzetten om financieringsopties voor bedrijven die actief (willen) zijn in ontwikkelingslanden verder te ontwikkelen en ook door procedures te versimpelen en te versnellen.</w:t>
      </w:r>
      <w:r w:rsidR="002C55E8">
        <w:t xml:space="preserve"> </w:t>
      </w:r>
      <w:r>
        <w:t xml:space="preserve"> </w:t>
      </w:r>
    </w:p>
    <w:p w:rsidR="007228AF" w:rsidP="007228AF" w:rsidRDefault="007228AF" w14:paraId="5F4A3DC6" w14:textId="77777777"/>
    <w:p w:rsidR="007228AF" w:rsidP="007228AF" w:rsidRDefault="007228AF" w14:paraId="3E30CA31" w14:textId="77777777"/>
    <w:p w:rsidR="007228AF" w:rsidP="007228AF" w:rsidRDefault="007228AF" w14:paraId="70C99DE7"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7228AF" w:rsidTr="00B303A0" w14:paraId="297B0975" w14:textId="77777777">
        <w:tc>
          <w:tcPr>
            <w:tcW w:w="3620" w:type="dxa"/>
          </w:tcPr>
          <w:p w:rsidR="007228AF" w:rsidP="00B303A0" w:rsidRDefault="007228AF" w14:paraId="01BB9A89" w14:textId="77777777">
            <w:r>
              <w:t>Staatssecretaris Buitenlandse Handel en Ontwikkelingshulp</w:t>
            </w:r>
            <w:r>
              <w:br/>
            </w:r>
            <w:r>
              <w:br/>
            </w:r>
            <w:r>
              <w:br/>
            </w:r>
            <w:r>
              <w:br/>
            </w:r>
            <w:r>
              <w:br/>
            </w:r>
            <w:r>
              <w:br/>
              <w:t>Aukje de Vries</w:t>
            </w:r>
          </w:p>
        </w:tc>
        <w:tc>
          <w:tcPr>
            <w:tcW w:w="3921" w:type="dxa"/>
          </w:tcPr>
          <w:p w:rsidR="007228AF" w:rsidP="00B303A0" w:rsidRDefault="007228AF" w14:paraId="152437BD" w14:textId="77777777"/>
        </w:tc>
      </w:tr>
    </w:tbl>
    <w:p w:rsidR="007228AF" w:rsidP="007228AF" w:rsidRDefault="007228AF" w14:paraId="70269608" w14:textId="77777777"/>
    <w:p w:rsidRPr="00111467" w:rsidR="007228AF" w:rsidP="007228AF" w:rsidRDefault="007228AF" w14:paraId="1356AA85" w14:textId="77777777"/>
    <w:p w:rsidRPr="00111467" w:rsidR="002B667F" w:rsidP="00111467" w:rsidRDefault="002B667F" w14:paraId="03464F31" w14:textId="77777777"/>
    <w:sectPr w:rsidRPr="00111467" w:rsidR="002B667F" w:rsidSect="009913CD">
      <w:headerReference w:type="default" r:id="rId14"/>
      <w:footerReference w:type="default" r:id="rId15"/>
      <w:headerReference w:type="first" r:id="rId16"/>
      <w:footerReference w:type="first" r:id="rId17"/>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3C5FE" w14:textId="77777777" w:rsidR="00D14A6E" w:rsidRDefault="00D14A6E">
      <w:pPr>
        <w:spacing w:line="240" w:lineRule="auto"/>
      </w:pPr>
      <w:r>
        <w:separator/>
      </w:r>
    </w:p>
  </w:endnote>
  <w:endnote w:type="continuationSeparator" w:id="0">
    <w:p w14:paraId="33A4A55D" w14:textId="77777777" w:rsidR="00D14A6E" w:rsidRDefault="00D14A6E">
      <w:pPr>
        <w:spacing w:line="240" w:lineRule="auto"/>
      </w:pPr>
      <w:r>
        <w:continuationSeparator/>
      </w:r>
    </w:p>
  </w:endnote>
  <w:endnote w:type="continuationNotice" w:id="1">
    <w:p w14:paraId="234AD81C" w14:textId="77777777" w:rsidR="00D14A6E" w:rsidRDefault="00D14A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49031"/>
      <w:docPartObj>
        <w:docPartGallery w:val="Page Numbers (Bottom of Page)"/>
        <w:docPartUnique/>
      </w:docPartObj>
    </w:sdtPr>
    <w:sdtEndPr/>
    <w:sdtContent>
      <w:p w14:paraId="0C87F8BD" w14:textId="739D9169" w:rsidR="00823901" w:rsidRDefault="00823901">
        <w:pPr>
          <w:pStyle w:val="Footer"/>
          <w:jc w:val="center"/>
        </w:pPr>
        <w:r>
          <w:fldChar w:fldCharType="begin"/>
        </w:r>
        <w:r>
          <w:instrText>PAGE   \* MERGEFORMAT</w:instrText>
        </w:r>
        <w:r>
          <w:fldChar w:fldCharType="separate"/>
        </w:r>
        <w:r>
          <w:t>2</w:t>
        </w:r>
        <w:r>
          <w:fldChar w:fldCharType="end"/>
        </w:r>
      </w:p>
    </w:sdtContent>
  </w:sdt>
  <w:p w14:paraId="7685F7FF" w14:textId="77777777" w:rsidR="00823901" w:rsidRDefault="00823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36787"/>
      <w:docPartObj>
        <w:docPartGallery w:val="Page Numbers (Bottom of Page)"/>
        <w:docPartUnique/>
      </w:docPartObj>
    </w:sdtPr>
    <w:sdtEndPr/>
    <w:sdtContent>
      <w:p w14:paraId="517D73D3" w14:textId="63B5ED39" w:rsidR="00823901" w:rsidRDefault="00823901">
        <w:pPr>
          <w:pStyle w:val="Footer"/>
          <w:jc w:val="center"/>
        </w:pPr>
        <w:r>
          <w:fldChar w:fldCharType="begin"/>
        </w:r>
        <w:r>
          <w:instrText>PAGE   \* MERGEFORMAT</w:instrText>
        </w:r>
        <w:r>
          <w:fldChar w:fldCharType="separate"/>
        </w:r>
        <w:r>
          <w:t>2</w:t>
        </w:r>
        <w:r>
          <w:fldChar w:fldCharType="end"/>
        </w:r>
      </w:p>
    </w:sdtContent>
  </w:sdt>
  <w:p w14:paraId="16A4F5FC" w14:textId="77777777" w:rsidR="00823901" w:rsidRDefault="00823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551A3" w14:textId="77777777" w:rsidR="00D14A6E" w:rsidRDefault="00D14A6E">
      <w:pPr>
        <w:spacing w:line="240" w:lineRule="auto"/>
      </w:pPr>
      <w:r>
        <w:separator/>
      </w:r>
    </w:p>
  </w:footnote>
  <w:footnote w:type="continuationSeparator" w:id="0">
    <w:p w14:paraId="5A8019D2" w14:textId="77777777" w:rsidR="00D14A6E" w:rsidRDefault="00D14A6E">
      <w:pPr>
        <w:spacing w:line="240" w:lineRule="auto"/>
      </w:pPr>
      <w:r>
        <w:continuationSeparator/>
      </w:r>
    </w:p>
  </w:footnote>
  <w:footnote w:type="continuationNotice" w:id="1">
    <w:p w14:paraId="5ABE5C5A" w14:textId="77777777" w:rsidR="00D14A6E" w:rsidRDefault="00D14A6E">
      <w:pPr>
        <w:spacing w:line="240" w:lineRule="auto"/>
      </w:pPr>
    </w:p>
  </w:footnote>
  <w:footnote w:id="2">
    <w:p w14:paraId="7ED85C4C" w14:textId="030A266A" w:rsidR="007228AF" w:rsidRPr="00FE13E6" w:rsidRDefault="007228AF" w:rsidP="007228AF">
      <w:pPr>
        <w:pStyle w:val="FootnoteText"/>
        <w:rPr>
          <w:sz w:val="18"/>
          <w:szCs w:val="18"/>
        </w:rPr>
      </w:pPr>
      <w:r w:rsidRPr="009A42E6">
        <w:rPr>
          <w:rStyle w:val="FootnoteReference"/>
          <w:sz w:val="18"/>
          <w:szCs w:val="18"/>
        </w:rPr>
        <w:footnoteRef/>
      </w:r>
      <w:r w:rsidRPr="009A42E6">
        <w:rPr>
          <w:sz w:val="18"/>
          <w:szCs w:val="18"/>
        </w:rPr>
        <w:t xml:space="preserve"> </w:t>
      </w:r>
      <w:r w:rsidR="00FE13E6" w:rsidRPr="00FE13E6">
        <w:rPr>
          <w:sz w:val="18"/>
          <w:szCs w:val="18"/>
        </w:rPr>
        <w:t xml:space="preserve">Kamerstuk </w:t>
      </w:r>
      <w:r w:rsidRPr="00FE13E6">
        <w:rPr>
          <w:sz w:val="18"/>
          <w:szCs w:val="18"/>
        </w:rPr>
        <w:t>36</w:t>
      </w:r>
      <w:r w:rsidR="00FE13E6" w:rsidRPr="00FE13E6">
        <w:rPr>
          <w:sz w:val="18"/>
          <w:szCs w:val="18"/>
        </w:rPr>
        <w:t xml:space="preserve"> </w:t>
      </w:r>
      <w:r w:rsidRPr="00FE13E6">
        <w:rPr>
          <w:sz w:val="18"/>
          <w:szCs w:val="18"/>
        </w:rPr>
        <w:t>180</w:t>
      </w:r>
      <w:r w:rsidR="00FE13E6" w:rsidRPr="00FE13E6">
        <w:rPr>
          <w:sz w:val="18"/>
          <w:szCs w:val="18"/>
        </w:rPr>
        <w:t xml:space="preserve"> nr. </w:t>
      </w:r>
      <w:r w:rsidRPr="00FE13E6">
        <w:rPr>
          <w:sz w:val="18"/>
          <w:szCs w:val="18"/>
        </w:rPr>
        <w:t>160</w:t>
      </w:r>
    </w:p>
  </w:footnote>
  <w:footnote w:id="3">
    <w:p w14:paraId="4D59C15A" w14:textId="54867534" w:rsidR="007228AF" w:rsidRPr="00FE13E6" w:rsidRDefault="007228AF" w:rsidP="007228AF">
      <w:pPr>
        <w:pStyle w:val="FootnoteText"/>
        <w:rPr>
          <w:sz w:val="18"/>
          <w:szCs w:val="18"/>
        </w:rPr>
      </w:pPr>
      <w:r w:rsidRPr="009A42E6">
        <w:rPr>
          <w:rStyle w:val="FootnoteReference"/>
          <w:sz w:val="18"/>
          <w:szCs w:val="18"/>
        </w:rPr>
        <w:footnoteRef/>
      </w:r>
      <w:r w:rsidRPr="009A42E6">
        <w:rPr>
          <w:sz w:val="18"/>
          <w:szCs w:val="18"/>
        </w:rPr>
        <w:t xml:space="preserve"> </w:t>
      </w:r>
      <w:r w:rsidRPr="00FE13E6">
        <w:rPr>
          <w:sz w:val="18"/>
          <w:szCs w:val="18"/>
        </w:rPr>
        <w:t>K</w:t>
      </w:r>
      <w:r w:rsidR="00FE13E6" w:rsidRPr="00FE13E6">
        <w:rPr>
          <w:sz w:val="18"/>
          <w:szCs w:val="18"/>
        </w:rPr>
        <w:t xml:space="preserve">amerstuk </w:t>
      </w:r>
      <w:r w:rsidRPr="00FE13E6">
        <w:rPr>
          <w:sz w:val="18"/>
          <w:szCs w:val="18"/>
        </w:rPr>
        <w:t>36</w:t>
      </w:r>
      <w:r w:rsidR="00FE13E6" w:rsidRPr="00FE13E6">
        <w:rPr>
          <w:sz w:val="18"/>
          <w:szCs w:val="18"/>
        </w:rPr>
        <w:t xml:space="preserve"> </w:t>
      </w:r>
      <w:r w:rsidRPr="00FE13E6">
        <w:rPr>
          <w:sz w:val="18"/>
          <w:szCs w:val="18"/>
        </w:rPr>
        <w:t>180</w:t>
      </w:r>
      <w:r w:rsidR="00FE13E6" w:rsidRPr="00FE13E6">
        <w:rPr>
          <w:sz w:val="18"/>
          <w:szCs w:val="18"/>
        </w:rPr>
        <w:t xml:space="preserve"> nr. </w:t>
      </w:r>
      <w:r w:rsidRPr="00FE13E6">
        <w:rPr>
          <w:sz w:val="18"/>
          <w:szCs w:val="18"/>
        </w:rPr>
        <w:t>161</w:t>
      </w:r>
    </w:p>
  </w:footnote>
  <w:footnote w:id="4">
    <w:p w14:paraId="075B6959" w14:textId="177BE670" w:rsidR="007228AF" w:rsidRPr="00FE13E6" w:rsidRDefault="007228AF" w:rsidP="007228AF">
      <w:pPr>
        <w:pStyle w:val="FootnoteText"/>
      </w:pPr>
      <w:r w:rsidRPr="009A42E6">
        <w:rPr>
          <w:rStyle w:val="FootnoteReference"/>
          <w:sz w:val="18"/>
          <w:szCs w:val="18"/>
        </w:rPr>
        <w:footnoteRef/>
      </w:r>
      <w:r w:rsidRPr="009A42E6">
        <w:rPr>
          <w:sz w:val="18"/>
          <w:szCs w:val="18"/>
        </w:rPr>
        <w:t xml:space="preserve"> K</w:t>
      </w:r>
      <w:r w:rsidR="00EA7B4A">
        <w:rPr>
          <w:sz w:val="18"/>
          <w:szCs w:val="18"/>
        </w:rPr>
        <w:t>amerstuk</w:t>
      </w:r>
      <w:r w:rsidR="005B6453">
        <w:rPr>
          <w:sz w:val="18"/>
          <w:szCs w:val="18"/>
        </w:rPr>
        <w:t xml:space="preserve"> </w:t>
      </w:r>
      <w:r w:rsidR="00EA7B4A">
        <w:rPr>
          <w:sz w:val="18"/>
          <w:szCs w:val="18"/>
        </w:rPr>
        <w:t>36</w:t>
      </w:r>
      <w:r w:rsidR="005B6453">
        <w:rPr>
          <w:sz w:val="18"/>
          <w:szCs w:val="18"/>
        </w:rPr>
        <w:t xml:space="preserve"> </w:t>
      </w:r>
      <w:r w:rsidR="00EA7B4A">
        <w:rPr>
          <w:sz w:val="18"/>
          <w:szCs w:val="18"/>
        </w:rPr>
        <w:t>180 nr</w:t>
      </w:r>
      <w:r w:rsidR="005B6453">
        <w:rPr>
          <w:sz w:val="18"/>
          <w:szCs w:val="18"/>
        </w:rPr>
        <w:t xml:space="preserve">. </w:t>
      </w:r>
      <w:r w:rsidR="00EA7B4A">
        <w:rPr>
          <w:sz w:val="18"/>
          <w:szCs w:val="18"/>
        </w:rPr>
        <w:t xml:space="preserve">133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4F32" w14:textId="05FBE0F6" w:rsidR="002B667F" w:rsidRDefault="005C0A8F">
    <w:r>
      <w:rPr>
        <w:noProof/>
      </w:rPr>
      <mc:AlternateContent>
        <mc:Choice Requires="wps">
          <w:drawing>
            <wp:anchor distT="0" distB="0" distL="0" distR="0" simplePos="0" relativeHeight="251658240" behindDoc="0" locked="1" layoutInCell="1" allowOverlap="1" wp14:anchorId="03464F36" wp14:editId="03464F37">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464F63" w14:textId="77777777" w:rsidR="002B667F" w:rsidRDefault="005C0A8F">
                          <w:pPr>
                            <w:pStyle w:val="Referentiegegevensbold"/>
                          </w:pPr>
                          <w:r>
                            <w:t>Ministerie van Buitenlandse Zaken</w:t>
                          </w:r>
                        </w:p>
                        <w:p w14:paraId="03464F64" w14:textId="77777777" w:rsidR="002B667F" w:rsidRDefault="002B667F">
                          <w:pPr>
                            <w:pStyle w:val="WitregelW2"/>
                          </w:pPr>
                        </w:p>
                        <w:p w14:paraId="03464F65" w14:textId="77777777" w:rsidR="002B667F" w:rsidRDefault="005C0A8F">
                          <w:pPr>
                            <w:pStyle w:val="Referentiegegevensbold"/>
                          </w:pPr>
                          <w:r>
                            <w:t>Onze referentie</w:t>
                          </w:r>
                        </w:p>
                        <w:p w14:paraId="03464F66" w14:textId="77777777" w:rsidR="002B667F" w:rsidRDefault="005C0A8F">
                          <w:pPr>
                            <w:pStyle w:val="Referentiegegevens"/>
                          </w:pPr>
                          <w:r>
                            <w:t>BZ2522821</w:t>
                          </w:r>
                        </w:p>
                      </w:txbxContent>
                    </wps:txbx>
                    <wps:bodyPr vert="horz" wrap="square" lIns="0" tIns="0" rIns="0" bIns="0" anchor="t" anchorCtr="0"/>
                  </wps:wsp>
                </a:graphicData>
              </a:graphic>
            </wp:anchor>
          </w:drawing>
        </mc:Choice>
        <mc:Fallback>
          <w:pict>
            <v:shapetype w14:anchorId="03464F36"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3464F63" w14:textId="77777777" w:rsidR="002B667F" w:rsidRDefault="005C0A8F">
                    <w:pPr>
                      <w:pStyle w:val="Referentiegegevensbold"/>
                    </w:pPr>
                    <w:r>
                      <w:t>Ministerie van Buitenlandse Zaken</w:t>
                    </w:r>
                  </w:p>
                  <w:p w14:paraId="03464F64" w14:textId="77777777" w:rsidR="002B667F" w:rsidRDefault="002B667F">
                    <w:pPr>
                      <w:pStyle w:val="WitregelW2"/>
                    </w:pPr>
                  </w:p>
                  <w:p w14:paraId="03464F65" w14:textId="77777777" w:rsidR="002B667F" w:rsidRDefault="005C0A8F">
                    <w:pPr>
                      <w:pStyle w:val="Referentiegegevensbold"/>
                    </w:pPr>
                    <w:r>
                      <w:t>Onze referentie</w:t>
                    </w:r>
                  </w:p>
                  <w:p w14:paraId="03464F66" w14:textId="77777777" w:rsidR="002B667F" w:rsidRDefault="005C0A8F">
                    <w:pPr>
                      <w:pStyle w:val="Referentiegegevens"/>
                    </w:pPr>
                    <w:r>
                      <w:t>BZ2522821</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3464F3A" wp14:editId="2AF1E442">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3464F75" w14:textId="77777777" w:rsidR="005C0A8F" w:rsidRDefault="005C0A8F"/>
                      </w:txbxContent>
                    </wps:txbx>
                    <wps:bodyPr vert="horz" wrap="square" lIns="0" tIns="0" rIns="0" bIns="0" anchor="t" anchorCtr="0"/>
                  </wps:wsp>
                </a:graphicData>
              </a:graphic>
            </wp:anchor>
          </w:drawing>
        </mc:Choice>
        <mc:Fallback>
          <w:pict>
            <v:shape w14:anchorId="03464F3A"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3464F75" w14:textId="77777777" w:rsidR="005C0A8F" w:rsidRDefault="005C0A8F"/>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4F34" w14:textId="08C0A98C" w:rsidR="002B667F" w:rsidRDefault="005C0A8F">
    <w:pPr>
      <w:spacing w:after="7131" w:line="14" w:lineRule="exact"/>
    </w:pPr>
    <w:r>
      <w:rPr>
        <w:noProof/>
      </w:rPr>
      <mc:AlternateContent>
        <mc:Choice Requires="wps">
          <w:drawing>
            <wp:anchor distT="0" distB="0" distL="0" distR="0" simplePos="0" relativeHeight="251658243" behindDoc="0" locked="1" layoutInCell="1" allowOverlap="1" wp14:anchorId="03464F3C" wp14:editId="03464F3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3464F68" w14:textId="77777777" w:rsidR="005C0A8F" w:rsidRDefault="005C0A8F"/>
                      </w:txbxContent>
                    </wps:txbx>
                    <wps:bodyPr vert="horz" wrap="square" lIns="0" tIns="0" rIns="0" bIns="0" anchor="t" anchorCtr="0"/>
                  </wps:wsp>
                </a:graphicData>
              </a:graphic>
            </wp:anchor>
          </w:drawing>
        </mc:Choice>
        <mc:Fallback>
          <w:pict>
            <v:shapetype w14:anchorId="03464F3C"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3464F68" w14:textId="77777777" w:rsidR="005C0A8F" w:rsidRDefault="005C0A8F"/>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3464F3E" wp14:editId="03464F3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1D90915" w14:textId="2AA68EC3" w:rsidR="007228AF" w:rsidRDefault="007228AF" w:rsidP="007228AF">
                          <w:r>
                            <w:t xml:space="preserve">Aan de </w:t>
                          </w:r>
                          <w:r w:rsidR="00FE13E6">
                            <w:t>V</w:t>
                          </w:r>
                          <w:r>
                            <w:t>oorzitter van de</w:t>
                          </w:r>
                        </w:p>
                        <w:p w14:paraId="47E119A8" w14:textId="623A4FA1" w:rsidR="007228AF" w:rsidRDefault="007228AF" w:rsidP="007228AF">
                          <w:r>
                            <w:t>Tweede Kamer der Staten-Generaal</w:t>
                          </w:r>
                        </w:p>
                        <w:p w14:paraId="1488211E" w14:textId="3BCB9813" w:rsidR="007228AF" w:rsidRDefault="007228AF" w:rsidP="007228AF">
                          <w:r>
                            <w:t>Prinses Irenestraat 6</w:t>
                          </w:r>
                        </w:p>
                        <w:p w14:paraId="6D3619E2" w14:textId="66D0C510" w:rsidR="007228AF" w:rsidRPr="007228AF" w:rsidRDefault="004370E4" w:rsidP="007228AF">
                          <w:r>
                            <w:t>Den Haag</w:t>
                          </w:r>
                          <w:r w:rsidRPr="004370E4">
                            <w:t xml:space="preserve"> </w:t>
                          </w:r>
                        </w:p>
                      </w:txbxContent>
                    </wps:txbx>
                    <wps:bodyPr vert="horz" wrap="square" lIns="0" tIns="0" rIns="0" bIns="0" anchor="t" anchorCtr="0"/>
                  </wps:wsp>
                </a:graphicData>
              </a:graphic>
            </wp:anchor>
          </w:drawing>
        </mc:Choice>
        <mc:Fallback>
          <w:pict>
            <v:shape w14:anchorId="03464F3E"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1D90915" w14:textId="2AA68EC3" w:rsidR="007228AF" w:rsidRDefault="007228AF" w:rsidP="007228AF">
                    <w:r>
                      <w:t xml:space="preserve">Aan de </w:t>
                    </w:r>
                    <w:r w:rsidR="00FE13E6">
                      <w:t>V</w:t>
                    </w:r>
                    <w:r>
                      <w:t>oorzitter van de</w:t>
                    </w:r>
                  </w:p>
                  <w:p w14:paraId="47E119A8" w14:textId="623A4FA1" w:rsidR="007228AF" w:rsidRDefault="007228AF" w:rsidP="007228AF">
                    <w:r>
                      <w:t>Tweede Kamer der Staten-Generaal</w:t>
                    </w:r>
                  </w:p>
                  <w:p w14:paraId="1488211E" w14:textId="3BCB9813" w:rsidR="007228AF" w:rsidRDefault="007228AF" w:rsidP="007228AF">
                    <w:r>
                      <w:t>Prinses Irenestraat 6</w:t>
                    </w:r>
                  </w:p>
                  <w:p w14:paraId="6D3619E2" w14:textId="66D0C510" w:rsidR="007228AF" w:rsidRPr="007228AF" w:rsidRDefault="004370E4" w:rsidP="007228AF">
                    <w:r>
                      <w:t>Den Haag</w:t>
                    </w:r>
                    <w:r w:rsidRPr="004370E4">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3464F40" wp14:editId="03464F4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2B667F" w14:paraId="03464F4F" w14:textId="77777777">
                            <w:tc>
                              <w:tcPr>
                                <w:tcW w:w="678" w:type="dxa"/>
                              </w:tcPr>
                              <w:p w14:paraId="03464F4D" w14:textId="77777777" w:rsidR="002B667F" w:rsidRDefault="005C0A8F">
                                <w:r>
                                  <w:t>Datum</w:t>
                                </w:r>
                              </w:p>
                            </w:tc>
                            <w:tc>
                              <w:tcPr>
                                <w:tcW w:w="6851" w:type="dxa"/>
                              </w:tcPr>
                              <w:p w14:paraId="03464F4E" w14:textId="093107CD" w:rsidR="002B667F" w:rsidRDefault="008533B6">
                                <w:r>
                                  <w:t xml:space="preserve">17 </w:t>
                                </w:r>
                                <w:r w:rsidR="009E4BFE">
                                  <w:t>december 2025</w:t>
                                </w:r>
                              </w:p>
                            </w:tc>
                          </w:tr>
                          <w:tr w:rsidR="002B667F" w14:paraId="03464F54" w14:textId="77777777">
                            <w:tc>
                              <w:tcPr>
                                <w:tcW w:w="678" w:type="dxa"/>
                              </w:tcPr>
                              <w:p w14:paraId="03464F50" w14:textId="77777777" w:rsidR="002B667F" w:rsidRDefault="005C0A8F">
                                <w:r>
                                  <w:t>Betreft</w:t>
                                </w:r>
                              </w:p>
                              <w:p w14:paraId="03464F51" w14:textId="77777777" w:rsidR="002B667F" w:rsidRDefault="002B667F"/>
                            </w:tc>
                            <w:tc>
                              <w:tcPr>
                                <w:tcW w:w="6851" w:type="dxa"/>
                              </w:tcPr>
                              <w:p w14:paraId="03464F52" w14:textId="033775A9" w:rsidR="002B667F" w:rsidRDefault="0033724A">
                                <w:r>
                                  <w:t>Modernisering DRIVE</w:t>
                                </w:r>
                              </w:p>
                              <w:p w14:paraId="03464F53" w14:textId="77777777" w:rsidR="002B667F" w:rsidRDefault="002B667F"/>
                            </w:tc>
                          </w:tr>
                        </w:tbl>
                        <w:p w14:paraId="03464F55" w14:textId="77777777" w:rsidR="002B667F" w:rsidRDefault="002B667F"/>
                        <w:p w14:paraId="03464F56" w14:textId="77777777" w:rsidR="002B667F" w:rsidRDefault="002B667F"/>
                      </w:txbxContent>
                    </wps:txbx>
                    <wps:bodyPr vert="horz" wrap="square" lIns="0" tIns="0" rIns="0" bIns="0" anchor="t" anchorCtr="0"/>
                  </wps:wsp>
                </a:graphicData>
              </a:graphic>
            </wp:anchor>
          </w:drawing>
        </mc:Choice>
        <mc:Fallback>
          <w:pict>
            <v:shape w14:anchorId="03464F40"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2B667F" w14:paraId="03464F4F" w14:textId="77777777">
                      <w:tc>
                        <w:tcPr>
                          <w:tcW w:w="678" w:type="dxa"/>
                        </w:tcPr>
                        <w:p w14:paraId="03464F4D" w14:textId="77777777" w:rsidR="002B667F" w:rsidRDefault="005C0A8F">
                          <w:r>
                            <w:t>Datum</w:t>
                          </w:r>
                        </w:p>
                      </w:tc>
                      <w:tc>
                        <w:tcPr>
                          <w:tcW w:w="6851" w:type="dxa"/>
                        </w:tcPr>
                        <w:p w14:paraId="03464F4E" w14:textId="093107CD" w:rsidR="002B667F" w:rsidRDefault="008533B6">
                          <w:r>
                            <w:t xml:space="preserve">17 </w:t>
                          </w:r>
                          <w:r w:rsidR="009E4BFE">
                            <w:t>december 2025</w:t>
                          </w:r>
                        </w:p>
                      </w:tc>
                    </w:tr>
                    <w:tr w:rsidR="002B667F" w14:paraId="03464F54" w14:textId="77777777">
                      <w:tc>
                        <w:tcPr>
                          <w:tcW w:w="678" w:type="dxa"/>
                        </w:tcPr>
                        <w:p w14:paraId="03464F50" w14:textId="77777777" w:rsidR="002B667F" w:rsidRDefault="005C0A8F">
                          <w:r>
                            <w:t>Betreft</w:t>
                          </w:r>
                        </w:p>
                        <w:p w14:paraId="03464F51" w14:textId="77777777" w:rsidR="002B667F" w:rsidRDefault="002B667F"/>
                      </w:tc>
                      <w:tc>
                        <w:tcPr>
                          <w:tcW w:w="6851" w:type="dxa"/>
                        </w:tcPr>
                        <w:p w14:paraId="03464F52" w14:textId="033775A9" w:rsidR="002B667F" w:rsidRDefault="0033724A">
                          <w:r>
                            <w:t>Modernisering DRIVE</w:t>
                          </w:r>
                        </w:p>
                        <w:p w14:paraId="03464F53" w14:textId="77777777" w:rsidR="002B667F" w:rsidRDefault="002B667F"/>
                      </w:tc>
                    </w:tr>
                  </w:tbl>
                  <w:p w14:paraId="03464F55" w14:textId="77777777" w:rsidR="002B667F" w:rsidRDefault="002B667F"/>
                  <w:p w14:paraId="03464F56" w14:textId="77777777" w:rsidR="002B667F" w:rsidRDefault="002B667F"/>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3464F42" wp14:editId="03464F43">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464F58" w14:textId="678B3021" w:rsidR="002B667F" w:rsidRDefault="005C0A8F" w:rsidP="007228AF">
                          <w:pPr>
                            <w:pStyle w:val="Referentiegegevensbold"/>
                          </w:pPr>
                          <w:r>
                            <w:t>Ministerie van Buitenlandse Zaken</w:t>
                          </w:r>
                        </w:p>
                        <w:p w14:paraId="03464F59" w14:textId="78468E97" w:rsidR="002B667F" w:rsidRPr="007228AF" w:rsidRDefault="007228AF" w:rsidP="00823901">
                          <w:pPr>
                            <w:pStyle w:val="Referentiegegevens"/>
                            <w:spacing w:line="360" w:lineRule="auto"/>
                          </w:pPr>
                          <w:r w:rsidRPr="007228AF">
                            <w:t>Rijnstraat 8</w:t>
                          </w:r>
                        </w:p>
                        <w:p w14:paraId="761E1347" w14:textId="0A2701F1" w:rsidR="007228AF" w:rsidRPr="004370E4" w:rsidRDefault="007228AF" w:rsidP="00823901">
                          <w:pPr>
                            <w:spacing w:line="360" w:lineRule="auto"/>
                            <w:rPr>
                              <w:sz w:val="13"/>
                              <w:szCs w:val="13"/>
                              <w:lang w:val="da-DK"/>
                            </w:rPr>
                          </w:pPr>
                          <w:r w:rsidRPr="004370E4">
                            <w:rPr>
                              <w:sz w:val="13"/>
                              <w:szCs w:val="13"/>
                              <w:lang w:val="da-DK"/>
                            </w:rPr>
                            <w:t>2515 XP Den Haag</w:t>
                          </w:r>
                        </w:p>
                        <w:p w14:paraId="3DE4B773" w14:textId="45F24982" w:rsidR="007228AF" w:rsidRPr="004370E4" w:rsidRDefault="007228AF" w:rsidP="00823901">
                          <w:pPr>
                            <w:spacing w:line="360" w:lineRule="auto"/>
                            <w:rPr>
                              <w:sz w:val="13"/>
                              <w:szCs w:val="13"/>
                              <w:lang w:val="da-DK"/>
                            </w:rPr>
                          </w:pPr>
                          <w:r w:rsidRPr="004370E4">
                            <w:rPr>
                              <w:sz w:val="13"/>
                              <w:szCs w:val="13"/>
                              <w:lang w:val="da-DK"/>
                            </w:rPr>
                            <w:t>Postbus 20061</w:t>
                          </w:r>
                        </w:p>
                        <w:p w14:paraId="046A1167" w14:textId="6FF8DB8D" w:rsidR="007228AF" w:rsidRPr="004370E4" w:rsidRDefault="00032488" w:rsidP="00823901">
                          <w:pPr>
                            <w:spacing w:line="360" w:lineRule="auto"/>
                            <w:rPr>
                              <w:sz w:val="13"/>
                              <w:szCs w:val="13"/>
                              <w:lang w:val="da-DK"/>
                            </w:rPr>
                          </w:pPr>
                          <w:r>
                            <w:rPr>
                              <w:sz w:val="13"/>
                              <w:szCs w:val="13"/>
                              <w:lang w:val="da-DK"/>
                            </w:rPr>
                            <w:t>N</w:t>
                          </w:r>
                          <w:r w:rsidR="007228AF" w:rsidRPr="004370E4">
                            <w:rPr>
                              <w:sz w:val="13"/>
                              <w:szCs w:val="13"/>
                              <w:lang w:val="da-DK"/>
                            </w:rPr>
                            <w:t>ederland</w:t>
                          </w:r>
                        </w:p>
                        <w:p w14:paraId="03464F5A" w14:textId="44D9BBB6" w:rsidR="002B667F" w:rsidRPr="004370E4" w:rsidRDefault="007228AF" w:rsidP="00823901">
                          <w:pPr>
                            <w:pStyle w:val="Referentiegegevens"/>
                            <w:spacing w:line="360" w:lineRule="auto"/>
                            <w:rPr>
                              <w:lang w:val="da-DK"/>
                            </w:rPr>
                          </w:pPr>
                          <w:r w:rsidRPr="004370E4">
                            <w:rPr>
                              <w:lang w:val="da-DK"/>
                            </w:rPr>
                            <w:t>www.rijksoverheid.nl</w:t>
                          </w:r>
                        </w:p>
                        <w:p w14:paraId="03464F5B" w14:textId="77777777" w:rsidR="002B667F" w:rsidRPr="004370E4" w:rsidRDefault="002B667F">
                          <w:pPr>
                            <w:pStyle w:val="WitregelW2"/>
                            <w:rPr>
                              <w:lang w:val="da-DK"/>
                            </w:rPr>
                          </w:pPr>
                        </w:p>
                        <w:p w14:paraId="03464F5C" w14:textId="77777777" w:rsidR="002B667F" w:rsidRDefault="005C0A8F">
                          <w:pPr>
                            <w:pStyle w:val="Referentiegegevensbold"/>
                          </w:pPr>
                          <w:r>
                            <w:t>Onze referentie</w:t>
                          </w:r>
                        </w:p>
                        <w:p w14:paraId="03464F5D" w14:textId="77777777" w:rsidR="002B667F" w:rsidRDefault="005C0A8F">
                          <w:pPr>
                            <w:pStyle w:val="Referentiegegevens"/>
                          </w:pPr>
                          <w:r>
                            <w:t>BZ2522821</w:t>
                          </w:r>
                        </w:p>
                        <w:p w14:paraId="03464F5E" w14:textId="77777777" w:rsidR="002B667F" w:rsidRDefault="002B667F">
                          <w:pPr>
                            <w:pStyle w:val="WitregelW1"/>
                          </w:pPr>
                        </w:p>
                        <w:p w14:paraId="03464F5F" w14:textId="77777777" w:rsidR="002B667F" w:rsidRDefault="005C0A8F">
                          <w:pPr>
                            <w:pStyle w:val="Referentiegegevensbold"/>
                          </w:pPr>
                          <w:r>
                            <w:t>Bijlage(n)</w:t>
                          </w:r>
                        </w:p>
                        <w:p w14:paraId="03464F60" w14:textId="6AFD7838" w:rsidR="002B667F" w:rsidRDefault="00823901">
                          <w:pPr>
                            <w:pStyle w:val="Referentiegegevens"/>
                          </w:pPr>
                          <w:r>
                            <w:t>-</w:t>
                          </w:r>
                        </w:p>
                      </w:txbxContent>
                    </wps:txbx>
                    <wps:bodyPr vert="horz" wrap="square" lIns="0" tIns="0" rIns="0" bIns="0" anchor="t" anchorCtr="0"/>
                  </wps:wsp>
                </a:graphicData>
              </a:graphic>
            </wp:anchor>
          </w:drawing>
        </mc:Choice>
        <mc:Fallback>
          <w:pict>
            <v:shape w14:anchorId="03464F42"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3464F58" w14:textId="678B3021" w:rsidR="002B667F" w:rsidRDefault="005C0A8F" w:rsidP="007228AF">
                    <w:pPr>
                      <w:pStyle w:val="Referentiegegevensbold"/>
                    </w:pPr>
                    <w:r>
                      <w:t>Ministerie van Buitenlandse Zaken</w:t>
                    </w:r>
                  </w:p>
                  <w:p w14:paraId="03464F59" w14:textId="78468E97" w:rsidR="002B667F" w:rsidRPr="007228AF" w:rsidRDefault="007228AF" w:rsidP="00823901">
                    <w:pPr>
                      <w:pStyle w:val="Referentiegegevens"/>
                      <w:spacing w:line="360" w:lineRule="auto"/>
                    </w:pPr>
                    <w:r w:rsidRPr="007228AF">
                      <w:t>Rijnstraat 8</w:t>
                    </w:r>
                  </w:p>
                  <w:p w14:paraId="761E1347" w14:textId="0A2701F1" w:rsidR="007228AF" w:rsidRPr="004370E4" w:rsidRDefault="007228AF" w:rsidP="00823901">
                    <w:pPr>
                      <w:spacing w:line="360" w:lineRule="auto"/>
                      <w:rPr>
                        <w:sz w:val="13"/>
                        <w:szCs w:val="13"/>
                        <w:lang w:val="da-DK"/>
                      </w:rPr>
                    </w:pPr>
                    <w:r w:rsidRPr="004370E4">
                      <w:rPr>
                        <w:sz w:val="13"/>
                        <w:szCs w:val="13"/>
                        <w:lang w:val="da-DK"/>
                      </w:rPr>
                      <w:t>2515 XP Den Haag</w:t>
                    </w:r>
                  </w:p>
                  <w:p w14:paraId="3DE4B773" w14:textId="45F24982" w:rsidR="007228AF" w:rsidRPr="004370E4" w:rsidRDefault="007228AF" w:rsidP="00823901">
                    <w:pPr>
                      <w:spacing w:line="360" w:lineRule="auto"/>
                      <w:rPr>
                        <w:sz w:val="13"/>
                        <w:szCs w:val="13"/>
                        <w:lang w:val="da-DK"/>
                      </w:rPr>
                    </w:pPr>
                    <w:r w:rsidRPr="004370E4">
                      <w:rPr>
                        <w:sz w:val="13"/>
                        <w:szCs w:val="13"/>
                        <w:lang w:val="da-DK"/>
                      </w:rPr>
                      <w:t>Postbus 20061</w:t>
                    </w:r>
                  </w:p>
                  <w:p w14:paraId="046A1167" w14:textId="6FF8DB8D" w:rsidR="007228AF" w:rsidRPr="004370E4" w:rsidRDefault="00032488" w:rsidP="00823901">
                    <w:pPr>
                      <w:spacing w:line="360" w:lineRule="auto"/>
                      <w:rPr>
                        <w:sz w:val="13"/>
                        <w:szCs w:val="13"/>
                        <w:lang w:val="da-DK"/>
                      </w:rPr>
                    </w:pPr>
                    <w:r>
                      <w:rPr>
                        <w:sz w:val="13"/>
                        <w:szCs w:val="13"/>
                        <w:lang w:val="da-DK"/>
                      </w:rPr>
                      <w:t>N</w:t>
                    </w:r>
                    <w:r w:rsidR="007228AF" w:rsidRPr="004370E4">
                      <w:rPr>
                        <w:sz w:val="13"/>
                        <w:szCs w:val="13"/>
                        <w:lang w:val="da-DK"/>
                      </w:rPr>
                      <w:t>ederland</w:t>
                    </w:r>
                  </w:p>
                  <w:p w14:paraId="03464F5A" w14:textId="44D9BBB6" w:rsidR="002B667F" w:rsidRPr="004370E4" w:rsidRDefault="007228AF" w:rsidP="00823901">
                    <w:pPr>
                      <w:pStyle w:val="Referentiegegevens"/>
                      <w:spacing w:line="360" w:lineRule="auto"/>
                      <w:rPr>
                        <w:lang w:val="da-DK"/>
                      </w:rPr>
                    </w:pPr>
                    <w:r w:rsidRPr="004370E4">
                      <w:rPr>
                        <w:lang w:val="da-DK"/>
                      </w:rPr>
                      <w:t>www.rijksoverheid.nl</w:t>
                    </w:r>
                  </w:p>
                  <w:p w14:paraId="03464F5B" w14:textId="77777777" w:rsidR="002B667F" w:rsidRPr="004370E4" w:rsidRDefault="002B667F">
                    <w:pPr>
                      <w:pStyle w:val="WitregelW2"/>
                      <w:rPr>
                        <w:lang w:val="da-DK"/>
                      </w:rPr>
                    </w:pPr>
                  </w:p>
                  <w:p w14:paraId="03464F5C" w14:textId="77777777" w:rsidR="002B667F" w:rsidRDefault="005C0A8F">
                    <w:pPr>
                      <w:pStyle w:val="Referentiegegevensbold"/>
                    </w:pPr>
                    <w:r>
                      <w:t>Onze referentie</w:t>
                    </w:r>
                  </w:p>
                  <w:p w14:paraId="03464F5D" w14:textId="77777777" w:rsidR="002B667F" w:rsidRDefault="005C0A8F">
                    <w:pPr>
                      <w:pStyle w:val="Referentiegegevens"/>
                    </w:pPr>
                    <w:r>
                      <w:t>BZ2522821</w:t>
                    </w:r>
                  </w:p>
                  <w:p w14:paraId="03464F5E" w14:textId="77777777" w:rsidR="002B667F" w:rsidRDefault="002B667F">
                    <w:pPr>
                      <w:pStyle w:val="WitregelW1"/>
                    </w:pPr>
                  </w:p>
                  <w:p w14:paraId="03464F5F" w14:textId="77777777" w:rsidR="002B667F" w:rsidRDefault="005C0A8F">
                    <w:pPr>
                      <w:pStyle w:val="Referentiegegevensbold"/>
                    </w:pPr>
                    <w:r>
                      <w:t>Bijlage(n)</w:t>
                    </w:r>
                  </w:p>
                  <w:p w14:paraId="03464F60" w14:textId="6AFD7838" w:rsidR="002B667F" w:rsidRDefault="0082390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3464F46" wp14:editId="623510A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3464F6E" w14:textId="77777777" w:rsidR="005C0A8F" w:rsidRDefault="005C0A8F"/>
                      </w:txbxContent>
                    </wps:txbx>
                    <wps:bodyPr vert="horz" wrap="square" lIns="0" tIns="0" rIns="0" bIns="0" anchor="t" anchorCtr="0"/>
                  </wps:wsp>
                </a:graphicData>
              </a:graphic>
            </wp:anchor>
          </w:drawing>
        </mc:Choice>
        <mc:Fallback>
          <w:pict>
            <v:shape w14:anchorId="03464F46"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3464F6E" w14:textId="77777777" w:rsidR="005C0A8F" w:rsidRDefault="005C0A8F"/>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3464F48" wp14:editId="03464F4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3464F70" w14:textId="77777777" w:rsidR="005C0A8F" w:rsidRDefault="005C0A8F"/>
                      </w:txbxContent>
                    </wps:txbx>
                    <wps:bodyPr vert="horz" wrap="square" lIns="0" tIns="0" rIns="0" bIns="0" anchor="t" anchorCtr="0"/>
                  </wps:wsp>
                </a:graphicData>
              </a:graphic>
            </wp:anchor>
          </w:drawing>
        </mc:Choice>
        <mc:Fallback>
          <w:pict>
            <v:shape w14:anchorId="03464F48"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3464F70" w14:textId="77777777" w:rsidR="005C0A8F" w:rsidRDefault="005C0A8F"/>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3464F4A" wp14:editId="03464F4B">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464F62" w14:textId="77777777" w:rsidR="002B667F" w:rsidRDefault="005C0A8F">
                          <w:pPr>
                            <w:spacing w:line="240" w:lineRule="auto"/>
                          </w:pPr>
                          <w:r>
                            <w:rPr>
                              <w:noProof/>
                            </w:rPr>
                            <w:drawing>
                              <wp:inline distT="0" distB="0" distL="0" distR="0" wp14:anchorId="03464F68" wp14:editId="03464F6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464F4A"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3464F62" w14:textId="77777777" w:rsidR="002B667F" w:rsidRDefault="005C0A8F">
                    <w:pPr>
                      <w:spacing w:line="240" w:lineRule="auto"/>
                    </w:pPr>
                    <w:r>
                      <w:rPr>
                        <w:noProof/>
                      </w:rPr>
                      <w:drawing>
                        <wp:inline distT="0" distB="0" distL="0" distR="0" wp14:anchorId="03464F68" wp14:editId="03464F6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909143"/>
    <w:multiLevelType w:val="multilevel"/>
    <w:tmpl w:val="C9AB78C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FB43E98"/>
    <w:multiLevelType w:val="multilevel"/>
    <w:tmpl w:val="9681695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F8145EC"/>
    <w:multiLevelType w:val="multilevel"/>
    <w:tmpl w:val="3039481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2C70E4F"/>
    <w:multiLevelType w:val="hybridMultilevel"/>
    <w:tmpl w:val="B446626C"/>
    <w:lvl w:ilvl="0" w:tplc="FFFFFFFF">
      <w:numFmt w:val="bullet"/>
      <w:lvlText w:val="-"/>
      <w:lvlJc w:val="left"/>
      <w:pPr>
        <w:ind w:left="927" w:hanging="360"/>
      </w:pPr>
      <w:rPr>
        <w:rFonts w:ascii="Verdana" w:hAnsi="Verdana" w:hint="default"/>
      </w:rPr>
    </w:lvl>
    <w:lvl w:ilvl="1" w:tplc="04130001">
      <w:start w:val="1"/>
      <w:numFmt w:val="bullet"/>
      <w:lvlText w:val=""/>
      <w:lvlJc w:val="left"/>
      <w:pPr>
        <w:ind w:left="72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EE63EA9"/>
    <w:multiLevelType w:val="multilevel"/>
    <w:tmpl w:val="0406084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5479DF5E"/>
    <w:multiLevelType w:val="multilevel"/>
    <w:tmpl w:val="B6664C7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3103939">
    <w:abstractNumId w:val="4"/>
  </w:num>
  <w:num w:numId="2" w16cid:durableId="773135062">
    <w:abstractNumId w:val="0"/>
  </w:num>
  <w:num w:numId="3" w16cid:durableId="2012948714">
    <w:abstractNumId w:val="2"/>
  </w:num>
  <w:num w:numId="4" w16cid:durableId="639724369">
    <w:abstractNumId w:val="1"/>
  </w:num>
  <w:num w:numId="5" w16cid:durableId="1945652368">
    <w:abstractNumId w:val="5"/>
  </w:num>
  <w:num w:numId="6" w16cid:durableId="593131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67F"/>
    <w:rsid w:val="00003EFD"/>
    <w:rsid w:val="00005945"/>
    <w:rsid w:val="00012346"/>
    <w:rsid w:val="00032488"/>
    <w:rsid w:val="00047176"/>
    <w:rsid w:val="00047823"/>
    <w:rsid w:val="000542D7"/>
    <w:rsid w:val="000E04EE"/>
    <w:rsid w:val="00111467"/>
    <w:rsid w:val="001214CD"/>
    <w:rsid w:val="00122BE0"/>
    <w:rsid w:val="00134436"/>
    <w:rsid w:val="00153314"/>
    <w:rsid w:val="00171380"/>
    <w:rsid w:val="0019786B"/>
    <w:rsid w:val="001D18B3"/>
    <w:rsid w:val="0020553D"/>
    <w:rsid w:val="002236CA"/>
    <w:rsid w:val="0029361C"/>
    <w:rsid w:val="002A36AE"/>
    <w:rsid w:val="002A6EE8"/>
    <w:rsid w:val="002B5EF7"/>
    <w:rsid w:val="002B667F"/>
    <w:rsid w:val="002C55E8"/>
    <w:rsid w:val="002D6835"/>
    <w:rsid w:val="002E1C4C"/>
    <w:rsid w:val="002E3828"/>
    <w:rsid w:val="00301782"/>
    <w:rsid w:val="00330147"/>
    <w:rsid w:val="0033724A"/>
    <w:rsid w:val="00386CBF"/>
    <w:rsid w:val="00395897"/>
    <w:rsid w:val="003C3FFC"/>
    <w:rsid w:val="004015F9"/>
    <w:rsid w:val="00411753"/>
    <w:rsid w:val="00435C44"/>
    <w:rsid w:val="004370E4"/>
    <w:rsid w:val="00443BF8"/>
    <w:rsid w:val="004675E9"/>
    <w:rsid w:val="00467A5E"/>
    <w:rsid w:val="00487C97"/>
    <w:rsid w:val="004A16B5"/>
    <w:rsid w:val="004A6380"/>
    <w:rsid w:val="004B5A1C"/>
    <w:rsid w:val="004F5D7F"/>
    <w:rsid w:val="00504E92"/>
    <w:rsid w:val="00512F2B"/>
    <w:rsid w:val="00534746"/>
    <w:rsid w:val="0055364B"/>
    <w:rsid w:val="00565F83"/>
    <w:rsid w:val="005A2204"/>
    <w:rsid w:val="005A257B"/>
    <w:rsid w:val="005B6453"/>
    <w:rsid w:val="005C0A8F"/>
    <w:rsid w:val="005D6737"/>
    <w:rsid w:val="00600F55"/>
    <w:rsid w:val="00603B3F"/>
    <w:rsid w:val="00603CD8"/>
    <w:rsid w:val="00624252"/>
    <w:rsid w:val="006323C1"/>
    <w:rsid w:val="0064036C"/>
    <w:rsid w:val="00654964"/>
    <w:rsid w:val="0069371D"/>
    <w:rsid w:val="00704F4F"/>
    <w:rsid w:val="00716A0B"/>
    <w:rsid w:val="007228AF"/>
    <w:rsid w:val="007438F8"/>
    <w:rsid w:val="00755A21"/>
    <w:rsid w:val="007653E9"/>
    <w:rsid w:val="00774AD8"/>
    <w:rsid w:val="007B7EA4"/>
    <w:rsid w:val="007D11D1"/>
    <w:rsid w:val="007D5C52"/>
    <w:rsid w:val="007E5E10"/>
    <w:rsid w:val="00823901"/>
    <w:rsid w:val="00823F41"/>
    <w:rsid w:val="008533B6"/>
    <w:rsid w:val="008E762B"/>
    <w:rsid w:val="008F120C"/>
    <w:rsid w:val="009227D6"/>
    <w:rsid w:val="009534EE"/>
    <w:rsid w:val="00985505"/>
    <w:rsid w:val="009913CD"/>
    <w:rsid w:val="009A42E6"/>
    <w:rsid w:val="009A4E35"/>
    <w:rsid w:val="009C2F04"/>
    <w:rsid w:val="009D7142"/>
    <w:rsid w:val="009E4BFE"/>
    <w:rsid w:val="009F2A70"/>
    <w:rsid w:val="00A037FE"/>
    <w:rsid w:val="00A24A73"/>
    <w:rsid w:val="00A3223E"/>
    <w:rsid w:val="00A32A58"/>
    <w:rsid w:val="00A33A2F"/>
    <w:rsid w:val="00A41673"/>
    <w:rsid w:val="00A52FCD"/>
    <w:rsid w:val="00AA2418"/>
    <w:rsid w:val="00AB23AE"/>
    <w:rsid w:val="00AB312E"/>
    <w:rsid w:val="00AC6D83"/>
    <w:rsid w:val="00AE3EDC"/>
    <w:rsid w:val="00B2143E"/>
    <w:rsid w:val="00B4650E"/>
    <w:rsid w:val="00B56B39"/>
    <w:rsid w:val="00B82C82"/>
    <w:rsid w:val="00B87063"/>
    <w:rsid w:val="00BD7235"/>
    <w:rsid w:val="00BD76E3"/>
    <w:rsid w:val="00C22132"/>
    <w:rsid w:val="00C37C8F"/>
    <w:rsid w:val="00C4062D"/>
    <w:rsid w:val="00CC50AF"/>
    <w:rsid w:val="00CE6A6B"/>
    <w:rsid w:val="00D12E4D"/>
    <w:rsid w:val="00D14A6E"/>
    <w:rsid w:val="00D43AC3"/>
    <w:rsid w:val="00DA05DA"/>
    <w:rsid w:val="00DB7969"/>
    <w:rsid w:val="00DD192F"/>
    <w:rsid w:val="00DF565F"/>
    <w:rsid w:val="00DF63C2"/>
    <w:rsid w:val="00E017A6"/>
    <w:rsid w:val="00E16CBD"/>
    <w:rsid w:val="00E301C3"/>
    <w:rsid w:val="00E646A8"/>
    <w:rsid w:val="00E71CD6"/>
    <w:rsid w:val="00E721CA"/>
    <w:rsid w:val="00EA7B4A"/>
    <w:rsid w:val="00EC42F7"/>
    <w:rsid w:val="00EC4320"/>
    <w:rsid w:val="00EE5F95"/>
    <w:rsid w:val="00EF0110"/>
    <w:rsid w:val="00F24421"/>
    <w:rsid w:val="00F27BD8"/>
    <w:rsid w:val="00F3183C"/>
    <w:rsid w:val="00FD0A6C"/>
    <w:rsid w:val="00FE13E6"/>
    <w:rsid w:val="00FE7B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64F2A"/>
  <w15:docId w15:val="{7F9BE921-8368-4DFA-B69F-63F35C05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755A21"/>
    <w:pPr>
      <w:tabs>
        <w:tab w:val="center" w:pos="4513"/>
        <w:tab w:val="right" w:pos="9026"/>
      </w:tabs>
      <w:spacing w:line="240" w:lineRule="auto"/>
    </w:pPr>
  </w:style>
  <w:style w:type="character" w:customStyle="1" w:styleId="HeaderChar">
    <w:name w:val="Header Char"/>
    <w:basedOn w:val="DefaultParagraphFont"/>
    <w:link w:val="Header"/>
    <w:uiPriority w:val="99"/>
    <w:rsid w:val="00755A21"/>
    <w:rPr>
      <w:rFonts w:ascii="Verdana" w:hAnsi="Verdana"/>
      <w:color w:val="000000"/>
      <w:sz w:val="18"/>
      <w:szCs w:val="18"/>
    </w:rPr>
  </w:style>
  <w:style w:type="paragraph" w:styleId="Footer">
    <w:name w:val="footer"/>
    <w:basedOn w:val="Normal"/>
    <w:link w:val="FooterChar"/>
    <w:uiPriority w:val="99"/>
    <w:unhideWhenUsed/>
    <w:rsid w:val="00755A21"/>
    <w:pPr>
      <w:tabs>
        <w:tab w:val="center" w:pos="4513"/>
        <w:tab w:val="right" w:pos="9026"/>
      </w:tabs>
      <w:spacing w:line="240" w:lineRule="auto"/>
    </w:pPr>
  </w:style>
  <w:style w:type="character" w:customStyle="1" w:styleId="FooterChar">
    <w:name w:val="Footer Char"/>
    <w:basedOn w:val="DefaultParagraphFont"/>
    <w:link w:val="Footer"/>
    <w:uiPriority w:val="99"/>
    <w:rsid w:val="00755A21"/>
    <w:rPr>
      <w:rFonts w:ascii="Verdana" w:hAnsi="Verdana"/>
      <w:color w:val="000000"/>
      <w:sz w:val="18"/>
      <w:szCs w:val="18"/>
    </w:rPr>
  </w:style>
  <w:style w:type="character" w:styleId="CommentReference">
    <w:name w:val="annotation reference"/>
    <w:basedOn w:val="DefaultParagraphFont"/>
    <w:uiPriority w:val="99"/>
    <w:semiHidden/>
    <w:unhideWhenUsed/>
    <w:rsid w:val="00487C97"/>
    <w:rPr>
      <w:sz w:val="16"/>
      <w:szCs w:val="16"/>
    </w:rPr>
  </w:style>
  <w:style w:type="paragraph" w:styleId="CommentText">
    <w:name w:val="annotation text"/>
    <w:basedOn w:val="Normal"/>
    <w:link w:val="CommentTextChar"/>
    <w:uiPriority w:val="99"/>
    <w:unhideWhenUsed/>
    <w:rsid w:val="00487C97"/>
    <w:pPr>
      <w:spacing w:line="240" w:lineRule="auto"/>
    </w:pPr>
    <w:rPr>
      <w:sz w:val="20"/>
      <w:szCs w:val="20"/>
    </w:rPr>
  </w:style>
  <w:style w:type="character" w:customStyle="1" w:styleId="CommentTextChar">
    <w:name w:val="Comment Text Char"/>
    <w:basedOn w:val="DefaultParagraphFont"/>
    <w:link w:val="CommentText"/>
    <w:uiPriority w:val="99"/>
    <w:rsid w:val="00487C9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87C97"/>
    <w:rPr>
      <w:b/>
      <w:bCs/>
    </w:rPr>
  </w:style>
  <w:style w:type="character" w:customStyle="1" w:styleId="CommentSubjectChar">
    <w:name w:val="Comment Subject Char"/>
    <w:basedOn w:val="CommentTextChar"/>
    <w:link w:val="CommentSubject"/>
    <w:uiPriority w:val="99"/>
    <w:semiHidden/>
    <w:rsid w:val="00487C97"/>
    <w:rPr>
      <w:rFonts w:ascii="Verdana" w:hAnsi="Verdana"/>
      <w:b/>
      <w:bCs/>
      <w:color w:val="000000"/>
    </w:rPr>
  </w:style>
  <w:style w:type="paragraph" w:styleId="Revision">
    <w:name w:val="Revision"/>
    <w:hidden/>
    <w:uiPriority w:val="99"/>
    <w:semiHidden/>
    <w:rsid w:val="002D6835"/>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29361C"/>
    <w:pPr>
      <w:spacing w:line="240" w:lineRule="auto"/>
    </w:pPr>
    <w:rPr>
      <w:sz w:val="20"/>
      <w:szCs w:val="20"/>
    </w:rPr>
  </w:style>
  <w:style w:type="character" w:customStyle="1" w:styleId="FootnoteTextChar">
    <w:name w:val="Footnote Text Char"/>
    <w:basedOn w:val="DefaultParagraphFont"/>
    <w:link w:val="FootnoteText"/>
    <w:uiPriority w:val="99"/>
    <w:semiHidden/>
    <w:rsid w:val="0029361C"/>
    <w:rPr>
      <w:rFonts w:ascii="Verdana" w:hAnsi="Verdana"/>
      <w:color w:val="000000"/>
    </w:rPr>
  </w:style>
  <w:style w:type="character" w:styleId="FootnoteReference">
    <w:name w:val="footnote reference"/>
    <w:basedOn w:val="DefaultParagraphFont"/>
    <w:uiPriority w:val="99"/>
    <w:semiHidden/>
    <w:unhideWhenUsed/>
    <w:rsid w:val="002936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8773">
      <w:bodyDiv w:val="1"/>
      <w:marLeft w:val="0"/>
      <w:marRight w:val="0"/>
      <w:marTop w:val="0"/>
      <w:marBottom w:val="0"/>
      <w:divBdr>
        <w:top w:val="none" w:sz="0" w:space="0" w:color="auto"/>
        <w:left w:val="none" w:sz="0" w:space="0" w:color="auto"/>
        <w:bottom w:val="none" w:sz="0" w:space="0" w:color="auto"/>
        <w:right w:val="none" w:sz="0" w:space="0" w:color="auto"/>
      </w:divBdr>
    </w:div>
    <w:div w:id="2102873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745</ap:Words>
  <ap:Characters>4102</ap:Characters>
  <ap:DocSecurity>0</ap:DocSecurity>
  <ap:Lines>34</ap:Lines>
  <ap:Paragraphs>9</ap:Paragraphs>
  <ap:ScaleCrop>false</ap:ScaleCrop>
  <ap:HeadingPairs>
    <vt:vector baseType="variant" size="2">
      <vt:variant>
        <vt:lpstr>Title</vt:lpstr>
      </vt:variant>
      <vt:variant>
        <vt:i4>1</vt:i4>
      </vt:variant>
    </vt:vector>
  </ap:HeadingPairs>
  <ap:TitlesOfParts>
    <vt:vector baseType="lpstr" size="1">
      <vt:lpstr>Hoe ontwikkelingshulp meer gebonden wordt aan Nederlandse strategische belangen</vt:lpstr>
    </vt:vector>
  </ap:TitlesOfParts>
  <ap:LinksUpToDate>false</ap:LinksUpToDate>
  <ap:CharactersWithSpaces>4838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2025-12-15T10:32:00.0000000Z</lastPrinted>
  <dcterms:created xsi:type="dcterms:W3CDTF">2025-12-17T13:26:00.0000000Z</dcterms:created>
  <dcterms:modified xsi:type="dcterms:W3CDTF">2025-12-17T13:26:00.0000000Z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6002dac2-4f48-4378-8134-4ee84559ee87</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