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Pr="000662A3" w:rsidR="00EE0E8B" w14:paraId="641EFAD6" w14:textId="77777777"/>
    <w:p w:rsidRPr="000662A3" w:rsidR="00C639DE" w:rsidP="00C639DE" w14:paraId="1389D350" w14:textId="77777777">
      <w:r w:rsidRPr="000662A3">
        <w:t>Uw Kamer heeft de Rijksoverheid in</w:t>
      </w:r>
      <w:r w:rsidRPr="000662A3" w:rsidR="00C37D6F">
        <w:t xml:space="preserve"> de motie</w:t>
      </w:r>
      <w:r w:rsidR="00834F37">
        <w:t>-</w:t>
      </w:r>
      <w:r w:rsidRPr="000662A3" w:rsidR="00C37D6F">
        <w:t>Boon</w:t>
      </w:r>
      <w:r>
        <w:rPr>
          <w:rStyle w:val="FootnoteReference"/>
        </w:rPr>
        <w:footnoteReference w:id="2"/>
      </w:r>
      <w:r w:rsidRPr="000662A3">
        <w:t xml:space="preserve"> opgeroepen alles in het werk te stellen om het aantal schijnzelfstandigen per 1 januari 2025 naar 0 terug te brengen. </w:t>
      </w:r>
      <w:r w:rsidRPr="000662A3">
        <w:t xml:space="preserve">Als </w:t>
      </w:r>
      <w:r w:rsidR="00834F37">
        <w:t>m</w:t>
      </w:r>
      <w:r w:rsidRPr="000662A3">
        <w:t>inister van Binnenlandse Zaken en Koninkrijkrelatie</w:t>
      </w:r>
      <w:r w:rsidRPr="000662A3" w:rsidR="00803756">
        <w:t xml:space="preserve"> (BZK)</w:t>
      </w:r>
      <w:r w:rsidRPr="000662A3">
        <w:t xml:space="preserve"> acht ik het van groot belang dat de gehele Rijksdienst functioneert conform de geldende wet- en regelgeving die ook geldt voor de rest van Nederland. Daarom steun ik de oproep in de motie</w:t>
      </w:r>
      <w:r w:rsidR="00834F37">
        <w:t>-</w:t>
      </w:r>
      <w:r w:rsidRPr="000662A3">
        <w:t>Boon om het aantal schijnzelfstandigen binnen de Rijksoverheid terug te brengen.</w:t>
      </w:r>
    </w:p>
    <w:p w:rsidRPr="000662A3" w:rsidR="00C639DE" w14:paraId="297C694C" w14:textId="77777777"/>
    <w:p w:rsidRPr="000662A3" w:rsidR="00EE0E8B" w14:paraId="24E05C28" w14:textId="77777777">
      <w:r w:rsidRPr="000662A3">
        <w:t>Daarnaast verzocht uw Kamer</w:t>
      </w:r>
      <w:r w:rsidRPr="000662A3" w:rsidR="003104B8">
        <w:t xml:space="preserve"> om</w:t>
      </w:r>
      <w:r w:rsidRPr="000662A3">
        <w:t xml:space="preserve"> periodiek geïnformeerd te worden over de voortgang op het afbouwen van schijnzelfstandigheid binnen de Rijksdienst. Hierbij ontvangt u </w:t>
      </w:r>
      <w:r w:rsidRPr="000662A3" w:rsidR="004B7EBA">
        <w:t xml:space="preserve">het overzicht </w:t>
      </w:r>
      <w:r w:rsidRPr="000662A3">
        <w:t xml:space="preserve">van het aantal </w:t>
      </w:r>
      <w:r w:rsidRPr="000662A3" w:rsidR="007429BE">
        <w:t xml:space="preserve">potentieel </w:t>
      </w:r>
      <w:r w:rsidRPr="000662A3">
        <w:t>schijnzelfstandigen binnen de Rijksoverheid</w:t>
      </w:r>
      <w:r w:rsidRPr="000662A3" w:rsidR="00BD39B7">
        <w:t xml:space="preserve"> over twee peildata.</w:t>
      </w:r>
    </w:p>
    <w:p w:rsidRPr="000662A3" w:rsidR="00B771DF" w14:paraId="4E3C3250" w14:textId="77777777"/>
    <w:p w:rsidRPr="000662A3" w:rsidR="00B11DEA" w:rsidP="00B11DEA" w14:paraId="76630159" w14:textId="77777777">
      <w:r w:rsidRPr="000662A3">
        <w:t xml:space="preserve">Op basis van peildata is de informatie opgevraagd bij de ministeries. Deze informatie is door de ministeries verwerkt in een hiervoor speciaal ontwikkeld (intern) dashboard. Het ontwikkelen en vullen van dit dashboard heeft de nodige tijd in beslag genomen, mede omdat elk ministerie een andere methode hanteerde om het overzicht van het aantal </w:t>
      </w:r>
      <w:r w:rsidRPr="000662A3">
        <w:t>ingehuurden</w:t>
      </w:r>
      <w:r w:rsidRPr="000662A3">
        <w:t xml:space="preserve"> te verkrijgen en de cijfers van departementen dus lastig met elkaar te vergelijken waren. De uitvoeringslast om deze informatie alsnog te achterhalen en de registratie bij verschillende departementen eenduidig te definiëren, is hoog waardoor de gegevens pas recentelijk uitgevraagd en verwerkt zijn. De data in deze brief gaat over de peildata 1 januari 2025 en 1 juli 2025. Vanaf 2026 wordt deze uitvraag onderdeel van de Jaarrapportage Bedrijfsvoering Rijk. </w:t>
      </w:r>
    </w:p>
    <w:p w:rsidRPr="000662A3" w:rsidR="00B11DEA" w:rsidP="00B11DEA" w14:paraId="4F37AED0" w14:textId="77777777"/>
    <w:p w:rsidRPr="000662A3" w:rsidR="00B11DEA" w:rsidP="00B11DEA" w14:paraId="263A4897" w14:textId="77777777">
      <w:r w:rsidRPr="000662A3">
        <w:t xml:space="preserve">De informatie die is uitgevraagd aan de departementen, is verdeeld in 3 categorieën. Allereerst is er gevraagd naar het totaal aantal extern ingehuurde medewerkers. </w:t>
      </w:r>
      <w:r w:rsidR="00E13FA1">
        <w:t>Deze categorie behelst naast zelfstandigen ook mensen die ingehuurd zijn via constructies</w:t>
      </w:r>
      <w:r w:rsidR="00897DF6">
        <w:t xml:space="preserve"> waarbij er geen directe overeenkomst is met een ministerie of de rijksoverheid</w:t>
      </w:r>
      <w:r w:rsidR="00F4634F">
        <w:t>, bijvoorbeeld via consultancybureaus</w:t>
      </w:r>
      <w:r w:rsidR="00E13FA1">
        <w:t xml:space="preserve">. </w:t>
      </w:r>
      <w:r w:rsidRPr="000662A3">
        <w:t>Daarnaast is gevraagd welk deel van deze extern ingehuurde medewerkers zelfstandig is. Ten slotte is afgewogen door de departementen welk deel van de zelfstandigen als potentieel schijnzelfstandigen kan worden aangemerkt.</w:t>
      </w:r>
    </w:p>
    <w:p w:rsidRPr="000662A3" w:rsidR="00C67F84" w:rsidP="003A5790" w14:paraId="24FF9955" w14:textId="77777777"/>
    <w:p w:rsidRPr="000662A3" w:rsidR="00803756" w:rsidP="00803756" w14:paraId="7CAA0880" w14:textId="77777777">
      <w:r w:rsidRPr="000662A3">
        <w:t xml:space="preserve">Het overzicht van de aangeleverde cijfers vanuit de departementen duidt op een neerwaartse trend. De ministeries werken er actief aan schijnzelfstandigheid zo </w:t>
      </w:r>
      <w:r w:rsidRPr="000662A3">
        <w:t xml:space="preserve">snel mogelijk naar nul af te bouwen, voor 1 januari 2026. Het </w:t>
      </w:r>
      <w:r w:rsidR="00607C76">
        <w:t>m</w:t>
      </w:r>
      <w:r w:rsidRPr="000662A3">
        <w:t>inisterie van BZK blijft departementen hierin aanmoedigen.</w:t>
      </w:r>
      <w:r w:rsidRPr="000662A3">
        <w:t xml:space="preserve"> </w:t>
      </w:r>
    </w:p>
    <w:p w:rsidRPr="000662A3" w:rsidR="00B16EE8" w14:paraId="2215004D" w14:textId="77777777"/>
    <w:p w:rsidRPr="000662A3" w:rsidR="00EA5DD3" w:rsidP="00EA5DD3" w14:paraId="1AB94FBC" w14:textId="77777777">
      <w:r w:rsidRPr="000662A3">
        <w:t>Rijksbreed</w:t>
      </w:r>
      <w:r w:rsidRPr="000662A3">
        <w:t xml:space="preserve"> waren de volgende gegevens van toepassing.</w:t>
      </w:r>
      <w:r>
        <w:rPr>
          <w:rStyle w:val="FootnoteReference"/>
        </w:rPr>
        <w:footnoteReference w:id="3"/>
      </w:r>
    </w:p>
    <w:p w:rsidRPr="000662A3" w:rsidR="00AD6BAA" w:rsidP="00EA5DD3" w14:paraId="523496E5" w14:textId="77777777"/>
    <w:tbl>
      <w:tblPr>
        <w:tblStyle w:val="Tabelzonderranden"/>
        <w:tblW w:w="7229" w:type="dxa"/>
        <w:tblInd w:w="42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tblPr>
      <w:tblGrid>
        <w:gridCol w:w="4672"/>
        <w:gridCol w:w="1418"/>
        <w:gridCol w:w="1139"/>
      </w:tblGrid>
      <w:tr w:rsidTr="007A3665" w14:paraId="1C9C11A5" w14:textId="77777777">
        <w:tblPrEx>
          <w:tblW w:w="7229" w:type="dxa"/>
          <w:tblInd w:w="42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tblPrEx>
        <w:tc>
          <w:tcPr>
            <w:tcW w:w="4672" w:type="dxa"/>
            <w:shd w:val="clear" w:color="auto" w:fill="auto"/>
          </w:tcPr>
          <w:p w:rsidRPr="000662A3" w:rsidR="00AD6BAA" w:rsidP="00EA5DD3" w14:paraId="468DA07D" w14:textId="77777777"/>
        </w:tc>
        <w:tc>
          <w:tcPr>
            <w:tcW w:w="1418" w:type="dxa"/>
            <w:shd w:val="clear" w:color="auto" w:fill="auto"/>
          </w:tcPr>
          <w:p w:rsidRPr="000662A3" w:rsidR="00AD6BAA" w:rsidP="00AD6BAA" w14:paraId="4252B852" w14:textId="77777777">
            <w:pPr>
              <w:jc w:val="right"/>
              <w:rPr>
                <w:i/>
                <w:iCs/>
              </w:rPr>
            </w:pPr>
            <w:r w:rsidRPr="000662A3">
              <w:rPr>
                <w:i/>
                <w:iCs/>
              </w:rPr>
              <w:t xml:space="preserve">1 </w:t>
            </w:r>
            <w:r w:rsidRPr="000662A3" w:rsidR="00DD1CA3">
              <w:rPr>
                <w:i/>
                <w:iCs/>
              </w:rPr>
              <w:t>januar</w:t>
            </w:r>
            <w:r w:rsidRPr="000662A3">
              <w:rPr>
                <w:i/>
                <w:iCs/>
              </w:rPr>
              <w:t>i 2025</w:t>
            </w:r>
          </w:p>
        </w:tc>
        <w:tc>
          <w:tcPr>
            <w:tcW w:w="1139" w:type="dxa"/>
            <w:shd w:val="clear" w:color="auto" w:fill="auto"/>
          </w:tcPr>
          <w:p w:rsidRPr="000662A3" w:rsidR="00AD6BAA" w:rsidP="00AD6BAA" w14:paraId="7A76049E" w14:textId="77777777">
            <w:pPr>
              <w:jc w:val="right"/>
              <w:rPr>
                <w:i/>
                <w:iCs/>
              </w:rPr>
            </w:pPr>
            <w:r w:rsidRPr="000662A3">
              <w:rPr>
                <w:i/>
                <w:iCs/>
              </w:rPr>
              <w:t>1 juli 2025</w:t>
            </w:r>
          </w:p>
        </w:tc>
      </w:tr>
      <w:tr w:rsidTr="007A3665" w14:paraId="4056223C" w14:textId="77777777">
        <w:tblPrEx>
          <w:tblW w:w="7229" w:type="dxa"/>
          <w:tblInd w:w="426" w:type="dxa"/>
          <w:tblLook w:val="04A0"/>
        </w:tblPrEx>
        <w:tc>
          <w:tcPr>
            <w:tcW w:w="4672" w:type="dxa"/>
            <w:shd w:val="clear" w:color="auto" w:fill="auto"/>
          </w:tcPr>
          <w:p w:rsidRPr="000662A3" w:rsidR="00AD6BAA" w:rsidP="00EA5DD3" w14:paraId="2A5D9E51" w14:textId="77777777"/>
        </w:tc>
        <w:tc>
          <w:tcPr>
            <w:tcW w:w="1418" w:type="dxa"/>
            <w:shd w:val="clear" w:color="auto" w:fill="auto"/>
          </w:tcPr>
          <w:p w:rsidRPr="000662A3" w:rsidR="00AD6BAA" w:rsidP="00AD6BAA" w14:paraId="648F45D1" w14:textId="77777777">
            <w:pPr>
              <w:jc w:val="right"/>
            </w:pPr>
          </w:p>
        </w:tc>
        <w:tc>
          <w:tcPr>
            <w:tcW w:w="1139" w:type="dxa"/>
            <w:shd w:val="clear" w:color="auto" w:fill="auto"/>
          </w:tcPr>
          <w:p w:rsidRPr="000662A3" w:rsidR="00AD6BAA" w:rsidP="00AD6BAA" w14:paraId="67764C33" w14:textId="77777777">
            <w:pPr>
              <w:jc w:val="right"/>
            </w:pPr>
          </w:p>
        </w:tc>
      </w:tr>
      <w:tr w:rsidTr="007A3665" w14:paraId="4DF3FD2F" w14:textId="77777777">
        <w:tblPrEx>
          <w:tblW w:w="7229" w:type="dxa"/>
          <w:tblInd w:w="426" w:type="dxa"/>
          <w:tblLook w:val="04A0"/>
        </w:tblPrEx>
        <w:tc>
          <w:tcPr>
            <w:tcW w:w="4672" w:type="dxa"/>
            <w:shd w:val="clear" w:color="auto" w:fill="auto"/>
          </w:tcPr>
          <w:p w:rsidRPr="000662A3" w:rsidR="00AD6BAA" w:rsidP="00EA5DD3" w14:paraId="436C2C3E" w14:textId="77777777">
            <w:r w:rsidRPr="000662A3">
              <w:t>Extern aantal medewerkers</w:t>
            </w:r>
          </w:p>
        </w:tc>
        <w:tc>
          <w:tcPr>
            <w:tcW w:w="1418" w:type="dxa"/>
            <w:shd w:val="clear" w:color="auto" w:fill="auto"/>
          </w:tcPr>
          <w:p w:rsidRPr="000662A3" w:rsidR="00AD6BAA" w:rsidP="00AD6BAA" w14:paraId="27EA1533" w14:textId="77777777">
            <w:pPr>
              <w:jc w:val="right"/>
            </w:pPr>
            <w:r w:rsidRPr="000662A3">
              <w:t>15.779</w:t>
            </w:r>
          </w:p>
        </w:tc>
        <w:tc>
          <w:tcPr>
            <w:tcW w:w="1139" w:type="dxa"/>
            <w:shd w:val="clear" w:color="auto" w:fill="auto"/>
          </w:tcPr>
          <w:p w:rsidRPr="000662A3" w:rsidR="00AD6BAA" w:rsidP="00AD6BAA" w14:paraId="5A3C14BA" w14:textId="77777777">
            <w:pPr>
              <w:jc w:val="right"/>
            </w:pPr>
            <w:r w:rsidRPr="000662A3">
              <w:t>1</w:t>
            </w:r>
            <w:r w:rsidRPr="000662A3" w:rsidR="000662A3">
              <w:t>6.597</w:t>
            </w:r>
          </w:p>
        </w:tc>
      </w:tr>
      <w:tr w:rsidTr="007A3665" w14:paraId="1538EA51" w14:textId="77777777">
        <w:tblPrEx>
          <w:tblW w:w="7229" w:type="dxa"/>
          <w:tblInd w:w="426" w:type="dxa"/>
          <w:tblLook w:val="04A0"/>
        </w:tblPrEx>
        <w:tc>
          <w:tcPr>
            <w:tcW w:w="4672" w:type="dxa"/>
            <w:shd w:val="clear" w:color="auto" w:fill="auto"/>
          </w:tcPr>
          <w:p w:rsidRPr="000662A3" w:rsidR="00AD6BAA" w:rsidP="00EA5DD3" w14:paraId="2444D735" w14:textId="77777777">
            <w:r w:rsidRPr="000662A3">
              <w:t>Waarvan zelfstandig aantal medewerkers</w:t>
            </w:r>
          </w:p>
        </w:tc>
        <w:tc>
          <w:tcPr>
            <w:tcW w:w="1418" w:type="dxa"/>
            <w:shd w:val="clear" w:color="auto" w:fill="auto"/>
          </w:tcPr>
          <w:p w:rsidRPr="000662A3" w:rsidR="00AD6BAA" w:rsidP="00AD6BAA" w14:paraId="0000CBA6" w14:textId="77777777">
            <w:pPr>
              <w:jc w:val="right"/>
            </w:pPr>
            <w:r w:rsidRPr="000662A3">
              <w:t>3.7</w:t>
            </w:r>
            <w:r w:rsidRPr="000662A3" w:rsidR="00E82E8F">
              <w:t>78</w:t>
            </w:r>
          </w:p>
        </w:tc>
        <w:tc>
          <w:tcPr>
            <w:tcW w:w="1139" w:type="dxa"/>
            <w:shd w:val="clear" w:color="auto" w:fill="auto"/>
          </w:tcPr>
          <w:p w:rsidRPr="000662A3" w:rsidR="00AD6BAA" w:rsidP="00AD6BAA" w14:paraId="3991460B" w14:textId="77777777">
            <w:pPr>
              <w:jc w:val="right"/>
            </w:pPr>
            <w:r w:rsidRPr="000662A3">
              <w:t>4.039</w:t>
            </w:r>
          </w:p>
        </w:tc>
      </w:tr>
      <w:tr w:rsidTr="007A3665" w14:paraId="3891AF73" w14:textId="77777777">
        <w:tblPrEx>
          <w:tblW w:w="7229" w:type="dxa"/>
          <w:tblInd w:w="426" w:type="dxa"/>
          <w:tblLook w:val="04A0"/>
        </w:tblPrEx>
        <w:tc>
          <w:tcPr>
            <w:tcW w:w="4672" w:type="dxa"/>
            <w:shd w:val="clear" w:color="auto" w:fill="auto"/>
          </w:tcPr>
          <w:p w:rsidRPr="000662A3" w:rsidR="00AD6BAA" w:rsidP="00EA5DD3" w14:paraId="4381F047" w14:textId="77777777">
            <w:r w:rsidRPr="000662A3">
              <w:t xml:space="preserve">Waarvan aantal potentieel schijnzelfstandige medewerkers </w:t>
            </w:r>
          </w:p>
        </w:tc>
        <w:tc>
          <w:tcPr>
            <w:tcW w:w="1418" w:type="dxa"/>
            <w:shd w:val="clear" w:color="auto" w:fill="auto"/>
          </w:tcPr>
          <w:p w:rsidRPr="000662A3" w:rsidR="00AD6BAA" w:rsidP="00AD6BAA" w14:paraId="6AEBBF3D" w14:textId="77777777">
            <w:pPr>
              <w:jc w:val="right"/>
            </w:pPr>
            <w:r w:rsidRPr="000662A3">
              <w:t>2.5</w:t>
            </w:r>
            <w:r w:rsidRPr="000662A3" w:rsidR="00E82E8F">
              <w:t>1</w:t>
            </w:r>
            <w:r w:rsidRPr="000662A3">
              <w:t>0</w:t>
            </w:r>
          </w:p>
        </w:tc>
        <w:tc>
          <w:tcPr>
            <w:tcW w:w="1139" w:type="dxa"/>
            <w:shd w:val="clear" w:color="auto" w:fill="auto"/>
          </w:tcPr>
          <w:p w:rsidRPr="000662A3" w:rsidR="00AD6BAA" w:rsidP="00AD6BAA" w14:paraId="71147321" w14:textId="77777777">
            <w:pPr>
              <w:jc w:val="right"/>
            </w:pPr>
            <w:r w:rsidRPr="000662A3">
              <w:t>1</w:t>
            </w:r>
            <w:r w:rsidRPr="000662A3" w:rsidR="000662A3">
              <w:t>.305</w:t>
            </w:r>
          </w:p>
        </w:tc>
      </w:tr>
    </w:tbl>
    <w:p w:rsidRPr="000662A3" w:rsidR="00FA3FB8" w:rsidP="00700C39" w14:paraId="4804AF5C" w14:textId="77777777"/>
    <w:p w:rsidRPr="000662A3" w:rsidR="007A3665" w:rsidP="00700C39" w14:paraId="76C83B6E" w14:textId="77777777">
      <w:r w:rsidRPr="000662A3">
        <w:t>Ten aanzien van de volledigheid van deze data, dienen de volgende kanttekeningen genoemd te worden</w:t>
      </w:r>
      <w:r w:rsidRPr="000662A3" w:rsidR="00C67F84">
        <w:t>;</w:t>
      </w:r>
      <w:r w:rsidRPr="000662A3" w:rsidR="005C1851">
        <w:t xml:space="preserve"> </w:t>
      </w:r>
    </w:p>
    <w:p w:rsidRPr="000662A3" w:rsidR="004E1794" w:rsidP="00700C39" w14:paraId="7A9CD116" w14:textId="77777777"/>
    <w:p w:rsidRPr="000662A3" w:rsidR="00803756" w:rsidP="00803756" w14:paraId="6D0E2902" w14:textId="77777777">
      <w:r w:rsidRPr="000662A3">
        <w:t xml:space="preserve">Het </w:t>
      </w:r>
      <w:r w:rsidR="00B855E4">
        <w:t>m</w:t>
      </w:r>
      <w:r w:rsidRPr="000662A3">
        <w:t>inisterie van Financiën heeft per september 2025 schijnzelfstandigheid afgebouwd. Diverse onderdelen van Financiën, waaronder de Belastingdienst en Douane hebben per 1 januari 2025 reeds volledige afbouw van schijnzelfstandigheid gerealiseerd.</w:t>
      </w:r>
    </w:p>
    <w:p w:rsidRPr="000662A3" w:rsidR="00437B3C" w:rsidP="00700C39" w14:paraId="534820D8" w14:textId="77777777"/>
    <w:p w:rsidRPr="000662A3" w:rsidR="007A3665" w:rsidP="007A3665" w14:paraId="1120E6B2" w14:textId="77777777">
      <w:r w:rsidRPr="000662A3">
        <w:t xml:space="preserve">Binnen </w:t>
      </w:r>
      <w:r>
        <w:t xml:space="preserve">het </w:t>
      </w:r>
      <w:r w:rsidR="00B855E4">
        <w:t>m</w:t>
      </w:r>
      <w:r>
        <w:t>inisterie van Justitie en Veiligheid (</w:t>
      </w:r>
      <w:r w:rsidRPr="000662A3">
        <w:t>JenV</w:t>
      </w:r>
      <w:r>
        <w:t>)</w:t>
      </w:r>
      <w:r w:rsidRPr="000662A3">
        <w:t xml:space="preserve"> </w:t>
      </w:r>
      <w:r w:rsidRPr="000662A3">
        <w:t xml:space="preserve">wordt informatie over externe inhuur niet centraal geregistreerd. Het bijeenbrengen van deze informatie is daardoor een tijdrovend en arbeidsintensief proces. </w:t>
      </w:r>
      <w:r w:rsidRPr="000662A3">
        <w:t>JenV</w:t>
      </w:r>
      <w:r w:rsidRPr="000662A3">
        <w:t xml:space="preserve"> heeft dit getracht te doen in het kader van de onderhavige rapportage. De mogelijkheid bestaat echter dat daadwerkelijke aantallen op 1 januari en 1 juli 2025 enigszins verschillen van de in de brief genoemde aantallen. Daarnaast heeft men, gelet op het voorgaande, in een enkel geval uitsluitend gerapporteerd over het aantal potentieel schijnzelfstandigen op de peildata (conform toezegging Tweede Kamer). </w:t>
      </w:r>
      <w:r w:rsidRPr="000662A3">
        <w:t>JenV</w:t>
      </w:r>
      <w:r w:rsidRPr="000662A3">
        <w:t xml:space="preserve"> streeft ernaar schijnzelfstandigheid per 1 januari 2026 volledig te hebben afgebouwd</w:t>
      </w:r>
      <w:r w:rsidRPr="000662A3" w:rsidR="00C639DE">
        <w:t>.</w:t>
      </w:r>
    </w:p>
    <w:p w:rsidRPr="000662A3" w:rsidR="00C639DE" w:rsidP="007A3665" w14:paraId="363F078B" w14:textId="77777777"/>
    <w:p w:rsidRPr="000662A3" w:rsidR="00803756" w:rsidP="00803756" w14:paraId="2B1120E9" w14:textId="77777777">
      <w:r w:rsidRPr="000662A3">
        <w:t xml:space="preserve">De </w:t>
      </w:r>
      <w:r w:rsidR="00B855E4">
        <w:t>m</w:t>
      </w:r>
      <w:r w:rsidRPr="000662A3">
        <w:t xml:space="preserve">inisteries van BZK en Volkshuisvesting en Ruimtelijke Ordening hebben omwille van betrouwbaarheid van de data niet de aantallen over 1 januari 2025 gerapporteerd, maar over 1 april 2025. </w:t>
      </w:r>
    </w:p>
    <w:p w:rsidRPr="000662A3" w:rsidR="00E82E8F" w:rsidP="007A3665" w14:paraId="4B285413" w14:textId="77777777"/>
    <w:p w:rsidRPr="000829B4" w:rsidR="000829B4" w:rsidP="000829B4" w14:paraId="652E370A" w14:textId="77777777">
      <w:r w:rsidRPr="000829B4">
        <w:t xml:space="preserve">Het </w:t>
      </w:r>
      <w:r w:rsidR="00B855E4">
        <w:t>m</w:t>
      </w:r>
      <w:r w:rsidRPr="000829B4">
        <w:t xml:space="preserve">inisterie van Onderwijs, Cultuur en Wetenschap </w:t>
      </w:r>
      <w:r w:rsidRPr="000662A3" w:rsidR="00B11DEA">
        <w:t xml:space="preserve">(OCW) </w:t>
      </w:r>
      <w:r w:rsidRPr="000829B4">
        <w:t>had voor de externe inhuur op 1 januari 2025 uitsluitend inzicht in de financiële omvang hiervan. Over 1 juli heeft OCW gezorgd voor inzicht in aantallen externe inhuur en het aandeel zzp-</w:t>
      </w:r>
      <w:r w:rsidRPr="000829B4">
        <w:t>ers</w:t>
      </w:r>
      <w:r w:rsidRPr="000829B4">
        <w:t>. OCW werkt voortvarend aan betrouwbaar inzicht in het aantal potentieel schijnzelfstandigen en aan de afbouw hiervan.  </w:t>
      </w:r>
    </w:p>
    <w:p w:rsidRPr="000662A3" w:rsidR="00FA33A8" w:rsidP="00FA33A8" w14:paraId="3902682E" w14:textId="77777777"/>
    <w:p w:rsidRPr="000829B4" w:rsidR="000829B4" w:rsidP="000829B4" w14:paraId="2C63759E" w14:textId="77777777">
      <w:r w:rsidRPr="000829B4">
        <w:t xml:space="preserve">Op 1 juli 2025 had het </w:t>
      </w:r>
      <w:r w:rsidR="00B855E4">
        <w:t>m</w:t>
      </w:r>
      <w:r w:rsidRPr="000829B4">
        <w:t xml:space="preserve">inisterie van Infrastructuur en Waterstaat (RWS) 130 zzp’ers met een hoog risico op schijnzelfstandigheid. </w:t>
      </w:r>
      <w:r w:rsidRPr="000662A3">
        <w:t>Na 1 juli is het aantal zzp’ers met een</w:t>
      </w:r>
      <w:r w:rsidRPr="000662A3" w:rsidR="0047792A">
        <w:t xml:space="preserve"> </w:t>
      </w:r>
      <w:r w:rsidRPr="000662A3">
        <w:t>risico op schijnzelfstandigheid afgebouwd naar 84 op 14 november</w:t>
      </w:r>
      <w:r w:rsidRPr="000829B4">
        <w:t xml:space="preserve">. De inspanning is erop gericht om einde dit jaar de schijnzelfstandigheid verder af te </w:t>
      </w:r>
      <w:r w:rsidRPr="000829B4">
        <w:t>bouwen. Daarvoor worden de geïnventariseerde risicogevallen actief benaderd met alternatieven om het risico voor 2026 weg te nemen.</w:t>
      </w:r>
    </w:p>
    <w:p w:rsidRPr="000662A3" w:rsidR="007A3665" w:rsidP="00FA33A8" w14:paraId="7EA3FE1E" w14:textId="77777777"/>
    <w:p w:rsidRPr="00E72519" w:rsidR="00E72519" w:rsidP="00E72519" w14:paraId="7458CF4A" w14:textId="77777777">
      <w:r w:rsidRPr="00E72519">
        <w:t xml:space="preserve">Het </w:t>
      </w:r>
      <w:r w:rsidR="00B855E4">
        <w:t>m</w:t>
      </w:r>
      <w:r w:rsidRPr="00E72519">
        <w:t xml:space="preserve">inisterie van Defensie beschikt alleen over de cijfers van het tweede peilmoment. De krijgsmacht </w:t>
      </w:r>
      <w:r w:rsidR="00A90E33">
        <w:t xml:space="preserve">valt buiten de reikwijdte </w:t>
      </w:r>
      <w:r w:rsidRPr="00E72519">
        <w:t>van deze inventarisatie.</w:t>
      </w:r>
    </w:p>
    <w:p w:rsidRPr="000662A3" w:rsidR="00BC7A66" w:rsidP="0071666C" w14:paraId="0E15369B" w14:textId="77777777"/>
    <w:p w:rsidRPr="000662A3" w:rsidR="00803756" w:rsidP="00803756" w14:paraId="5EDCA15D" w14:textId="77777777">
      <w:r w:rsidRPr="000662A3">
        <w:t xml:space="preserve">Ik vind het van groot belang dat de Rijksoverheid het goede voorbeeld geeft in de aanpak van schijnzelfstandigheid en zorgt voor een snelle afbouw van het aantal (potentieel) schijnzelfstandigen naar 0, voor 1 januari 2026. </w:t>
      </w:r>
      <w:r w:rsidR="00A90E33">
        <w:t xml:space="preserve">Het ministerie van BZK heeft beleidsinstrumenten ontwikkeld die door alle ministeries zijn vastgesteld. </w:t>
      </w:r>
      <w:r w:rsidR="007F48C8">
        <w:t>Hierin wordt onder andere bepaald dat departementen hun externe inhuur en welk deel daarvan aangemerkt kan worden als potentieel</w:t>
      </w:r>
      <w:r w:rsidR="007F48C8">
        <w:t xml:space="preserve"> </w:t>
      </w:r>
      <w:r w:rsidR="007F48C8">
        <w:t>schijnzelfstandige moeten bijhouden</w:t>
      </w:r>
      <w:r w:rsidR="00A90E33">
        <w:t xml:space="preserve">. Ook bieden deze instrumenten hulp aan departementen bij de beoordeling van de arbeidsrelatie bij ingehuurde zelfstandigen. </w:t>
      </w:r>
      <w:r w:rsidRPr="000662A3">
        <w:t xml:space="preserve">Ook faciliteert het </w:t>
      </w:r>
      <w:r w:rsidR="00FF3F97">
        <w:t>m</w:t>
      </w:r>
      <w:r w:rsidRPr="000662A3">
        <w:t>inisterie van BZK kennisdeling tussen departementen onderling, zodat de afbouw van schijnzelfstandigheid zo zorgvuldig mogelijk gebeurt.</w:t>
      </w:r>
    </w:p>
    <w:p w:rsidRPr="000662A3" w:rsidR="00803756" w:rsidP="00803756" w14:paraId="51274A72" w14:textId="77777777"/>
    <w:p w:rsidRPr="000662A3" w:rsidR="00803756" w:rsidP="00803756" w14:paraId="6B5FD333" w14:textId="77777777"/>
    <w:p w:rsidRPr="000662A3" w:rsidR="00803756" w:rsidP="00803756" w14:paraId="563638EC" w14:textId="77777777">
      <w:r w:rsidRPr="000662A3">
        <w:t xml:space="preserve">De </w:t>
      </w:r>
      <w:r w:rsidR="00B855E4">
        <w:t>m</w:t>
      </w:r>
      <w:r w:rsidRPr="000662A3">
        <w:t xml:space="preserve">inister van Binnenlandse Zaken en Koninkrijksrelaties, </w:t>
      </w:r>
    </w:p>
    <w:p w:rsidRPr="000662A3" w:rsidR="00803756" w:rsidP="00803756" w14:paraId="79329710" w14:textId="77777777"/>
    <w:p w:rsidRPr="000662A3" w:rsidR="00803756" w:rsidP="00803756" w14:paraId="24DA3F25" w14:textId="77777777"/>
    <w:p w:rsidRPr="000662A3" w:rsidR="00803756" w:rsidP="00803756" w14:paraId="63B52B82" w14:textId="77777777"/>
    <w:p w:rsidRPr="000662A3" w:rsidR="00803756" w:rsidP="00803756" w14:paraId="3852F57D" w14:textId="77777777"/>
    <w:p w:rsidRPr="000662A3" w:rsidR="00803756" w:rsidP="00803756" w14:paraId="61A09F64" w14:textId="77777777">
      <w:r w:rsidRPr="000662A3">
        <w:t>F. Rijkaart</w:t>
      </w:r>
    </w:p>
    <w:p w:rsidRPr="00803756" w:rsidR="00EE0E8B" w14:paraId="6A0F9724" w14:textId="77777777">
      <w:r w:rsidRPr="006106A5">
        <w:br w:type="page"/>
      </w:r>
      <w:r w:rsidRPr="006106A5" w:rsidR="00564024">
        <w:rPr>
          <w:b/>
          <w:bCs/>
        </w:rPr>
        <w:t>Specificatie per departement</w:t>
      </w:r>
      <w:r w:rsidRPr="006106A5" w:rsidR="00010263">
        <w:rPr>
          <w:b/>
          <w:bCs/>
        </w:rPr>
        <w:t xml:space="preserve"> op 1 januari 2025</w:t>
      </w:r>
    </w:p>
    <w:p w:rsidRPr="006106A5" w:rsidR="00564024" w14:paraId="73263BC8" w14:textId="77777777"/>
    <w:tbl>
      <w:tblPr>
        <w:tblStyle w:val="ListTable7Colorful"/>
        <w:tblW w:w="8784" w:type="dxa"/>
        <w:tblLook w:val="04A0"/>
      </w:tblPr>
      <w:tblGrid>
        <w:gridCol w:w="2613"/>
        <w:gridCol w:w="1918"/>
        <w:gridCol w:w="1701"/>
        <w:gridCol w:w="2552"/>
      </w:tblGrid>
      <w:tr w:rsidTr="00061875" w14:paraId="7A4FB0DB" w14:textId="77777777">
        <w:tblPrEx>
          <w:tblW w:w="8784" w:type="dxa"/>
          <w:tblLook w:val="04A0"/>
        </w:tblPrEx>
        <w:trPr>
          <w:trHeight w:val="300"/>
        </w:trPr>
        <w:tc>
          <w:tcPr>
            <w:tcW w:w="2613" w:type="dxa"/>
            <w:noWrap/>
            <w:hideMark/>
          </w:tcPr>
          <w:p w:rsidRPr="006106A5" w:rsidR="000B51FE" w:rsidP="00061875" w14:paraId="1CD06397" w14:textId="77777777">
            <w:pPr>
              <w:rPr>
                <w:b/>
                <w:bCs/>
              </w:rPr>
            </w:pPr>
          </w:p>
        </w:tc>
        <w:tc>
          <w:tcPr>
            <w:tcW w:w="1918" w:type="dxa"/>
            <w:noWrap/>
            <w:hideMark/>
          </w:tcPr>
          <w:p w:rsidRPr="006106A5" w:rsidR="000B51FE" w:rsidP="00061875" w14:paraId="01895C1F" w14:textId="77777777">
            <w:r w:rsidRPr="006106A5">
              <w:t>Aantal externe medewerkers op 1 januari 2025</w:t>
            </w:r>
          </w:p>
        </w:tc>
        <w:tc>
          <w:tcPr>
            <w:tcW w:w="1701" w:type="dxa"/>
            <w:noWrap/>
            <w:hideMark/>
          </w:tcPr>
          <w:p w:rsidRPr="006106A5" w:rsidR="000B51FE" w:rsidP="00061875" w14:paraId="0D9FB096" w14:textId="77777777">
            <w:r w:rsidRPr="006106A5">
              <w:t>Aantal zelfstandigen op 1 januari 2025</w:t>
            </w:r>
          </w:p>
        </w:tc>
        <w:tc>
          <w:tcPr>
            <w:tcW w:w="2552" w:type="dxa"/>
            <w:noWrap/>
            <w:hideMark/>
          </w:tcPr>
          <w:p w:rsidRPr="006106A5" w:rsidR="000B51FE" w:rsidP="00061875" w14:paraId="42461B1F" w14:textId="77777777">
            <w:pPr>
              <w:rPr>
                <w:i w:val="0"/>
                <w:iCs w:val="0"/>
              </w:rPr>
            </w:pPr>
            <w:r w:rsidRPr="006106A5">
              <w:t>Aantal potentieel schijnzelfstandigen op 1 januari 2025</w:t>
            </w:r>
          </w:p>
          <w:p w:rsidRPr="006106A5" w:rsidR="00700C39" w:rsidP="00061875" w14:paraId="168B552F" w14:textId="77777777"/>
        </w:tc>
      </w:tr>
      <w:tr w:rsidTr="00192A5F" w14:paraId="53C0131D" w14:textId="77777777">
        <w:tblPrEx>
          <w:tblW w:w="8784" w:type="dxa"/>
          <w:tblLook w:val="04A0"/>
        </w:tblPrEx>
        <w:trPr>
          <w:trHeight w:val="300"/>
        </w:trPr>
        <w:tc>
          <w:tcPr>
            <w:tcW w:w="2613" w:type="dxa"/>
            <w:noWrap/>
            <w:hideMark/>
          </w:tcPr>
          <w:p w:rsidRPr="006106A5" w:rsidR="00F52B8C" w:rsidP="00F52B8C" w14:paraId="5E40B805" w14:textId="77777777">
            <w:pPr>
              <w:jc w:val="left"/>
              <w:rPr>
                <w:i w:val="0"/>
                <w:iCs w:val="0"/>
              </w:rPr>
            </w:pPr>
            <w:r w:rsidRPr="006106A5">
              <w:t>Algemene Zaken</w:t>
            </w:r>
          </w:p>
          <w:p w:rsidRPr="006106A5" w:rsidR="00F52B8C" w:rsidP="00F52B8C" w14:paraId="73E07865" w14:textId="77777777">
            <w:pPr>
              <w:jc w:val="left"/>
              <w:rPr>
                <w:i w:val="0"/>
                <w:iCs w:val="0"/>
              </w:rPr>
            </w:pPr>
          </w:p>
          <w:p w:rsidRPr="006106A5" w:rsidR="00F52B8C" w:rsidP="00F52B8C" w14:paraId="0577C011" w14:textId="77777777">
            <w:pPr>
              <w:jc w:val="left"/>
            </w:pPr>
          </w:p>
        </w:tc>
        <w:tc>
          <w:tcPr>
            <w:tcW w:w="1918" w:type="dxa"/>
            <w:noWrap/>
            <w:vAlign w:val="bottom"/>
            <w:hideMark/>
          </w:tcPr>
          <w:p w:rsidRPr="006106A5" w:rsidR="00F52B8C" w:rsidP="00F52B8C" w14:paraId="5E100BF0" w14:textId="77777777">
            <w:pPr>
              <w:spacing w:line="360" w:lineRule="auto"/>
            </w:pPr>
            <w:r w:rsidRPr="006106A5">
              <w:t>66</w:t>
            </w:r>
          </w:p>
        </w:tc>
        <w:tc>
          <w:tcPr>
            <w:tcW w:w="1701" w:type="dxa"/>
            <w:noWrap/>
            <w:vAlign w:val="bottom"/>
            <w:hideMark/>
          </w:tcPr>
          <w:p w:rsidRPr="006106A5" w:rsidR="00F52B8C" w:rsidP="00F52B8C" w14:paraId="28A6E622" w14:textId="77777777">
            <w:pPr>
              <w:spacing w:line="360" w:lineRule="auto"/>
            </w:pPr>
            <w:r w:rsidRPr="006106A5">
              <w:t>27</w:t>
            </w:r>
          </w:p>
        </w:tc>
        <w:tc>
          <w:tcPr>
            <w:tcW w:w="2552" w:type="dxa"/>
            <w:noWrap/>
            <w:vAlign w:val="bottom"/>
            <w:hideMark/>
          </w:tcPr>
          <w:p w:rsidRPr="006106A5" w:rsidR="00F52B8C" w:rsidP="00F52B8C" w14:paraId="25D76811" w14:textId="77777777">
            <w:pPr>
              <w:spacing w:line="360" w:lineRule="auto"/>
            </w:pPr>
            <w:r w:rsidRPr="006106A5">
              <w:t>0</w:t>
            </w:r>
          </w:p>
        </w:tc>
      </w:tr>
      <w:tr w:rsidTr="00192A5F" w14:paraId="69EBB056" w14:textId="77777777">
        <w:tblPrEx>
          <w:tblW w:w="8784" w:type="dxa"/>
          <w:tblLook w:val="04A0"/>
        </w:tblPrEx>
        <w:trPr>
          <w:trHeight w:val="300"/>
        </w:trPr>
        <w:tc>
          <w:tcPr>
            <w:tcW w:w="2613" w:type="dxa"/>
            <w:noWrap/>
            <w:hideMark/>
          </w:tcPr>
          <w:p w:rsidRPr="006106A5" w:rsidR="00F52B8C" w:rsidP="00F52B8C" w14:paraId="0AAA2F8E" w14:textId="77777777">
            <w:pPr>
              <w:jc w:val="left"/>
              <w:rPr>
                <w:i w:val="0"/>
                <w:iCs w:val="0"/>
              </w:rPr>
            </w:pPr>
            <w:r w:rsidRPr="006106A5">
              <w:t>Binnenlandse Zaken en Koninkrijksrelaties en Volkshuisvesting en Ruimtelijke Ordening</w:t>
            </w:r>
          </w:p>
          <w:p w:rsidRPr="006106A5" w:rsidR="00F52B8C" w:rsidP="00F52B8C" w14:paraId="3DEF2344" w14:textId="77777777">
            <w:pPr>
              <w:jc w:val="left"/>
              <w:rPr>
                <w:i w:val="0"/>
                <w:iCs w:val="0"/>
              </w:rPr>
            </w:pPr>
          </w:p>
          <w:p w:rsidRPr="006106A5" w:rsidR="00F52B8C" w:rsidP="00F52B8C" w14:paraId="1A28C8E3" w14:textId="77777777">
            <w:pPr>
              <w:jc w:val="left"/>
            </w:pPr>
          </w:p>
        </w:tc>
        <w:tc>
          <w:tcPr>
            <w:tcW w:w="1918" w:type="dxa"/>
            <w:noWrap/>
            <w:vAlign w:val="bottom"/>
            <w:hideMark/>
          </w:tcPr>
          <w:p w:rsidRPr="006106A5" w:rsidR="00F52B8C" w:rsidP="00F52B8C" w14:paraId="29AF767F" w14:textId="77777777">
            <w:pPr>
              <w:spacing w:line="360" w:lineRule="auto"/>
            </w:pPr>
            <w:r w:rsidRPr="006106A5">
              <w:t>22</w:t>
            </w:r>
            <w:r w:rsidRPr="006106A5" w:rsidR="00DF2FE1">
              <w:t>0</w:t>
            </w:r>
            <w:r w:rsidR="004C1DCE">
              <w:t>2</w:t>
            </w:r>
          </w:p>
        </w:tc>
        <w:tc>
          <w:tcPr>
            <w:tcW w:w="1701" w:type="dxa"/>
            <w:noWrap/>
            <w:vAlign w:val="bottom"/>
            <w:hideMark/>
          </w:tcPr>
          <w:p w:rsidRPr="006106A5" w:rsidR="00F52B8C" w:rsidP="00F52B8C" w14:paraId="4B61AB4C" w14:textId="77777777">
            <w:pPr>
              <w:spacing w:line="360" w:lineRule="auto"/>
            </w:pPr>
            <w:r w:rsidRPr="006106A5">
              <w:t>879</w:t>
            </w:r>
          </w:p>
        </w:tc>
        <w:tc>
          <w:tcPr>
            <w:tcW w:w="2552" w:type="dxa"/>
            <w:noWrap/>
            <w:vAlign w:val="bottom"/>
            <w:hideMark/>
          </w:tcPr>
          <w:p w:rsidRPr="006106A5" w:rsidR="00F52B8C" w:rsidP="00F52B8C" w14:paraId="7CF54F2F" w14:textId="77777777">
            <w:pPr>
              <w:spacing w:line="360" w:lineRule="auto"/>
            </w:pPr>
            <w:r w:rsidRPr="006106A5">
              <w:t>376</w:t>
            </w:r>
          </w:p>
        </w:tc>
      </w:tr>
      <w:tr w:rsidTr="00192A5F" w14:paraId="3E2FCEB0" w14:textId="77777777">
        <w:tblPrEx>
          <w:tblW w:w="8784" w:type="dxa"/>
          <w:tblLook w:val="04A0"/>
        </w:tblPrEx>
        <w:trPr>
          <w:trHeight w:val="300"/>
        </w:trPr>
        <w:tc>
          <w:tcPr>
            <w:tcW w:w="2613" w:type="dxa"/>
            <w:noWrap/>
            <w:hideMark/>
          </w:tcPr>
          <w:p w:rsidRPr="006106A5" w:rsidR="00F52B8C" w:rsidP="00F52B8C" w14:paraId="11D8D399" w14:textId="77777777">
            <w:pPr>
              <w:jc w:val="left"/>
              <w:rPr>
                <w:i w:val="0"/>
                <w:iCs w:val="0"/>
              </w:rPr>
            </w:pPr>
            <w:r w:rsidRPr="006106A5">
              <w:t>Buitenlandse Zaken</w:t>
            </w:r>
          </w:p>
          <w:p w:rsidRPr="006106A5" w:rsidR="00F52B8C" w:rsidP="00F52B8C" w14:paraId="463A4DD4" w14:textId="77777777">
            <w:pPr>
              <w:jc w:val="left"/>
              <w:rPr>
                <w:i w:val="0"/>
                <w:iCs w:val="0"/>
              </w:rPr>
            </w:pPr>
          </w:p>
          <w:p w:rsidRPr="006106A5" w:rsidR="00F52B8C" w:rsidP="00F52B8C" w14:paraId="45C88F2A" w14:textId="77777777">
            <w:pPr>
              <w:jc w:val="left"/>
            </w:pPr>
          </w:p>
        </w:tc>
        <w:tc>
          <w:tcPr>
            <w:tcW w:w="1918" w:type="dxa"/>
            <w:noWrap/>
            <w:vAlign w:val="bottom"/>
            <w:hideMark/>
          </w:tcPr>
          <w:p w:rsidRPr="006106A5" w:rsidR="00F52B8C" w:rsidP="00F52B8C" w14:paraId="3A290D3C" w14:textId="77777777">
            <w:pPr>
              <w:spacing w:line="360" w:lineRule="auto"/>
            </w:pPr>
            <w:r w:rsidRPr="006106A5">
              <w:t>41</w:t>
            </w:r>
            <w:r w:rsidRPr="006106A5" w:rsidR="00DF2FE1">
              <w:t>3</w:t>
            </w:r>
          </w:p>
        </w:tc>
        <w:tc>
          <w:tcPr>
            <w:tcW w:w="1701" w:type="dxa"/>
            <w:noWrap/>
            <w:vAlign w:val="bottom"/>
            <w:hideMark/>
          </w:tcPr>
          <w:p w:rsidRPr="006106A5" w:rsidR="00F52B8C" w:rsidP="00F52B8C" w14:paraId="53ED7B81" w14:textId="77777777">
            <w:pPr>
              <w:spacing w:line="360" w:lineRule="auto"/>
            </w:pPr>
            <w:r w:rsidRPr="006106A5">
              <w:t>108</w:t>
            </w:r>
          </w:p>
        </w:tc>
        <w:tc>
          <w:tcPr>
            <w:tcW w:w="2552" w:type="dxa"/>
            <w:noWrap/>
            <w:vAlign w:val="bottom"/>
            <w:hideMark/>
          </w:tcPr>
          <w:p w:rsidRPr="006106A5" w:rsidR="00F52B8C" w:rsidP="00F52B8C" w14:paraId="58A7F35B" w14:textId="77777777">
            <w:pPr>
              <w:spacing w:line="360" w:lineRule="auto"/>
            </w:pPr>
            <w:r w:rsidRPr="006106A5">
              <w:t>33</w:t>
            </w:r>
          </w:p>
        </w:tc>
      </w:tr>
      <w:tr w:rsidTr="00192A5F" w14:paraId="2166E818" w14:textId="77777777">
        <w:tblPrEx>
          <w:tblW w:w="8784" w:type="dxa"/>
          <w:tblLook w:val="04A0"/>
        </w:tblPrEx>
        <w:trPr>
          <w:trHeight w:val="300"/>
        </w:trPr>
        <w:tc>
          <w:tcPr>
            <w:tcW w:w="2613" w:type="dxa"/>
            <w:noWrap/>
            <w:hideMark/>
          </w:tcPr>
          <w:p w:rsidRPr="006106A5" w:rsidR="00F52B8C" w:rsidP="00F52B8C" w14:paraId="4B190D9A" w14:textId="77777777">
            <w:pPr>
              <w:jc w:val="left"/>
              <w:rPr>
                <w:i w:val="0"/>
                <w:iCs w:val="0"/>
              </w:rPr>
            </w:pPr>
            <w:r w:rsidRPr="006106A5">
              <w:t>Defensie</w:t>
            </w:r>
          </w:p>
          <w:p w:rsidRPr="006106A5" w:rsidR="00F52B8C" w:rsidP="00F52B8C" w14:paraId="1B2BBAB8" w14:textId="77777777">
            <w:pPr>
              <w:jc w:val="left"/>
              <w:rPr>
                <w:i w:val="0"/>
                <w:iCs w:val="0"/>
              </w:rPr>
            </w:pPr>
          </w:p>
          <w:p w:rsidRPr="006106A5" w:rsidR="00F52B8C" w:rsidP="00F52B8C" w14:paraId="77A6DC4A" w14:textId="77777777">
            <w:pPr>
              <w:jc w:val="left"/>
            </w:pPr>
          </w:p>
        </w:tc>
        <w:tc>
          <w:tcPr>
            <w:tcW w:w="1918" w:type="dxa"/>
            <w:noWrap/>
            <w:vAlign w:val="bottom"/>
            <w:hideMark/>
          </w:tcPr>
          <w:p w:rsidRPr="006106A5" w:rsidR="00F52B8C" w:rsidP="00F52B8C" w14:paraId="575DEC9B" w14:textId="77777777">
            <w:pPr>
              <w:spacing w:line="360" w:lineRule="auto"/>
            </w:pPr>
            <w:r>
              <w:t>-</w:t>
            </w:r>
          </w:p>
        </w:tc>
        <w:tc>
          <w:tcPr>
            <w:tcW w:w="1701" w:type="dxa"/>
            <w:noWrap/>
            <w:vAlign w:val="bottom"/>
            <w:hideMark/>
          </w:tcPr>
          <w:p w:rsidRPr="006106A5" w:rsidR="00F52B8C" w:rsidP="00F52B8C" w14:paraId="494ADB89" w14:textId="77777777">
            <w:pPr>
              <w:spacing w:line="360" w:lineRule="auto"/>
            </w:pPr>
            <w:r w:rsidRPr="006106A5">
              <w:t>-</w:t>
            </w:r>
          </w:p>
        </w:tc>
        <w:tc>
          <w:tcPr>
            <w:tcW w:w="2552" w:type="dxa"/>
            <w:noWrap/>
            <w:vAlign w:val="bottom"/>
            <w:hideMark/>
          </w:tcPr>
          <w:p w:rsidRPr="006106A5" w:rsidR="00F52B8C" w:rsidP="00F52B8C" w14:paraId="57D4FFD1" w14:textId="77777777">
            <w:pPr>
              <w:spacing w:line="360" w:lineRule="auto"/>
            </w:pPr>
            <w:r w:rsidRPr="006106A5">
              <w:t>-</w:t>
            </w:r>
          </w:p>
        </w:tc>
      </w:tr>
      <w:tr w:rsidTr="00192A5F" w14:paraId="31DFEF7E" w14:textId="77777777">
        <w:tblPrEx>
          <w:tblW w:w="8784" w:type="dxa"/>
          <w:tblLook w:val="04A0"/>
        </w:tblPrEx>
        <w:trPr>
          <w:trHeight w:val="300"/>
        </w:trPr>
        <w:tc>
          <w:tcPr>
            <w:tcW w:w="2613" w:type="dxa"/>
            <w:noWrap/>
            <w:hideMark/>
          </w:tcPr>
          <w:p w:rsidRPr="006106A5" w:rsidR="00F52B8C" w:rsidP="00F52B8C" w14:paraId="03E29B2B" w14:textId="77777777">
            <w:pPr>
              <w:jc w:val="left"/>
              <w:rPr>
                <w:i w:val="0"/>
                <w:iCs w:val="0"/>
              </w:rPr>
            </w:pPr>
            <w:r w:rsidRPr="006106A5">
              <w:t>Economische Zaken</w:t>
            </w:r>
            <w:r w:rsidRPr="006106A5" w:rsidR="00411D4E">
              <w:t xml:space="preserve"> en Klimaat en Groene Groei</w:t>
            </w:r>
          </w:p>
          <w:p w:rsidRPr="006106A5" w:rsidR="00F52B8C" w:rsidP="00F52B8C" w14:paraId="276767CF" w14:textId="77777777">
            <w:pPr>
              <w:jc w:val="left"/>
              <w:rPr>
                <w:i w:val="0"/>
                <w:iCs w:val="0"/>
              </w:rPr>
            </w:pPr>
          </w:p>
          <w:p w:rsidRPr="006106A5" w:rsidR="00F52B8C" w:rsidP="00F52B8C" w14:paraId="450649F7" w14:textId="77777777">
            <w:pPr>
              <w:jc w:val="left"/>
            </w:pPr>
          </w:p>
        </w:tc>
        <w:tc>
          <w:tcPr>
            <w:tcW w:w="1918" w:type="dxa"/>
            <w:noWrap/>
            <w:vAlign w:val="bottom"/>
            <w:hideMark/>
          </w:tcPr>
          <w:p w:rsidRPr="006106A5" w:rsidR="00F52B8C" w:rsidP="00F52B8C" w14:paraId="1D505370" w14:textId="77777777">
            <w:pPr>
              <w:spacing w:line="360" w:lineRule="auto"/>
            </w:pPr>
            <w:r w:rsidRPr="006106A5">
              <w:t>1701</w:t>
            </w:r>
          </w:p>
        </w:tc>
        <w:tc>
          <w:tcPr>
            <w:tcW w:w="1701" w:type="dxa"/>
            <w:noWrap/>
            <w:vAlign w:val="bottom"/>
            <w:hideMark/>
          </w:tcPr>
          <w:p w:rsidRPr="006106A5" w:rsidR="00F52B8C" w:rsidP="00F52B8C" w14:paraId="2D9DA6D6" w14:textId="77777777">
            <w:pPr>
              <w:spacing w:line="360" w:lineRule="auto"/>
            </w:pPr>
            <w:r w:rsidRPr="006106A5">
              <w:t>524</w:t>
            </w:r>
          </w:p>
        </w:tc>
        <w:tc>
          <w:tcPr>
            <w:tcW w:w="2552" w:type="dxa"/>
            <w:noWrap/>
            <w:vAlign w:val="bottom"/>
            <w:hideMark/>
          </w:tcPr>
          <w:p w:rsidRPr="006106A5" w:rsidR="00F52B8C" w:rsidP="00F52B8C" w14:paraId="14162D98" w14:textId="77777777">
            <w:pPr>
              <w:spacing w:line="360" w:lineRule="auto"/>
            </w:pPr>
            <w:r w:rsidRPr="006106A5">
              <w:t>337</w:t>
            </w:r>
          </w:p>
        </w:tc>
      </w:tr>
      <w:tr w:rsidTr="00192A5F" w14:paraId="29A46F26" w14:textId="77777777">
        <w:tblPrEx>
          <w:tblW w:w="8784" w:type="dxa"/>
          <w:tblLook w:val="04A0"/>
        </w:tblPrEx>
        <w:trPr>
          <w:trHeight w:val="300"/>
        </w:trPr>
        <w:tc>
          <w:tcPr>
            <w:tcW w:w="2613" w:type="dxa"/>
            <w:noWrap/>
            <w:hideMark/>
          </w:tcPr>
          <w:p w:rsidRPr="006106A5" w:rsidR="00F52B8C" w:rsidP="00F52B8C" w14:paraId="76F3955A" w14:textId="77777777">
            <w:pPr>
              <w:jc w:val="left"/>
              <w:rPr>
                <w:i w:val="0"/>
                <w:iCs w:val="0"/>
              </w:rPr>
            </w:pPr>
            <w:r w:rsidRPr="006106A5">
              <w:t>Financiën</w:t>
            </w:r>
          </w:p>
          <w:p w:rsidRPr="006106A5" w:rsidR="00F52B8C" w:rsidP="00F52B8C" w14:paraId="79B5A311" w14:textId="77777777">
            <w:pPr>
              <w:jc w:val="left"/>
              <w:rPr>
                <w:i w:val="0"/>
                <w:iCs w:val="0"/>
              </w:rPr>
            </w:pPr>
          </w:p>
          <w:p w:rsidRPr="006106A5" w:rsidR="00F52B8C" w:rsidP="00F52B8C" w14:paraId="483DA94E" w14:textId="77777777">
            <w:pPr>
              <w:jc w:val="left"/>
            </w:pPr>
          </w:p>
        </w:tc>
        <w:tc>
          <w:tcPr>
            <w:tcW w:w="1918" w:type="dxa"/>
            <w:noWrap/>
            <w:vAlign w:val="bottom"/>
            <w:hideMark/>
          </w:tcPr>
          <w:p w:rsidRPr="006106A5" w:rsidR="00F52B8C" w:rsidP="00F52B8C" w14:paraId="0094DEFF" w14:textId="77777777">
            <w:pPr>
              <w:spacing w:line="360" w:lineRule="auto"/>
            </w:pPr>
            <w:r w:rsidRPr="006106A5">
              <w:t>5992</w:t>
            </w:r>
          </w:p>
        </w:tc>
        <w:tc>
          <w:tcPr>
            <w:tcW w:w="1701" w:type="dxa"/>
            <w:noWrap/>
            <w:vAlign w:val="bottom"/>
            <w:hideMark/>
          </w:tcPr>
          <w:p w:rsidRPr="006106A5" w:rsidR="00F52B8C" w:rsidP="00F52B8C" w14:paraId="6A3B7EF4" w14:textId="77777777">
            <w:pPr>
              <w:spacing w:line="360" w:lineRule="auto"/>
            </w:pPr>
            <w:r w:rsidRPr="006106A5">
              <w:t>870</w:t>
            </w:r>
          </w:p>
        </w:tc>
        <w:tc>
          <w:tcPr>
            <w:tcW w:w="2552" w:type="dxa"/>
            <w:noWrap/>
            <w:vAlign w:val="bottom"/>
            <w:hideMark/>
          </w:tcPr>
          <w:p w:rsidRPr="006106A5" w:rsidR="00F52B8C" w:rsidP="00F52B8C" w14:paraId="078237D4" w14:textId="77777777">
            <w:pPr>
              <w:spacing w:line="360" w:lineRule="auto"/>
            </w:pPr>
            <w:r w:rsidRPr="006106A5">
              <w:t>724</w:t>
            </w:r>
          </w:p>
        </w:tc>
      </w:tr>
      <w:tr w:rsidTr="00192A5F" w14:paraId="5DCAC517" w14:textId="77777777">
        <w:tblPrEx>
          <w:tblW w:w="8784" w:type="dxa"/>
          <w:tblLook w:val="04A0"/>
        </w:tblPrEx>
        <w:trPr>
          <w:trHeight w:val="300"/>
        </w:trPr>
        <w:tc>
          <w:tcPr>
            <w:tcW w:w="2613" w:type="dxa"/>
            <w:noWrap/>
            <w:hideMark/>
          </w:tcPr>
          <w:p w:rsidRPr="006106A5" w:rsidR="00F52B8C" w:rsidP="00F52B8C" w14:paraId="2448C1F3" w14:textId="77777777">
            <w:pPr>
              <w:jc w:val="left"/>
              <w:rPr>
                <w:i w:val="0"/>
                <w:iCs w:val="0"/>
              </w:rPr>
            </w:pPr>
            <w:r w:rsidRPr="006106A5">
              <w:t>Infrastructuur en Waterstaat</w:t>
            </w:r>
          </w:p>
          <w:p w:rsidRPr="006106A5" w:rsidR="00F52B8C" w:rsidP="00F52B8C" w14:paraId="16454326" w14:textId="77777777">
            <w:pPr>
              <w:jc w:val="left"/>
              <w:rPr>
                <w:i w:val="0"/>
                <w:iCs w:val="0"/>
              </w:rPr>
            </w:pPr>
          </w:p>
          <w:p w:rsidRPr="006106A5" w:rsidR="00F52B8C" w:rsidP="00F52B8C" w14:paraId="7A2DC14C" w14:textId="77777777">
            <w:pPr>
              <w:jc w:val="left"/>
            </w:pPr>
          </w:p>
        </w:tc>
        <w:tc>
          <w:tcPr>
            <w:tcW w:w="1918" w:type="dxa"/>
            <w:noWrap/>
            <w:vAlign w:val="bottom"/>
            <w:hideMark/>
          </w:tcPr>
          <w:p w:rsidRPr="006106A5" w:rsidR="00F52B8C" w:rsidP="00F52B8C" w14:paraId="485D7F2A" w14:textId="77777777">
            <w:pPr>
              <w:spacing w:line="360" w:lineRule="auto"/>
            </w:pPr>
            <w:r w:rsidRPr="006106A5">
              <w:t>2</w:t>
            </w:r>
            <w:r w:rsidRPr="006106A5" w:rsidR="00411D4E">
              <w:t>146</w:t>
            </w:r>
          </w:p>
        </w:tc>
        <w:tc>
          <w:tcPr>
            <w:tcW w:w="1701" w:type="dxa"/>
            <w:noWrap/>
            <w:vAlign w:val="bottom"/>
            <w:hideMark/>
          </w:tcPr>
          <w:p w:rsidRPr="006106A5" w:rsidR="00F52B8C" w:rsidP="00F52B8C" w14:paraId="45E44028" w14:textId="77777777">
            <w:pPr>
              <w:spacing w:line="360" w:lineRule="auto"/>
            </w:pPr>
            <w:r w:rsidRPr="006106A5">
              <w:t>757</w:t>
            </w:r>
          </w:p>
        </w:tc>
        <w:tc>
          <w:tcPr>
            <w:tcW w:w="2552" w:type="dxa"/>
            <w:noWrap/>
            <w:vAlign w:val="bottom"/>
            <w:hideMark/>
          </w:tcPr>
          <w:p w:rsidRPr="006106A5" w:rsidR="00F52B8C" w:rsidP="00F52B8C" w14:paraId="607E0676" w14:textId="77777777">
            <w:pPr>
              <w:spacing w:line="360" w:lineRule="auto"/>
            </w:pPr>
            <w:r w:rsidRPr="006106A5">
              <w:t>1</w:t>
            </w:r>
            <w:r w:rsidRPr="006106A5" w:rsidR="00BA5ECE">
              <w:t>2</w:t>
            </w:r>
            <w:r w:rsidRPr="006106A5">
              <w:t>5</w:t>
            </w:r>
          </w:p>
        </w:tc>
      </w:tr>
      <w:tr w:rsidTr="00192A5F" w14:paraId="3D34B67E" w14:textId="77777777">
        <w:tblPrEx>
          <w:tblW w:w="8784" w:type="dxa"/>
          <w:tblLook w:val="04A0"/>
        </w:tblPrEx>
        <w:trPr>
          <w:trHeight w:val="300"/>
        </w:trPr>
        <w:tc>
          <w:tcPr>
            <w:tcW w:w="2613" w:type="dxa"/>
            <w:noWrap/>
            <w:hideMark/>
          </w:tcPr>
          <w:p w:rsidRPr="006106A5" w:rsidR="00F52B8C" w:rsidP="00F52B8C" w14:paraId="46F7F698" w14:textId="77777777">
            <w:pPr>
              <w:jc w:val="left"/>
              <w:rPr>
                <w:i w:val="0"/>
                <w:iCs w:val="0"/>
              </w:rPr>
            </w:pPr>
            <w:r w:rsidRPr="006106A5">
              <w:t>Justitie en Veiligheid en Asiel en Migratie</w:t>
            </w:r>
          </w:p>
          <w:p w:rsidRPr="006106A5" w:rsidR="00F52B8C" w:rsidP="00F52B8C" w14:paraId="31BC0CFF" w14:textId="77777777">
            <w:pPr>
              <w:jc w:val="left"/>
              <w:rPr>
                <w:i w:val="0"/>
                <w:iCs w:val="0"/>
              </w:rPr>
            </w:pPr>
          </w:p>
          <w:p w:rsidRPr="006106A5" w:rsidR="00F52B8C" w:rsidP="00F52B8C" w14:paraId="164B5C12" w14:textId="77777777">
            <w:pPr>
              <w:jc w:val="left"/>
            </w:pPr>
          </w:p>
        </w:tc>
        <w:tc>
          <w:tcPr>
            <w:tcW w:w="1918" w:type="dxa"/>
            <w:noWrap/>
            <w:vAlign w:val="bottom"/>
            <w:hideMark/>
          </w:tcPr>
          <w:p w:rsidRPr="006106A5" w:rsidR="00F52B8C" w:rsidP="00F52B8C" w14:paraId="6417D250" w14:textId="77777777">
            <w:pPr>
              <w:spacing w:line="360" w:lineRule="auto"/>
            </w:pPr>
            <w:r w:rsidRPr="006106A5">
              <w:t>1614</w:t>
            </w:r>
          </w:p>
        </w:tc>
        <w:tc>
          <w:tcPr>
            <w:tcW w:w="1701" w:type="dxa"/>
            <w:noWrap/>
            <w:vAlign w:val="bottom"/>
            <w:hideMark/>
          </w:tcPr>
          <w:p w:rsidRPr="006106A5" w:rsidR="00F52B8C" w:rsidP="00F52B8C" w14:paraId="00EC349D" w14:textId="77777777">
            <w:pPr>
              <w:spacing w:line="360" w:lineRule="auto"/>
            </w:pPr>
            <w:r w:rsidRPr="006106A5">
              <w:t>-</w:t>
            </w:r>
          </w:p>
        </w:tc>
        <w:tc>
          <w:tcPr>
            <w:tcW w:w="2552" w:type="dxa"/>
            <w:noWrap/>
            <w:vAlign w:val="bottom"/>
            <w:hideMark/>
          </w:tcPr>
          <w:p w:rsidRPr="006106A5" w:rsidR="00F52B8C" w:rsidP="00F52B8C" w14:paraId="00AB0D95" w14:textId="77777777">
            <w:pPr>
              <w:spacing w:line="360" w:lineRule="auto"/>
            </w:pPr>
            <w:r w:rsidRPr="006106A5">
              <w:t>820</w:t>
            </w:r>
          </w:p>
        </w:tc>
      </w:tr>
      <w:tr w:rsidTr="00192A5F" w14:paraId="57101B88" w14:textId="77777777">
        <w:tblPrEx>
          <w:tblW w:w="8784" w:type="dxa"/>
          <w:tblLook w:val="04A0"/>
        </w:tblPrEx>
        <w:trPr>
          <w:trHeight w:val="300"/>
        </w:trPr>
        <w:tc>
          <w:tcPr>
            <w:tcW w:w="2613" w:type="dxa"/>
            <w:noWrap/>
            <w:hideMark/>
          </w:tcPr>
          <w:p w:rsidRPr="006106A5" w:rsidR="00F52B8C" w:rsidP="00F52B8C" w14:paraId="2A49C8F1" w14:textId="77777777">
            <w:pPr>
              <w:jc w:val="left"/>
              <w:rPr>
                <w:i w:val="0"/>
                <w:iCs w:val="0"/>
              </w:rPr>
            </w:pPr>
            <w:r w:rsidRPr="006106A5">
              <w:t xml:space="preserve">Landbouw, Visserij, Voedselzekerheid en Natuur </w:t>
            </w:r>
          </w:p>
          <w:p w:rsidRPr="006106A5" w:rsidR="00F52B8C" w:rsidP="00F52B8C" w14:paraId="6BAE8384" w14:textId="77777777">
            <w:pPr>
              <w:jc w:val="left"/>
              <w:rPr>
                <w:i w:val="0"/>
                <w:iCs w:val="0"/>
              </w:rPr>
            </w:pPr>
          </w:p>
          <w:p w:rsidRPr="006106A5" w:rsidR="00F52B8C" w:rsidP="00F52B8C" w14:paraId="20F8411D" w14:textId="77777777">
            <w:pPr>
              <w:jc w:val="left"/>
            </w:pPr>
          </w:p>
        </w:tc>
        <w:tc>
          <w:tcPr>
            <w:tcW w:w="1918" w:type="dxa"/>
            <w:noWrap/>
            <w:vAlign w:val="bottom"/>
            <w:hideMark/>
          </w:tcPr>
          <w:p w:rsidRPr="006106A5" w:rsidR="00F52B8C" w:rsidP="00411D4E" w14:paraId="6EE6A736" w14:textId="77777777">
            <w:pPr>
              <w:spacing w:line="360" w:lineRule="auto"/>
            </w:pPr>
            <w:r w:rsidRPr="006106A5">
              <w:t>425</w:t>
            </w:r>
          </w:p>
        </w:tc>
        <w:tc>
          <w:tcPr>
            <w:tcW w:w="1701" w:type="dxa"/>
            <w:noWrap/>
            <w:vAlign w:val="bottom"/>
            <w:hideMark/>
          </w:tcPr>
          <w:p w:rsidRPr="006106A5" w:rsidR="00F52B8C" w:rsidP="00F52B8C" w14:paraId="21A9ACDE" w14:textId="77777777">
            <w:pPr>
              <w:spacing w:line="360" w:lineRule="auto"/>
            </w:pPr>
            <w:r w:rsidRPr="006106A5">
              <w:t>65</w:t>
            </w:r>
          </w:p>
        </w:tc>
        <w:tc>
          <w:tcPr>
            <w:tcW w:w="2552" w:type="dxa"/>
            <w:noWrap/>
            <w:vAlign w:val="bottom"/>
            <w:hideMark/>
          </w:tcPr>
          <w:p w:rsidRPr="006106A5" w:rsidR="00F52B8C" w:rsidP="00F52B8C" w14:paraId="05598A02" w14:textId="77777777">
            <w:pPr>
              <w:spacing w:line="360" w:lineRule="auto"/>
            </w:pPr>
            <w:r w:rsidRPr="006106A5">
              <w:t>23</w:t>
            </w:r>
          </w:p>
        </w:tc>
      </w:tr>
      <w:tr w:rsidTr="00192A5F" w14:paraId="4E5DE984" w14:textId="77777777">
        <w:tblPrEx>
          <w:tblW w:w="8784" w:type="dxa"/>
          <w:tblLook w:val="04A0"/>
        </w:tblPrEx>
        <w:trPr>
          <w:trHeight w:val="300"/>
        </w:trPr>
        <w:tc>
          <w:tcPr>
            <w:tcW w:w="2613" w:type="dxa"/>
            <w:noWrap/>
            <w:hideMark/>
          </w:tcPr>
          <w:p w:rsidRPr="006106A5" w:rsidR="00F52B8C" w:rsidP="00F52B8C" w14:paraId="1FFD2213" w14:textId="77777777">
            <w:pPr>
              <w:jc w:val="left"/>
              <w:rPr>
                <w:i w:val="0"/>
                <w:iCs w:val="0"/>
              </w:rPr>
            </w:pPr>
            <w:r w:rsidRPr="006106A5">
              <w:t>Onderwijs, Cultuur en Wetenschap</w:t>
            </w:r>
          </w:p>
          <w:p w:rsidRPr="006106A5" w:rsidR="00F52B8C" w:rsidP="00F52B8C" w14:paraId="4D10FB6F" w14:textId="77777777">
            <w:pPr>
              <w:jc w:val="left"/>
              <w:rPr>
                <w:i w:val="0"/>
                <w:iCs w:val="0"/>
              </w:rPr>
            </w:pPr>
          </w:p>
          <w:p w:rsidRPr="006106A5" w:rsidR="00F52B8C" w:rsidP="00F52B8C" w14:paraId="1F8AA492" w14:textId="77777777">
            <w:pPr>
              <w:jc w:val="left"/>
            </w:pPr>
          </w:p>
        </w:tc>
        <w:tc>
          <w:tcPr>
            <w:tcW w:w="1918" w:type="dxa"/>
            <w:noWrap/>
            <w:vAlign w:val="bottom"/>
            <w:hideMark/>
          </w:tcPr>
          <w:p w:rsidRPr="006106A5" w:rsidR="00F52B8C" w:rsidP="00F52B8C" w14:paraId="24D84750" w14:textId="77777777">
            <w:pPr>
              <w:spacing w:line="360" w:lineRule="auto"/>
            </w:pPr>
            <w:r w:rsidRPr="006106A5">
              <w:t>-</w:t>
            </w:r>
          </w:p>
        </w:tc>
        <w:tc>
          <w:tcPr>
            <w:tcW w:w="1701" w:type="dxa"/>
            <w:noWrap/>
            <w:vAlign w:val="bottom"/>
            <w:hideMark/>
          </w:tcPr>
          <w:p w:rsidRPr="006106A5" w:rsidR="00F52B8C" w:rsidP="00F52B8C" w14:paraId="18348C7A" w14:textId="77777777">
            <w:pPr>
              <w:spacing w:line="360" w:lineRule="auto"/>
            </w:pPr>
            <w:r w:rsidRPr="006106A5">
              <w:t>-</w:t>
            </w:r>
          </w:p>
        </w:tc>
        <w:tc>
          <w:tcPr>
            <w:tcW w:w="2552" w:type="dxa"/>
            <w:noWrap/>
            <w:vAlign w:val="bottom"/>
            <w:hideMark/>
          </w:tcPr>
          <w:p w:rsidRPr="006106A5" w:rsidR="00F52B8C" w:rsidP="00F52B8C" w14:paraId="32FDD194" w14:textId="77777777">
            <w:pPr>
              <w:spacing w:line="360" w:lineRule="auto"/>
            </w:pPr>
            <w:r w:rsidRPr="006106A5">
              <w:t>-</w:t>
            </w:r>
          </w:p>
        </w:tc>
      </w:tr>
      <w:tr w:rsidTr="00192A5F" w14:paraId="69A943A4" w14:textId="77777777">
        <w:tblPrEx>
          <w:tblW w:w="8784" w:type="dxa"/>
          <w:tblLook w:val="04A0"/>
        </w:tblPrEx>
        <w:trPr>
          <w:trHeight w:val="300"/>
        </w:trPr>
        <w:tc>
          <w:tcPr>
            <w:tcW w:w="2613" w:type="dxa"/>
            <w:noWrap/>
            <w:hideMark/>
          </w:tcPr>
          <w:p w:rsidRPr="006106A5" w:rsidR="00F52B8C" w:rsidP="00F52B8C" w14:paraId="03D44320" w14:textId="77777777">
            <w:pPr>
              <w:jc w:val="left"/>
              <w:rPr>
                <w:i w:val="0"/>
                <w:iCs w:val="0"/>
              </w:rPr>
            </w:pPr>
            <w:r w:rsidRPr="006106A5">
              <w:t>Sociale Zaken en Werkgelegenheid</w:t>
            </w:r>
          </w:p>
          <w:p w:rsidRPr="006106A5" w:rsidR="00F52B8C" w:rsidP="00F52B8C" w14:paraId="011FD1C2" w14:textId="77777777">
            <w:pPr>
              <w:jc w:val="left"/>
              <w:rPr>
                <w:i w:val="0"/>
                <w:iCs w:val="0"/>
              </w:rPr>
            </w:pPr>
          </w:p>
          <w:p w:rsidRPr="006106A5" w:rsidR="00F52B8C" w:rsidP="00F52B8C" w14:paraId="3CBEBC9E" w14:textId="77777777">
            <w:pPr>
              <w:jc w:val="left"/>
            </w:pPr>
          </w:p>
        </w:tc>
        <w:tc>
          <w:tcPr>
            <w:tcW w:w="1918" w:type="dxa"/>
            <w:noWrap/>
            <w:vAlign w:val="bottom"/>
            <w:hideMark/>
          </w:tcPr>
          <w:p w:rsidRPr="006106A5" w:rsidR="00F52B8C" w:rsidP="00F52B8C" w14:paraId="7C56DBA1" w14:textId="77777777">
            <w:pPr>
              <w:spacing w:line="360" w:lineRule="auto"/>
            </w:pPr>
            <w:r w:rsidRPr="006106A5">
              <w:t>210</w:t>
            </w:r>
          </w:p>
        </w:tc>
        <w:tc>
          <w:tcPr>
            <w:tcW w:w="1701" w:type="dxa"/>
            <w:noWrap/>
            <w:vAlign w:val="bottom"/>
            <w:hideMark/>
          </w:tcPr>
          <w:p w:rsidRPr="006106A5" w:rsidR="00F52B8C" w:rsidP="00F52B8C" w14:paraId="2B3499D0" w14:textId="77777777">
            <w:pPr>
              <w:spacing w:line="360" w:lineRule="auto"/>
            </w:pPr>
            <w:r w:rsidRPr="006106A5">
              <w:t>47</w:t>
            </w:r>
          </w:p>
        </w:tc>
        <w:tc>
          <w:tcPr>
            <w:tcW w:w="2552" w:type="dxa"/>
            <w:noWrap/>
            <w:vAlign w:val="bottom"/>
            <w:hideMark/>
          </w:tcPr>
          <w:p w:rsidRPr="006106A5" w:rsidR="00F52B8C" w:rsidP="00F52B8C" w14:paraId="1BFD90D0" w14:textId="77777777">
            <w:pPr>
              <w:spacing w:line="360" w:lineRule="auto"/>
            </w:pPr>
            <w:r w:rsidRPr="006106A5">
              <w:t>7</w:t>
            </w:r>
          </w:p>
        </w:tc>
      </w:tr>
      <w:tr w:rsidTr="00192A5F" w14:paraId="7E783147" w14:textId="77777777">
        <w:tblPrEx>
          <w:tblW w:w="8784" w:type="dxa"/>
          <w:tblLook w:val="04A0"/>
        </w:tblPrEx>
        <w:trPr>
          <w:trHeight w:val="300"/>
        </w:trPr>
        <w:tc>
          <w:tcPr>
            <w:tcW w:w="2613" w:type="dxa"/>
            <w:noWrap/>
            <w:hideMark/>
          </w:tcPr>
          <w:p w:rsidRPr="006106A5" w:rsidR="00F52B8C" w:rsidP="00F52B8C" w14:paraId="1D94E0BE" w14:textId="77777777">
            <w:pPr>
              <w:jc w:val="left"/>
              <w:rPr>
                <w:i w:val="0"/>
                <w:iCs w:val="0"/>
              </w:rPr>
            </w:pPr>
            <w:r w:rsidRPr="006106A5">
              <w:t>Volksgezondheid, Welzijn en Sport</w:t>
            </w:r>
          </w:p>
          <w:p w:rsidRPr="006106A5" w:rsidR="00F52B8C" w:rsidP="00F52B8C" w14:paraId="737E9DA8" w14:textId="77777777">
            <w:pPr>
              <w:jc w:val="left"/>
              <w:rPr>
                <w:i w:val="0"/>
                <w:iCs w:val="0"/>
              </w:rPr>
            </w:pPr>
          </w:p>
          <w:p w:rsidRPr="006106A5" w:rsidR="00F52B8C" w:rsidP="00F52B8C" w14:paraId="5B731E8E" w14:textId="77777777">
            <w:pPr>
              <w:jc w:val="left"/>
            </w:pPr>
          </w:p>
        </w:tc>
        <w:tc>
          <w:tcPr>
            <w:tcW w:w="1918" w:type="dxa"/>
            <w:noWrap/>
            <w:vAlign w:val="bottom"/>
            <w:hideMark/>
          </w:tcPr>
          <w:p w:rsidRPr="006106A5" w:rsidR="00F52B8C" w:rsidP="00F52B8C" w14:paraId="6A681669" w14:textId="77777777">
            <w:pPr>
              <w:spacing w:line="360" w:lineRule="auto"/>
            </w:pPr>
            <w:r w:rsidRPr="006106A5">
              <w:t>1010</w:t>
            </w:r>
          </w:p>
        </w:tc>
        <w:tc>
          <w:tcPr>
            <w:tcW w:w="1701" w:type="dxa"/>
            <w:noWrap/>
            <w:vAlign w:val="bottom"/>
            <w:hideMark/>
          </w:tcPr>
          <w:p w:rsidRPr="006106A5" w:rsidR="00F52B8C" w:rsidP="00F52B8C" w14:paraId="36309868" w14:textId="77777777">
            <w:pPr>
              <w:spacing w:line="360" w:lineRule="auto"/>
            </w:pPr>
            <w:r w:rsidRPr="006106A5">
              <w:t>501</w:t>
            </w:r>
          </w:p>
        </w:tc>
        <w:tc>
          <w:tcPr>
            <w:tcW w:w="2552" w:type="dxa"/>
            <w:noWrap/>
            <w:vAlign w:val="bottom"/>
            <w:hideMark/>
          </w:tcPr>
          <w:p w:rsidRPr="006106A5" w:rsidR="00F52B8C" w:rsidP="00F52B8C" w14:paraId="01539498" w14:textId="77777777">
            <w:pPr>
              <w:spacing w:line="360" w:lineRule="auto"/>
            </w:pPr>
            <w:r w:rsidRPr="006106A5">
              <w:t>65</w:t>
            </w:r>
          </w:p>
        </w:tc>
      </w:tr>
      <w:tr w:rsidTr="00192A5F" w14:paraId="6F687F0B" w14:textId="77777777">
        <w:tblPrEx>
          <w:tblW w:w="8784" w:type="dxa"/>
          <w:tblLook w:val="04A0"/>
        </w:tblPrEx>
        <w:trPr>
          <w:trHeight w:val="300"/>
        </w:trPr>
        <w:tc>
          <w:tcPr>
            <w:tcW w:w="2613" w:type="dxa"/>
            <w:noWrap/>
            <w:hideMark/>
          </w:tcPr>
          <w:p w:rsidRPr="006106A5" w:rsidR="00F52B8C" w:rsidP="00F52B8C" w14:paraId="64077B7C" w14:textId="77777777">
            <w:pPr>
              <w:jc w:val="left"/>
              <w:rPr>
                <w:b/>
                <w:bCs/>
              </w:rPr>
            </w:pPr>
            <w:r w:rsidRPr="006106A5">
              <w:rPr>
                <w:b/>
                <w:bCs/>
              </w:rPr>
              <w:t>Rijksbreed</w:t>
            </w:r>
            <w:r w:rsidRPr="006106A5">
              <w:rPr>
                <w:b/>
                <w:bCs/>
              </w:rPr>
              <w:t xml:space="preserve"> totaal</w:t>
            </w:r>
          </w:p>
        </w:tc>
        <w:tc>
          <w:tcPr>
            <w:tcW w:w="1918" w:type="dxa"/>
            <w:noWrap/>
            <w:vAlign w:val="bottom"/>
            <w:hideMark/>
          </w:tcPr>
          <w:p w:rsidRPr="006106A5" w:rsidR="00F52B8C" w:rsidP="00F52B8C" w14:paraId="0E1931D2" w14:textId="77777777">
            <w:pPr>
              <w:spacing w:line="360" w:lineRule="auto"/>
              <w:rPr>
                <w:b/>
                <w:bCs/>
              </w:rPr>
            </w:pPr>
            <w:r>
              <w:rPr>
                <w:b/>
                <w:bCs/>
              </w:rPr>
              <w:t>15.779</w:t>
            </w:r>
          </w:p>
        </w:tc>
        <w:tc>
          <w:tcPr>
            <w:tcW w:w="1701" w:type="dxa"/>
            <w:noWrap/>
            <w:vAlign w:val="bottom"/>
            <w:hideMark/>
          </w:tcPr>
          <w:p w:rsidRPr="006106A5" w:rsidR="00F52B8C" w:rsidP="00F52B8C" w14:paraId="7798FCBC" w14:textId="77777777">
            <w:pPr>
              <w:spacing w:line="360" w:lineRule="auto"/>
              <w:rPr>
                <w:b/>
                <w:bCs/>
              </w:rPr>
            </w:pPr>
            <w:r w:rsidRPr="006106A5">
              <w:rPr>
                <w:b/>
                <w:bCs/>
              </w:rPr>
              <w:t>3.</w:t>
            </w:r>
            <w:r w:rsidRPr="006106A5" w:rsidR="00BA5ECE">
              <w:rPr>
                <w:b/>
                <w:bCs/>
              </w:rPr>
              <w:t>778</w:t>
            </w:r>
          </w:p>
        </w:tc>
        <w:tc>
          <w:tcPr>
            <w:tcW w:w="2552" w:type="dxa"/>
            <w:noWrap/>
            <w:vAlign w:val="bottom"/>
            <w:hideMark/>
          </w:tcPr>
          <w:p w:rsidRPr="006106A5" w:rsidR="00F52B8C" w:rsidP="00F52B8C" w14:paraId="4324A205" w14:textId="77777777">
            <w:pPr>
              <w:spacing w:line="360" w:lineRule="auto"/>
              <w:rPr>
                <w:b/>
                <w:bCs/>
              </w:rPr>
            </w:pPr>
            <w:r w:rsidRPr="006106A5">
              <w:rPr>
                <w:b/>
                <w:bCs/>
              </w:rPr>
              <w:t>2.5</w:t>
            </w:r>
            <w:r w:rsidRPr="006106A5" w:rsidR="00BA5ECE">
              <w:rPr>
                <w:b/>
                <w:bCs/>
              </w:rPr>
              <w:t>1</w:t>
            </w:r>
            <w:r w:rsidRPr="006106A5">
              <w:rPr>
                <w:b/>
                <w:bCs/>
              </w:rPr>
              <w:t>0</w:t>
            </w:r>
          </w:p>
        </w:tc>
      </w:tr>
    </w:tbl>
    <w:p w:rsidRPr="006106A5" w:rsidR="000B51FE" w:rsidP="000B51FE" w14:paraId="16DEB20C" w14:textId="77777777"/>
    <w:p w:rsidRPr="006106A5" w:rsidR="00010263" w14:paraId="7861434F" w14:textId="77777777">
      <w:pPr>
        <w:spacing w:line="240" w:lineRule="auto"/>
      </w:pPr>
      <w:r w:rsidRPr="006106A5">
        <w:br w:type="page"/>
      </w:r>
    </w:p>
    <w:p w:rsidRPr="006106A5" w:rsidR="00010263" w:rsidP="00010263" w14:paraId="46601C71" w14:textId="77777777">
      <w:pPr>
        <w:rPr>
          <w:b/>
          <w:bCs/>
        </w:rPr>
      </w:pPr>
      <w:r w:rsidRPr="006106A5">
        <w:rPr>
          <w:b/>
          <w:bCs/>
        </w:rPr>
        <w:t>Specificatie per departement op 1 juli 2025</w:t>
      </w:r>
    </w:p>
    <w:p w:rsidRPr="006106A5" w:rsidR="00010263" w:rsidP="00010263" w14:paraId="703006DF" w14:textId="77777777"/>
    <w:tbl>
      <w:tblPr>
        <w:tblStyle w:val="ListTable7Colorful"/>
        <w:tblW w:w="8784" w:type="dxa"/>
        <w:tblLook w:val="04A0"/>
      </w:tblPr>
      <w:tblGrid>
        <w:gridCol w:w="2613"/>
        <w:gridCol w:w="1918"/>
        <w:gridCol w:w="1701"/>
        <w:gridCol w:w="2552"/>
      </w:tblGrid>
      <w:tr w:rsidTr="009829AB" w14:paraId="75F15685" w14:textId="77777777">
        <w:tblPrEx>
          <w:tblW w:w="8784" w:type="dxa"/>
          <w:tblLook w:val="04A0"/>
        </w:tblPrEx>
        <w:trPr>
          <w:trHeight w:val="300"/>
        </w:trPr>
        <w:tc>
          <w:tcPr>
            <w:tcW w:w="2613" w:type="dxa"/>
            <w:noWrap/>
            <w:hideMark/>
          </w:tcPr>
          <w:p w:rsidRPr="006106A5" w:rsidR="00010263" w:rsidP="009829AB" w14:paraId="7D848175" w14:textId="77777777">
            <w:pPr>
              <w:rPr>
                <w:b/>
                <w:bCs/>
              </w:rPr>
            </w:pPr>
          </w:p>
        </w:tc>
        <w:tc>
          <w:tcPr>
            <w:tcW w:w="1918" w:type="dxa"/>
            <w:noWrap/>
            <w:hideMark/>
          </w:tcPr>
          <w:p w:rsidRPr="006106A5" w:rsidR="00010263" w:rsidP="009829AB" w14:paraId="5F676DCC" w14:textId="77777777">
            <w:r w:rsidRPr="006106A5">
              <w:t>Aantal externe medewerkers op 1 juli 2025</w:t>
            </w:r>
          </w:p>
        </w:tc>
        <w:tc>
          <w:tcPr>
            <w:tcW w:w="1701" w:type="dxa"/>
            <w:noWrap/>
            <w:hideMark/>
          </w:tcPr>
          <w:p w:rsidRPr="006106A5" w:rsidR="00010263" w:rsidP="009829AB" w14:paraId="1DEC1489" w14:textId="77777777">
            <w:r w:rsidRPr="006106A5">
              <w:t>Aantal zelfstandigen op 1 juli 2025</w:t>
            </w:r>
          </w:p>
        </w:tc>
        <w:tc>
          <w:tcPr>
            <w:tcW w:w="2552" w:type="dxa"/>
            <w:noWrap/>
            <w:hideMark/>
          </w:tcPr>
          <w:p w:rsidRPr="006106A5" w:rsidR="00010263" w:rsidP="009829AB" w14:paraId="04DC950E" w14:textId="77777777">
            <w:pPr>
              <w:rPr>
                <w:i w:val="0"/>
                <w:iCs w:val="0"/>
              </w:rPr>
            </w:pPr>
            <w:r w:rsidRPr="006106A5">
              <w:t>Aantal potentieel schijnzelfstandigen op 1 juli 2025</w:t>
            </w:r>
          </w:p>
          <w:p w:rsidRPr="006106A5" w:rsidR="00010263" w:rsidP="009829AB" w14:paraId="1D4EDFED" w14:textId="77777777"/>
        </w:tc>
      </w:tr>
      <w:tr w:rsidTr="009829AB" w14:paraId="728A8FB0" w14:textId="77777777">
        <w:tblPrEx>
          <w:tblW w:w="8784" w:type="dxa"/>
          <w:tblLook w:val="04A0"/>
        </w:tblPrEx>
        <w:trPr>
          <w:trHeight w:val="300"/>
        </w:trPr>
        <w:tc>
          <w:tcPr>
            <w:tcW w:w="2613" w:type="dxa"/>
            <w:noWrap/>
            <w:hideMark/>
          </w:tcPr>
          <w:p w:rsidRPr="006106A5" w:rsidR="00010263" w:rsidP="009829AB" w14:paraId="46911AD6" w14:textId="77777777">
            <w:pPr>
              <w:jc w:val="left"/>
              <w:rPr>
                <w:i w:val="0"/>
                <w:iCs w:val="0"/>
              </w:rPr>
            </w:pPr>
            <w:r w:rsidRPr="006106A5">
              <w:t>Algemene Zaken</w:t>
            </w:r>
          </w:p>
          <w:p w:rsidRPr="006106A5" w:rsidR="00010263" w:rsidP="009829AB" w14:paraId="47BF5A95" w14:textId="77777777">
            <w:pPr>
              <w:jc w:val="left"/>
              <w:rPr>
                <w:i w:val="0"/>
                <w:iCs w:val="0"/>
              </w:rPr>
            </w:pPr>
          </w:p>
          <w:p w:rsidRPr="006106A5" w:rsidR="00010263" w:rsidP="009829AB" w14:paraId="1302F3FA" w14:textId="77777777">
            <w:pPr>
              <w:jc w:val="left"/>
            </w:pPr>
          </w:p>
        </w:tc>
        <w:tc>
          <w:tcPr>
            <w:tcW w:w="1918" w:type="dxa"/>
            <w:noWrap/>
            <w:vAlign w:val="bottom"/>
            <w:hideMark/>
          </w:tcPr>
          <w:p w:rsidRPr="006106A5" w:rsidR="00010263" w:rsidP="009829AB" w14:paraId="73567C3C" w14:textId="77777777">
            <w:pPr>
              <w:spacing w:line="360" w:lineRule="auto"/>
            </w:pPr>
            <w:r w:rsidRPr="006106A5">
              <w:t>57</w:t>
            </w:r>
          </w:p>
        </w:tc>
        <w:tc>
          <w:tcPr>
            <w:tcW w:w="1701" w:type="dxa"/>
            <w:noWrap/>
            <w:vAlign w:val="bottom"/>
            <w:hideMark/>
          </w:tcPr>
          <w:p w:rsidRPr="006106A5" w:rsidR="00010263" w:rsidP="009829AB" w14:paraId="57E8EF66" w14:textId="77777777">
            <w:pPr>
              <w:spacing w:line="360" w:lineRule="auto"/>
            </w:pPr>
            <w:r w:rsidRPr="006106A5">
              <w:t>24</w:t>
            </w:r>
          </w:p>
        </w:tc>
        <w:tc>
          <w:tcPr>
            <w:tcW w:w="2552" w:type="dxa"/>
            <w:noWrap/>
            <w:vAlign w:val="bottom"/>
            <w:hideMark/>
          </w:tcPr>
          <w:p w:rsidRPr="006106A5" w:rsidR="00010263" w:rsidP="009829AB" w14:paraId="1E350196" w14:textId="77777777">
            <w:pPr>
              <w:spacing w:line="360" w:lineRule="auto"/>
            </w:pPr>
            <w:r w:rsidRPr="006106A5">
              <w:t>0</w:t>
            </w:r>
          </w:p>
        </w:tc>
      </w:tr>
      <w:tr w:rsidTr="009829AB" w14:paraId="7571ECCF" w14:textId="77777777">
        <w:tblPrEx>
          <w:tblW w:w="8784" w:type="dxa"/>
          <w:tblLook w:val="04A0"/>
        </w:tblPrEx>
        <w:trPr>
          <w:trHeight w:val="300"/>
        </w:trPr>
        <w:tc>
          <w:tcPr>
            <w:tcW w:w="2613" w:type="dxa"/>
            <w:noWrap/>
            <w:hideMark/>
          </w:tcPr>
          <w:p w:rsidRPr="006106A5" w:rsidR="00010263" w:rsidP="009829AB" w14:paraId="48B7359E" w14:textId="77777777">
            <w:pPr>
              <w:jc w:val="left"/>
              <w:rPr>
                <w:i w:val="0"/>
                <w:iCs w:val="0"/>
              </w:rPr>
            </w:pPr>
            <w:r w:rsidRPr="006106A5">
              <w:t>Binnenlandse Zaken en Koninkrijksrelaties en Volkshuisvesting en Ruimtelijke Ordening</w:t>
            </w:r>
          </w:p>
          <w:p w:rsidRPr="006106A5" w:rsidR="00010263" w:rsidP="009829AB" w14:paraId="3790D0C8" w14:textId="77777777">
            <w:pPr>
              <w:jc w:val="left"/>
              <w:rPr>
                <w:i w:val="0"/>
                <w:iCs w:val="0"/>
              </w:rPr>
            </w:pPr>
          </w:p>
          <w:p w:rsidRPr="006106A5" w:rsidR="00010263" w:rsidP="009829AB" w14:paraId="49A64F17" w14:textId="77777777">
            <w:pPr>
              <w:jc w:val="left"/>
            </w:pPr>
          </w:p>
        </w:tc>
        <w:tc>
          <w:tcPr>
            <w:tcW w:w="1918" w:type="dxa"/>
            <w:noWrap/>
            <w:vAlign w:val="bottom"/>
            <w:hideMark/>
          </w:tcPr>
          <w:p w:rsidRPr="006106A5" w:rsidR="00010263" w:rsidP="009829AB" w14:paraId="0C34F54F" w14:textId="77777777">
            <w:pPr>
              <w:spacing w:line="360" w:lineRule="auto"/>
            </w:pPr>
            <w:r w:rsidRPr="006106A5">
              <w:t>209</w:t>
            </w:r>
            <w:r w:rsidR="00803756">
              <w:t>7</w:t>
            </w:r>
          </w:p>
        </w:tc>
        <w:tc>
          <w:tcPr>
            <w:tcW w:w="1701" w:type="dxa"/>
            <w:noWrap/>
            <w:vAlign w:val="bottom"/>
            <w:hideMark/>
          </w:tcPr>
          <w:p w:rsidRPr="006106A5" w:rsidR="00010263" w:rsidP="009829AB" w14:paraId="66B383E8" w14:textId="77777777">
            <w:pPr>
              <w:spacing w:line="360" w:lineRule="auto"/>
            </w:pPr>
            <w:r w:rsidRPr="006106A5">
              <w:t>854</w:t>
            </w:r>
          </w:p>
        </w:tc>
        <w:tc>
          <w:tcPr>
            <w:tcW w:w="2552" w:type="dxa"/>
            <w:noWrap/>
            <w:vAlign w:val="bottom"/>
            <w:hideMark/>
          </w:tcPr>
          <w:p w:rsidRPr="006106A5" w:rsidR="00010263" w:rsidP="009829AB" w14:paraId="0FD83B91" w14:textId="77777777">
            <w:pPr>
              <w:spacing w:line="360" w:lineRule="auto"/>
            </w:pPr>
            <w:r w:rsidRPr="006106A5">
              <w:t>2</w:t>
            </w:r>
            <w:r w:rsidR="00803756">
              <w:t>7</w:t>
            </w:r>
            <w:r w:rsidRPr="006106A5">
              <w:t>9</w:t>
            </w:r>
          </w:p>
        </w:tc>
      </w:tr>
      <w:tr w:rsidTr="009829AB" w14:paraId="0238CA72" w14:textId="77777777">
        <w:tblPrEx>
          <w:tblW w:w="8784" w:type="dxa"/>
          <w:tblLook w:val="04A0"/>
        </w:tblPrEx>
        <w:trPr>
          <w:trHeight w:val="300"/>
        </w:trPr>
        <w:tc>
          <w:tcPr>
            <w:tcW w:w="2613" w:type="dxa"/>
            <w:noWrap/>
            <w:hideMark/>
          </w:tcPr>
          <w:p w:rsidRPr="006106A5" w:rsidR="00010263" w:rsidP="009829AB" w14:paraId="2E96B7D0" w14:textId="77777777">
            <w:pPr>
              <w:jc w:val="left"/>
              <w:rPr>
                <w:i w:val="0"/>
                <w:iCs w:val="0"/>
              </w:rPr>
            </w:pPr>
            <w:r w:rsidRPr="006106A5">
              <w:t>Buitenlandse Zaken</w:t>
            </w:r>
          </w:p>
          <w:p w:rsidRPr="006106A5" w:rsidR="00010263" w:rsidP="009829AB" w14:paraId="67166EB7" w14:textId="77777777">
            <w:pPr>
              <w:jc w:val="left"/>
              <w:rPr>
                <w:i w:val="0"/>
                <w:iCs w:val="0"/>
              </w:rPr>
            </w:pPr>
          </w:p>
          <w:p w:rsidRPr="006106A5" w:rsidR="00010263" w:rsidP="009829AB" w14:paraId="62A25F9C" w14:textId="77777777">
            <w:pPr>
              <w:jc w:val="left"/>
            </w:pPr>
          </w:p>
        </w:tc>
        <w:tc>
          <w:tcPr>
            <w:tcW w:w="1918" w:type="dxa"/>
            <w:noWrap/>
            <w:vAlign w:val="bottom"/>
            <w:hideMark/>
          </w:tcPr>
          <w:p w:rsidRPr="006106A5" w:rsidR="00010263" w:rsidP="009829AB" w14:paraId="0A3ACA8D" w14:textId="77777777">
            <w:pPr>
              <w:spacing w:line="360" w:lineRule="auto"/>
            </w:pPr>
            <w:r w:rsidRPr="006106A5">
              <w:t>414</w:t>
            </w:r>
          </w:p>
        </w:tc>
        <w:tc>
          <w:tcPr>
            <w:tcW w:w="1701" w:type="dxa"/>
            <w:noWrap/>
            <w:vAlign w:val="bottom"/>
            <w:hideMark/>
          </w:tcPr>
          <w:p w:rsidRPr="006106A5" w:rsidR="00010263" w:rsidP="009829AB" w14:paraId="0C7945C3" w14:textId="77777777">
            <w:pPr>
              <w:spacing w:line="360" w:lineRule="auto"/>
            </w:pPr>
            <w:r w:rsidRPr="006106A5">
              <w:t>42</w:t>
            </w:r>
          </w:p>
        </w:tc>
        <w:tc>
          <w:tcPr>
            <w:tcW w:w="2552" w:type="dxa"/>
            <w:noWrap/>
            <w:vAlign w:val="bottom"/>
            <w:hideMark/>
          </w:tcPr>
          <w:p w:rsidRPr="006106A5" w:rsidR="00010263" w:rsidP="009829AB" w14:paraId="237608B5" w14:textId="77777777">
            <w:pPr>
              <w:spacing w:line="360" w:lineRule="auto"/>
            </w:pPr>
            <w:r w:rsidRPr="006106A5">
              <w:t>24</w:t>
            </w:r>
          </w:p>
        </w:tc>
      </w:tr>
      <w:tr w:rsidTr="009829AB" w14:paraId="132F23FF" w14:textId="77777777">
        <w:tblPrEx>
          <w:tblW w:w="8784" w:type="dxa"/>
          <w:tblLook w:val="04A0"/>
        </w:tblPrEx>
        <w:trPr>
          <w:trHeight w:val="300"/>
        </w:trPr>
        <w:tc>
          <w:tcPr>
            <w:tcW w:w="2613" w:type="dxa"/>
            <w:noWrap/>
            <w:hideMark/>
          </w:tcPr>
          <w:p w:rsidRPr="006106A5" w:rsidR="00010263" w:rsidP="009829AB" w14:paraId="57BB1DDA" w14:textId="77777777">
            <w:pPr>
              <w:jc w:val="left"/>
              <w:rPr>
                <w:i w:val="0"/>
                <w:iCs w:val="0"/>
              </w:rPr>
            </w:pPr>
            <w:r w:rsidRPr="006106A5">
              <w:t>Defensie</w:t>
            </w:r>
          </w:p>
          <w:p w:rsidRPr="006106A5" w:rsidR="00010263" w:rsidP="009829AB" w14:paraId="40751501" w14:textId="77777777">
            <w:pPr>
              <w:jc w:val="left"/>
              <w:rPr>
                <w:i w:val="0"/>
                <w:iCs w:val="0"/>
              </w:rPr>
            </w:pPr>
          </w:p>
          <w:p w:rsidRPr="006106A5" w:rsidR="00010263" w:rsidP="009829AB" w14:paraId="66B3ABEA" w14:textId="77777777">
            <w:pPr>
              <w:jc w:val="left"/>
            </w:pPr>
          </w:p>
        </w:tc>
        <w:tc>
          <w:tcPr>
            <w:tcW w:w="1918" w:type="dxa"/>
            <w:noWrap/>
            <w:vAlign w:val="bottom"/>
            <w:hideMark/>
          </w:tcPr>
          <w:p w:rsidRPr="006106A5" w:rsidR="00010263" w:rsidP="009829AB" w14:paraId="15D72712" w14:textId="77777777">
            <w:pPr>
              <w:spacing w:line="360" w:lineRule="auto"/>
            </w:pPr>
            <w:r>
              <w:t>619</w:t>
            </w:r>
          </w:p>
        </w:tc>
        <w:tc>
          <w:tcPr>
            <w:tcW w:w="1701" w:type="dxa"/>
            <w:noWrap/>
            <w:vAlign w:val="bottom"/>
            <w:hideMark/>
          </w:tcPr>
          <w:p w:rsidRPr="006106A5" w:rsidR="00010263" w:rsidP="009829AB" w14:paraId="7A02A910" w14:textId="77777777">
            <w:pPr>
              <w:spacing w:line="360" w:lineRule="auto"/>
            </w:pPr>
            <w:r>
              <w:t>2</w:t>
            </w:r>
          </w:p>
        </w:tc>
        <w:tc>
          <w:tcPr>
            <w:tcW w:w="2552" w:type="dxa"/>
            <w:noWrap/>
            <w:vAlign w:val="bottom"/>
            <w:hideMark/>
          </w:tcPr>
          <w:p w:rsidRPr="006106A5" w:rsidR="00010263" w:rsidP="009829AB" w14:paraId="531CCE9C" w14:textId="77777777">
            <w:pPr>
              <w:spacing w:line="360" w:lineRule="auto"/>
            </w:pPr>
            <w:r>
              <w:t>0</w:t>
            </w:r>
          </w:p>
        </w:tc>
      </w:tr>
      <w:tr w:rsidTr="009829AB" w14:paraId="6B509528" w14:textId="77777777">
        <w:tblPrEx>
          <w:tblW w:w="8784" w:type="dxa"/>
          <w:tblLook w:val="04A0"/>
        </w:tblPrEx>
        <w:trPr>
          <w:trHeight w:val="300"/>
        </w:trPr>
        <w:tc>
          <w:tcPr>
            <w:tcW w:w="2613" w:type="dxa"/>
            <w:noWrap/>
            <w:hideMark/>
          </w:tcPr>
          <w:p w:rsidRPr="006106A5" w:rsidR="00010263" w:rsidP="009829AB" w14:paraId="1284A1A4" w14:textId="77777777">
            <w:pPr>
              <w:jc w:val="left"/>
              <w:rPr>
                <w:i w:val="0"/>
                <w:iCs w:val="0"/>
              </w:rPr>
            </w:pPr>
            <w:r w:rsidRPr="006106A5">
              <w:t xml:space="preserve">Economische Zaken </w:t>
            </w:r>
            <w:r w:rsidRPr="006106A5" w:rsidR="007E6C47">
              <w:t>en Klimaat en Groene Groei</w:t>
            </w:r>
          </w:p>
          <w:p w:rsidRPr="006106A5" w:rsidR="00010263" w:rsidP="009829AB" w14:paraId="0539C64E" w14:textId="77777777">
            <w:pPr>
              <w:jc w:val="left"/>
              <w:rPr>
                <w:i w:val="0"/>
                <w:iCs w:val="0"/>
              </w:rPr>
            </w:pPr>
          </w:p>
          <w:p w:rsidRPr="006106A5" w:rsidR="00010263" w:rsidP="009829AB" w14:paraId="14795AE2" w14:textId="77777777">
            <w:pPr>
              <w:jc w:val="left"/>
            </w:pPr>
          </w:p>
        </w:tc>
        <w:tc>
          <w:tcPr>
            <w:tcW w:w="1918" w:type="dxa"/>
            <w:noWrap/>
            <w:vAlign w:val="bottom"/>
            <w:hideMark/>
          </w:tcPr>
          <w:p w:rsidRPr="006106A5" w:rsidR="00010263" w:rsidP="009829AB" w14:paraId="0EA03A97" w14:textId="77777777">
            <w:pPr>
              <w:spacing w:line="360" w:lineRule="auto"/>
            </w:pPr>
            <w:r w:rsidRPr="006106A5">
              <w:t>19</w:t>
            </w:r>
            <w:r w:rsidR="00CF7B8C">
              <w:t>21</w:t>
            </w:r>
          </w:p>
        </w:tc>
        <w:tc>
          <w:tcPr>
            <w:tcW w:w="1701" w:type="dxa"/>
            <w:noWrap/>
            <w:vAlign w:val="bottom"/>
            <w:hideMark/>
          </w:tcPr>
          <w:p w:rsidRPr="006106A5" w:rsidR="00010263" w:rsidP="009829AB" w14:paraId="33F465F5" w14:textId="77777777">
            <w:pPr>
              <w:spacing w:line="360" w:lineRule="auto"/>
            </w:pPr>
            <w:r w:rsidRPr="006106A5">
              <w:t>3</w:t>
            </w:r>
            <w:r w:rsidR="00CF7B8C">
              <w:t>21</w:t>
            </w:r>
          </w:p>
        </w:tc>
        <w:tc>
          <w:tcPr>
            <w:tcW w:w="2552" w:type="dxa"/>
            <w:noWrap/>
            <w:vAlign w:val="bottom"/>
            <w:hideMark/>
          </w:tcPr>
          <w:p w:rsidRPr="006106A5" w:rsidR="00010263" w:rsidP="009829AB" w14:paraId="41F83D33" w14:textId="77777777">
            <w:pPr>
              <w:spacing w:line="360" w:lineRule="auto"/>
            </w:pPr>
            <w:r w:rsidRPr="006106A5">
              <w:t>1</w:t>
            </w:r>
            <w:r w:rsidR="00CF7B8C">
              <w:t>38</w:t>
            </w:r>
          </w:p>
        </w:tc>
      </w:tr>
      <w:tr w:rsidTr="009829AB" w14:paraId="50B908B5" w14:textId="77777777">
        <w:tblPrEx>
          <w:tblW w:w="8784" w:type="dxa"/>
          <w:tblLook w:val="04A0"/>
        </w:tblPrEx>
        <w:trPr>
          <w:trHeight w:val="300"/>
        </w:trPr>
        <w:tc>
          <w:tcPr>
            <w:tcW w:w="2613" w:type="dxa"/>
            <w:noWrap/>
            <w:hideMark/>
          </w:tcPr>
          <w:p w:rsidRPr="006106A5" w:rsidR="00010263" w:rsidP="009829AB" w14:paraId="0D771240" w14:textId="77777777">
            <w:pPr>
              <w:jc w:val="left"/>
              <w:rPr>
                <w:i w:val="0"/>
                <w:iCs w:val="0"/>
              </w:rPr>
            </w:pPr>
            <w:r w:rsidRPr="006106A5">
              <w:t>Financiën</w:t>
            </w:r>
          </w:p>
          <w:p w:rsidRPr="006106A5" w:rsidR="00010263" w:rsidP="009829AB" w14:paraId="2C03D853" w14:textId="77777777">
            <w:pPr>
              <w:jc w:val="left"/>
              <w:rPr>
                <w:i w:val="0"/>
                <w:iCs w:val="0"/>
              </w:rPr>
            </w:pPr>
          </w:p>
          <w:p w:rsidRPr="006106A5" w:rsidR="00010263" w:rsidP="009829AB" w14:paraId="2A8EAF09" w14:textId="77777777">
            <w:pPr>
              <w:jc w:val="left"/>
            </w:pPr>
          </w:p>
        </w:tc>
        <w:tc>
          <w:tcPr>
            <w:tcW w:w="1918" w:type="dxa"/>
            <w:noWrap/>
            <w:vAlign w:val="bottom"/>
            <w:hideMark/>
          </w:tcPr>
          <w:p w:rsidRPr="006106A5" w:rsidR="00010263" w:rsidP="009829AB" w14:paraId="3EDDBFAA" w14:textId="77777777">
            <w:pPr>
              <w:spacing w:line="360" w:lineRule="auto"/>
            </w:pPr>
            <w:r w:rsidRPr="006106A5">
              <w:t>4787</w:t>
            </w:r>
          </w:p>
        </w:tc>
        <w:tc>
          <w:tcPr>
            <w:tcW w:w="1701" w:type="dxa"/>
            <w:noWrap/>
            <w:vAlign w:val="bottom"/>
            <w:hideMark/>
          </w:tcPr>
          <w:p w:rsidRPr="006106A5" w:rsidR="00010263" w:rsidP="009829AB" w14:paraId="5C0EBCF7" w14:textId="77777777">
            <w:pPr>
              <w:spacing w:line="360" w:lineRule="auto"/>
            </w:pPr>
            <w:r w:rsidRPr="006106A5">
              <w:t>398</w:t>
            </w:r>
          </w:p>
        </w:tc>
        <w:tc>
          <w:tcPr>
            <w:tcW w:w="2552" w:type="dxa"/>
            <w:noWrap/>
            <w:vAlign w:val="bottom"/>
            <w:hideMark/>
          </w:tcPr>
          <w:p w:rsidRPr="006106A5" w:rsidR="00010263" w:rsidP="009829AB" w14:paraId="3C743243" w14:textId="77777777">
            <w:pPr>
              <w:spacing w:line="360" w:lineRule="auto"/>
            </w:pPr>
            <w:r w:rsidRPr="006106A5">
              <w:t>231</w:t>
            </w:r>
          </w:p>
        </w:tc>
      </w:tr>
      <w:tr w:rsidTr="009829AB" w14:paraId="220639CB" w14:textId="77777777">
        <w:tblPrEx>
          <w:tblW w:w="8784" w:type="dxa"/>
          <w:tblLook w:val="04A0"/>
        </w:tblPrEx>
        <w:trPr>
          <w:trHeight w:val="300"/>
        </w:trPr>
        <w:tc>
          <w:tcPr>
            <w:tcW w:w="2613" w:type="dxa"/>
            <w:noWrap/>
            <w:hideMark/>
          </w:tcPr>
          <w:p w:rsidRPr="006106A5" w:rsidR="00010263" w:rsidP="009829AB" w14:paraId="658FF5D2" w14:textId="77777777">
            <w:pPr>
              <w:jc w:val="left"/>
              <w:rPr>
                <w:i w:val="0"/>
                <w:iCs w:val="0"/>
              </w:rPr>
            </w:pPr>
            <w:r w:rsidRPr="006106A5">
              <w:t>Infrastructuur en Waterstaat</w:t>
            </w:r>
          </w:p>
          <w:p w:rsidRPr="006106A5" w:rsidR="00010263" w:rsidP="009829AB" w14:paraId="5ED672F9" w14:textId="77777777">
            <w:pPr>
              <w:jc w:val="left"/>
              <w:rPr>
                <w:i w:val="0"/>
                <w:iCs w:val="0"/>
              </w:rPr>
            </w:pPr>
          </w:p>
          <w:p w:rsidRPr="006106A5" w:rsidR="00010263" w:rsidP="009829AB" w14:paraId="640593B2" w14:textId="77777777">
            <w:pPr>
              <w:jc w:val="left"/>
            </w:pPr>
          </w:p>
        </w:tc>
        <w:tc>
          <w:tcPr>
            <w:tcW w:w="1918" w:type="dxa"/>
            <w:noWrap/>
            <w:vAlign w:val="bottom"/>
            <w:hideMark/>
          </w:tcPr>
          <w:p w:rsidRPr="006106A5" w:rsidR="00010263" w:rsidP="009829AB" w14:paraId="44FFFA51" w14:textId="77777777">
            <w:pPr>
              <w:spacing w:line="360" w:lineRule="auto"/>
            </w:pPr>
            <w:r w:rsidRPr="006106A5">
              <w:t>2173</w:t>
            </w:r>
          </w:p>
        </w:tc>
        <w:tc>
          <w:tcPr>
            <w:tcW w:w="1701" w:type="dxa"/>
            <w:noWrap/>
            <w:vAlign w:val="bottom"/>
            <w:hideMark/>
          </w:tcPr>
          <w:p w:rsidRPr="006106A5" w:rsidR="00010263" w:rsidP="009829AB" w14:paraId="2B32C96C" w14:textId="77777777">
            <w:pPr>
              <w:spacing w:line="360" w:lineRule="auto"/>
            </w:pPr>
            <w:r w:rsidRPr="006106A5">
              <w:t>878</w:t>
            </w:r>
          </w:p>
        </w:tc>
        <w:tc>
          <w:tcPr>
            <w:tcW w:w="2552" w:type="dxa"/>
            <w:noWrap/>
            <w:vAlign w:val="bottom"/>
            <w:hideMark/>
          </w:tcPr>
          <w:p w:rsidRPr="006106A5" w:rsidR="00010263" w:rsidP="009829AB" w14:paraId="5665FF76" w14:textId="77777777">
            <w:pPr>
              <w:spacing w:line="360" w:lineRule="auto"/>
            </w:pPr>
            <w:r w:rsidRPr="006106A5">
              <w:t>130</w:t>
            </w:r>
          </w:p>
        </w:tc>
      </w:tr>
      <w:tr w:rsidTr="009829AB" w14:paraId="02F19BCD" w14:textId="77777777">
        <w:tblPrEx>
          <w:tblW w:w="8784" w:type="dxa"/>
          <w:tblLook w:val="04A0"/>
        </w:tblPrEx>
        <w:trPr>
          <w:trHeight w:val="300"/>
        </w:trPr>
        <w:tc>
          <w:tcPr>
            <w:tcW w:w="2613" w:type="dxa"/>
            <w:noWrap/>
            <w:hideMark/>
          </w:tcPr>
          <w:p w:rsidRPr="006106A5" w:rsidR="00010263" w:rsidP="009829AB" w14:paraId="63E3F81C" w14:textId="77777777">
            <w:pPr>
              <w:jc w:val="left"/>
              <w:rPr>
                <w:i w:val="0"/>
                <w:iCs w:val="0"/>
              </w:rPr>
            </w:pPr>
            <w:r w:rsidRPr="006106A5">
              <w:t>Justitie en Veiligheid en Asiel en Migratie</w:t>
            </w:r>
          </w:p>
          <w:p w:rsidRPr="006106A5" w:rsidR="00010263" w:rsidP="009829AB" w14:paraId="3BB2426F" w14:textId="77777777">
            <w:pPr>
              <w:jc w:val="left"/>
              <w:rPr>
                <w:i w:val="0"/>
                <w:iCs w:val="0"/>
              </w:rPr>
            </w:pPr>
          </w:p>
          <w:p w:rsidRPr="006106A5" w:rsidR="00010263" w:rsidP="009829AB" w14:paraId="40AB6441" w14:textId="77777777">
            <w:pPr>
              <w:jc w:val="left"/>
            </w:pPr>
          </w:p>
        </w:tc>
        <w:tc>
          <w:tcPr>
            <w:tcW w:w="1918" w:type="dxa"/>
            <w:noWrap/>
            <w:vAlign w:val="bottom"/>
            <w:hideMark/>
          </w:tcPr>
          <w:p w:rsidRPr="006106A5" w:rsidR="00010263" w:rsidP="009829AB" w14:paraId="0A31F9D8" w14:textId="77777777">
            <w:pPr>
              <w:spacing w:line="360" w:lineRule="auto"/>
            </w:pPr>
            <w:r>
              <w:t>2317</w:t>
            </w:r>
          </w:p>
        </w:tc>
        <w:tc>
          <w:tcPr>
            <w:tcW w:w="1701" w:type="dxa"/>
            <w:noWrap/>
            <w:vAlign w:val="bottom"/>
            <w:hideMark/>
          </w:tcPr>
          <w:p w:rsidRPr="006106A5" w:rsidR="00010263" w:rsidP="009829AB" w14:paraId="3A4A79FC" w14:textId="77777777">
            <w:pPr>
              <w:spacing w:line="360" w:lineRule="auto"/>
            </w:pPr>
            <w:r>
              <w:t>666</w:t>
            </w:r>
          </w:p>
        </w:tc>
        <w:tc>
          <w:tcPr>
            <w:tcW w:w="2552" w:type="dxa"/>
            <w:noWrap/>
            <w:vAlign w:val="bottom"/>
            <w:hideMark/>
          </w:tcPr>
          <w:p w:rsidRPr="006106A5" w:rsidR="00010263" w:rsidP="009829AB" w14:paraId="563679F5" w14:textId="77777777">
            <w:pPr>
              <w:spacing w:line="360" w:lineRule="auto"/>
            </w:pPr>
            <w:r>
              <w:t>460</w:t>
            </w:r>
          </w:p>
        </w:tc>
      </w:tr>
      <w:tr w:rsidTr="009829AB" w14:paraId="2DD047E1" w14:textId="77777777">
        <w:tblPrEx>
          <w:tblW w:w="8784" w:type="dxa"/>
          <w:tblLook w:val="04A0"/>
        </w:tblPrEx>
        <w:trPr>
          <w:trHeight w:val="300"/>
        </w:trPr>
        <w:tc>
          <w:tcPr>
            <w:tcW w:w="2613" w:type="dxa"/>
            <w:noWrap/>
            <w:hideMark/>
          </w:tcPr>
          <w:p w:rsidRPr="006106A5" w:rsidR="00010263" w:rsidP="009829AB" w14:paraId="09F2BB40" w14:textId="77777777">
            <w:pPr>
              <w:jc w:val="left"/>
              <w:rPr>
                <w:i w:val="0"/>
                <w:iCs w:val="0"/>
              </w:rPr>
            </w:pPr>
            <w:r w:rsidRPr="006106A5">
              <w:t xml:space="preserve">Landbouw, Visserij, Voedselzekerheid en Natuur </w:t>
            </w:r>
          </w:p>
          <w:p w:rsidRPr="006106A5" w:rsidR="00010263" w:rsidP="009829AB" w14:paraId="40064D6F" w14:textId="77777777">
            <w:pPr>
              <w:jc w:val="left"/>
              <w:rPr>
                <w:i w:val="0"/>
                <w:iCs w:val="0"/>
              </w:rPr>
            </w:pPr>
          </w:p>
          <w:p w:rsidRPr="006106A5" w:rsidR="00010263" w:rsidP="009829AB" w14:paraId="4CD57B39" w14:textId="77777777">
            <w:pPr>
              <w:jc w:val="left"/>
            </w:pPr>
          </w:p>
        </w:tc>
        <w:tc>
          <w:tcPr>
            <w:tcW w:w="1918" w:type="dxa"/>
            <w:noWrap/>
            <w:vAlign w:val="bottom"/>
            <w:hideMark/>
          </w:tcPr>
          <w:p w:rsidRPr="006106A5" w:rsidR="00010263" w:rsidP="00010263" w14:paraId="34E51771" w14:textId="77777777">
            <w:pPr>
              <w:spacing w:line="360" w:lineRule="auto"/>
            </w:pPr>
            <w:r w:rsidRPr="006106A5">
              <w:t>276</w:t>
            </w:r>
          </w:p>
        </w:tc>
        <w:tc>
          <w:tcPr>
            <w:tcW w:w="1701" w:type="dxa"/>
            <w:noWrap/>
            <w:vAlign w:val="bottom"/>
            <w:hideMark/>
          </w:tcPr>
          <w:p w:rsidRPr="006106A5" w:rsidR="00010263" w:rsidP="009829AB" w14:paraId="53C12CCE" w14:textId="77777777">
            <w:pPr>
              <w:spacing w:line="360" w:lineRule="auto"/>
            </w:pPr>
            <w:r w:rsidRPr="006106A5">
              <w:t>53</w:t>
            </w:r>
          </w:p>
        </w:tc>
        <w:tc>
          <w:tcPr>
            <w:tcW w:w="2552" w:type="dxa"/>
            <w:noWrap/>
            <w:vAlign w:val="bottom"/>
            <w:hideMark/>
          </w:tcPr>
          <w:p w:rsidRPr="006106A5" w:rsidR="00010263" w:rsidP="009829AB" w14:paraId="34E0C41C" w14:textId="77777777">
            <w:pPr>
              <w:spacing w:line="360" w:lineRule="auto"/>
            </w:pPr>
            <w:r w:rsidRPr="006106A5">
              <w:t>8</w:t>
            </w:r>
          </w:p>
        </w:tc>
      </w:tr>
      <w:tr w:rsidTr="009829AB" w14:paraId="25B44794" w14:textId="77777777">
        <w:tblPrEx>
          <w:tblW w:w="8784" w:type="dxa"/>
          <w:tblLook w:val="04A0"/>
        </w:tblPrEx>
        <w:trPr>
          <w:trHeight w:val="300"/>
        </w:trPr>
        <w:tc>
          <w:tcPr>
            <w:tcW w:w="2613" w:type="dxa"/>
            <w:noWrap/>
            <w:hideMark/>
          </w:tcPr>
          <w:p w:rsidRPr="006106A5" w:rsidR="00010263" w:rsidP="009829AB" w14:paraId="2A62572F" w14:textId="77777777">
            <w:pPr>
              <w:jc w:val="left"/>
              <w:rPr>
                <w:i w:val="0"/>
                <w:iCs w:val="0"/>
              </w:rPr>
            </w:pPr>
            <w:r w:rsidRPr="006106A5">
              <w:t>Onderwijs, Cultuur en Wetenschap</w:t>
            </w:r>
          </w:p>
          <w:p w:rsidRPr="006106A5" w:rsidR="00010263" w:rsidP="009829AB" w14:paraId="19B774C0" w14:textId="77777777">
            <w:pPr>
              <w:jc w:val="left"/>
              <w:rPr>
                <w:i w:val="0"/>
                <w:iCs w:val="0"/>
              </w:rPr>
            </w:pPr>
          </w:p>
          <w:p w:rsidRPr="006106A5" w:rsidR="00010263" w:rsidP="009829AB" w14:paraId="2E06B8F3" w14:textId="77777777">
            <w:pPr>
              <w:jc w:val="left"/>
            </w:pPr>
          </w:p>
        </w:tc>
        <w:tc>
          <w:tcPr>
            <w:tcW w:w="1918" w:type="dxa"/>
            <w:noWrap/>
            <w:vAlign w:val="bottom"/>
            <w:hideMark/>
          </w:tcPr>
          <w:p w:rsidRPr="006106A5" w:rsidR="00010263" w:rsidP="009829AB" w14:paraId="52F21BE4" w14:textId="77777777">
            <w:pPr>
              <w:spacing w:line="360" w:lineRule="auto"/>
            </w:pPr>
            <w:r w:rsidRPr="006106A5">
              <w:t>819</w:t>
            </w:r>
          </w:p>
        </w:tc>
        <w:tc>
          <w:tcPr>
            <w:tcW w:w="1701" w:type="dxa"/>
            <w:noWrap/>
            <w:vAlign w:val="bottom"/>
            <w:hideMark/>
          </w:tcPr>
          <w:p w:rsidRPr="006106A5" w:rsidR="00010263" w:rsidP="009829AB" w14:paraId="2D24DCF6" w14:textId="77777777">
            <w:pPr>
              <w:spacing w:line="360" w:lineRule="auto"/>
            </w:pPr>
            <w:r w:rsidRPr="006106A5">
              <w:t>257</w:t>
            </w:r>
          </w:p>
        </w:tc>
        <w:tc>
          <w:tcPr>
            <w:tcW w:w="2552" w:type="dxa"/>
            <w:noWrap/>
            <w:vAlign w:val="bottom"/>
            <w:hideMark/>
          </w:tcPr>
          <w:p w:rsidRPr="006106A5" w:rsidR="00010263" w:rsidP="009829AB" w14:paraId="7A3D88C1" w14:textId="77777777">
            <w:pPr>
              <w:spacing w:line="360" w:lineRule="auto"/>
            </w:pPr>
            <w:r w:rsidRPr="006106A5">
              <w:t>-</w:t>
            </w:r>
          </w:p>
        </w:tc>
      </w:tr>
      <w:tr w:rsidTr="009829AB" w14:paraId="3878D60F" w14:textId="77777777">
        <w:tblPrEx>
          <w:tblW w:w="8784" w:type="dxa"/>
          <w:tblLook w:val="04A0"/>
        </w:tblPrEx>
        <w:trPr>
          <w:trHeight w:val="300"/>
        </w:trPr>
        <w:tc>
          <w:tcPr>
            <w:tcW w:w="2613" w:type="dxa"/>
            <w:noWrap/>
            <w:hideMark/>
          </w:tcPr>
          <w:p w:rsidRPr="006106A5" w:rsidR="00010263" w:rsidP="009829AB" w14:paraId="102ACF29" w14:textId="77777777">
            <w:pPr>
              <w:jc w:val="left"/>
              <w:rPr>
                <w:i w:val="0"/>
                <w:iCs w:val="0"/>
              </w:rPr>
            </w:pPr>
            <w:r w:rsidRPr="006106A5">
              <w:t>Sociale Zaken en Werkgelegenheid</w:t>
            </w:r>
          </w:p>
          <w:p w:rsidRPr="006106A5" w:rsidR="00010263" w:rsidP="009829AB" w14:paraId="555A1BEE" w14:textId="77777777">
            <w:pPr>
              <w:jc w:val="left"/>
              <w:rPr>
                <w:i w:val="0"/>
                <w:iCs w:val="0"/>
              </w:rPr>
            </w:pPr>
          </w:p>
          <w:p w:rsidRPr="006106A5" w:rsidR="00010263" w:rsidP="009829AB" w14:paraId="7CEE5099" w14:textId="77777777">
            <w:pPr>
              <w:jc w:val="left"/>
            </w:pPr>
          </w:p>
        </w:tc>
        <w:tc>
          <w:tcPr>
            <w:tcW w:w="1918" w:type="dxa"/>
            <w:noWrap/>
            <w:vAlign w:val="bottom"/>
            <w:hideMark/>
          </w:tcPr>
          <w:p w:rsidRPr="006106A5" w:rsidR="00010263" w:rsidP="009829AB" w14:paraId="5D97074C" w14:textId="77777777">
            <w:pPr>
              <w:spacing w:line="360" w:lineRule="auto"/>
            </w:pPr>
            <w:r w:rsidRPr="006106A5">
              <w:t>171</w:t>
            </w:r>
          </w:p>
        </w:tc>
        <w:tc>
          <w:tcPr>
            <w:tcW w:w="1701" w:type="dxa"/>
            <w:noWrap/>
            <w:vAlign w:val="bottom"/>
            <w:hideMark/>
          </w:tcPr>
          <w:p w:rsidRPr="006106A5" w:rsidR="00010263" w:rsidP="009829AB" w14:paraId="05FFE96C" w14:textId="77777777">
            <w:pPr>
              <w:spacing w:line="360" w:lineRule="auto"/>
            </w:pPr>
            <w:r w:rsidRPr="006106A5">
              <w:t>36</w:t>
            </w:r>
          </w:p>
        </w:tc>
        <w:tc>
          <w:tcPr>
            <w:tcW w:w="2552" w:type="dxa"/>
            <w:noWrap/>
            <w:vAlign w:val="bottom"/>
            <w:hideMark/>
          </w:tcPr>
          <w:p w:rsidRPr="006106A5" w:rsidR="00010263" w:rsidP="009829AB" w14:paraId="45AA7C8C" w14:textId="77777777">
            <w:pPr>
              <w:spacing w:line="360" w:lineRule="auto"/>
            </w:pPr>
            <w:r w:rsidRPr="006106A5">
              <w:t>1</w:t>
            </w:r>
          </w:p>
        </w:tc>
      </w:tr>
      <w:tr w:rsidTr="009829AB" w14:paraId="2AFFEE16" w14:textId="77777777">
        <w:tblPrEx>
          <w:tblW w:w="8784" w:type="dxa"/>
          <w:tblLook w:val="04A0"/>
        </w:tblPrEx>
        <w:trPr>
          <w:trHeight w:val="300"/>
        </w:trPr>
        <w:tc>
          <w:tcPr>
            <w:tcW w:w="2613" w:type="dxa"/>
            <w:noWrap/>
            <w:hideMark/>
          </w:tcPr>
          <w:p w:rsidRPr="006106A5" w:rsidR="00010263" w:rsidP="009829AB" w14:paraId="0EB8D711" w14:textId="77777777">
            <w:pPr>
              <w:jc w:val="left"/>
              <w:rPr>
                <w:i w:val="0"/>
                <w:iCs w:val="0"/>
              </w:rPr>
            </w:pPr>
            <w:r w:rsidRPr="006106A5">
              <w:t>Volksgezondheid, Welzijn en Sport</w:t>
            </w:r>
          </w:p>
          <w:p w:rsidRPr="006106A5" w:rsidR="00010263" w:rsidP="009829AB" w14:paraId="641F63F1" w14:textId="77777777">
            <w:pPr>
              <w:jc w:val="left"/>
              <w:rPr>
                <w:i w:val="0"/>
                <w:iCs w:val="0"/>
              </w:rPr>
            </w:pPr>
          </w:p>
          <w:p w:rsidRPr="006106A5" w:rsidR="00010263" w:rsidP="009829AB" w14:paraId="2349FA4E" w14:textId="77777777">
            <w:pPr>
              <w:jc w:val="left"/>
            </w:pPr>
          </w:p>
        </w:tc>
        <w:tc>
          <w:tcPr>
            <w:tcW w:w="1918" w:type="dxa"/>
            <w:noWrap/>
            <w:vAlign w:val="bottom"/>
            <w:hideMark/>
          </w:tcPr>
          <w:p w:rsidRPr="006106A5" w:rsidR="00010263" w:rsidP="009829AB" w14:paraId="68144F6F" w14:textId="77777777">
            <w:pPr>
              <w:spacing w:line="360" w:lineRule="auto"/>
            </w:pPr>
            <w:r w:rsidRPr="006106A5">
              <w:t>946</w:t>
            </w:r>
          </w:p>
        </w:tc>
        <w:tc>
          <w:tcPr>
            <w:tcW w:w="1701" w:type="dxa"/>
            <w:noWrap/>
            <w:vAlign w:val="bottom"/>
            <w:hideMark/>
          </w:tcPr>
          <w:p w:rsidRPr="006106A5" w:rsidR="00010263" w:rsidP="009829AB" w14:paraId="6E385201" w14:textId="77777777">
            <w:pPr>
              <w:spacing w:line="360" w:lineRule="auto"/>
            </w:pPr>
            <w:r w:rsidRPr="006106A5">
              <w:t>508</w:t>
            </w:r>
          </w:p>
        </w:tc>
        <w:tc>
          <w:tcPr>
            <w:tcW w:w="2552" w:type="dxa"/>
            <w:noWrap/>
            <w:vAlign w:val="bottom"/>
            <w:hideMark/>
          </w:tcPr>
          <w:p w:rsidRPr="006106A5" w:rsidR="00010263" w:rsidP="009829AB" w14:paraId="01AED3CC" w14:textId="77777777">
            <w:pPr>
              <w:spacing w:line="360" w:lineRule="auto"/>
            </w:pPr>
            <w:r w:rsidRPr="006106A5">
              <w:t>34</w:t>
            </w:r>
          </w:p>
        </w:tc>
      </w:tr>
      <w:tr w:rsidTr="009829AB" w14:paraId="1E7D8C67" w14:textId="77777777">
        <w:tblPrEx>
          <w:tblW w:w="8784" w:type="dxa"/>
          <w:tblLook w:val="04A0"/>
        </w:tblPrEx>
        <w:trPr>
          <w:trHeight w:val="300"/>
        </w:trPr>
        <w:tc>
          <w:tcPr>
            <w:tcW w:w="2613" w:type="dxa"/>
            <w:noWrap/>
            <w:hideMark/>
          </w:tcPr>
          <w:p w:rsidRPr="006106A5" w:rsidR="00010263" w:rsidP="009829AB" w14:paraId="375D8595" w14:textId="77777777">
            <w:pPr>
              <w:jc w:val="left"/>
              <w:rPr>
                <w:b/>
                <w:bCs/>
              </w:rPr>
            </w:pPr>
            <w:r w:rsidRPr="006106A5">
              <w:rPr>
                <w:b/>
                <w:bCs/>
              </w:rPr>
              <w:t>Rijksbreed</w:t>
            </w:r>
            <w:r w:rsidRPr="006106A5">
              <w:rPr>
                <w:b/>
                <w:bCs/>
              </w:rPr>
              <w:t xml:space="preserve"> totaal</w:t>
            </w:r>
          </w:p>
        </w:tc>
        <w:tc>
          <w:tcPr>
            <w:tcW w:w="1918" w:type="dxa"/>
            <w:noWrap/>
            <w:vAlign w:val="bottom"/>
            <w:hideMark/>
          </w:tcPr>
          <w:p w:rsidRPr="006106A5" w:rsidR="00010263" w:rsidP="009829AB" w14:paraId="19DA6977" w14:textId="77777777">
            <w:pPr>
              <w:spacing w:line="360" w:lineRule="auto"/>
              <w:rPr>
                <w:b/>
                <w:bCs/>
              </w:rPr>
            </w:pPr>
            <w:r w:rsidRPr="006106A5">
              <w:rPr>
                <w:b/>
                <w:bCs/>
              </w:rPr>
              <w:t>1</w:t>
            </w:r>
            <w:r w:rsidR="000829B4">
              <w:rPr>
                <w:b/>
                <w:bCs/>
              </w:rPr>
              <w:t>6.597</w:t>
            </w:r>
          </w:p>
        </w:tc>
        <w:tc>
          <w:tcPr>
            <w:tcW w:w="1701" w:type="dxa"/>
            <w:noWrap/>
            <w:vAlign w:val="bottom"/>
            <w:hideMark/>
          </w:tcPr>
          <w:p w:rsidRPr="006106A5" w:rsidR="00010263" w:rsidP="009829AB" w14:paraId="6B0CC6E1" w14:textId="77777777">
            <w:pPr>
              <w:spacing w:line="360" w:lineRule="auto"/>
              <w:rPr>
                <w:b/>
                <w:bCs/>
              </w:rPr>
            </w:pPr>
            <w:r w:rsidRPr="006106A5">
              <w:rPr>
                <w:b/>
                <w:bCs/>
              </w:rPr>
              <w:t>4.0</w:t>
            </w:r>
            <w:r w:rsidR="00CF7B8C">
              <w:rPr>
                <w:b/>
                <w:bCs/>
              </w:rPr>
              <w:t>3</w:t>
            </w:r>
            <w:r w:rsidR="00803756">
              <w:rPr>
                <w:b/>
                <w:bCs/>
              </w:rPr>
              <w:t>9</w:t>
            </w:r>
          </w:p>
        </w:tc>
        <w:tc>
          <w:tcPr>
            <w:tcW w:w="2552" w:type="dxa"/>
            <w:noWrap/>
            <w:vAlign w:val="bottom"/>
            <w:hideMark/>
          </w:tcPr>
          <w:p w:rsidRPr="007E6C47" w:rsidR="00010263" w:rsidP="009829AB" w14:paraId="64369EF8" w14:textId="77777777">
            <w:pPr>
              <w:spacing w:line="360" w:lineRule="auto"/>
              <w:rPr>
                <w:b/>
                <w:bCs/>
              </w:rPr>
            </w:pPr>
            <w:r w:rsidRPr="006106A5">
              <w:rPr>
                <w:b/>
                <w:bCs/>
              </w:rPr>
              <w:t>1</w:t>
            </w:r>
            <w:r w:rsidRPr="006106A5" w:rsidR="00E82E8F">
              <w:rPr>
                <w:b/>
                <w:bCs/>
              </w:rPr>
              <w:t>.</w:t>
            </w:r>
            <w:r w:rsidR="00803756">
              <w:rPr>
                <w:b/>
                <w:bCs/>
              </w:rPr>
              <w:t>305</w:t>
            </w:r>
          </w:p>
        </w:tc>
      </w:tr>
    </w:tbl>
    <w:p w:rsidRPr="007E6C47" w:rsidR="00010263" w:rsidP="00010263" w14:paraId="51800C01" w14:textId="77777777"/>
    <w:p w:rsidRPr="007E6C47" w:rsidR="00EE0E8B" w14:paraId="3859723B" w14:textId="77777777"/>
    <w:sectPr w:rsidSect="006106A5">
      <w:headerReference w:type="even" r:id="rId7"/>
      <w:headerReference w:type="default" r:id="rId8"/>
      <w:footerReference w:type="even" r:id="rId9"/>
      <w:footerReference w:type="default" r:id="rId10"/>
      <w:headerReference w:type="first" r:id="rId11"/>
      <w:footerReference w:type="first" r:id="rId12"/>
      <w:pgSz w:w="11905" w:h="16837"/>
      <w:pgMar w:top="4395" w:right="2777" w:bottom="1135"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font>
  <w:font w:name="Lohit Hindi">
    <w:altName w:val="Times New Roman"/>
    <w:charset w:val="00"/>
    <w:family w:val="auto"/>
    <w:pitch w:val="default"/>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E713A" w14:paraId="68F219F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0E8B" w14:paraId="21809C7D" w14:textId="77777777">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E713A" w14:paraId="5AC3869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754A0" w14:paraId="350D905C" w14:textId="77777777">
      <w:pPr>
        <w:spacing w:line="240" w:lineRule="auto"/>
      </w:pPr>
      <w:r>
        <w:separator/>
      </w:r>
    </w:p>
  </w:footnote>
  <w:footnote w:type="continuationSeparator" w:id="1">
    <w:p w:rsidR="008754A0" w14:paraId="026AC8D6" w14:textId="77777777">
      <w:pPr>
        <w:spacing w:line="240" w:lineRule="auto"/>
      </w:pPr>
      <w:r>
        <w:continuationSeparator/>
      </w:r>
    </w:p>
  </w:footnote>
  <w:footnote w:id="2">
    <w:p w:rsidR="00B771DF" w:rsidRPr="00FA3FB8" w14:paraId="64613A29" w14:textId="77777777">
      <w:pPr>
        <w:pStyle w:val="FootnoteText"/>
        <w:rPr>
          <w:sz w:val="18"/>
          <w:szCs w:val="18"/>
        </w:rPr>
      </w:pPr>
      <w:r w:rsidRPr="00FA3FB8">
        <w:rPr>
          <w:rStyle w:val="FootnoteReference"/>
          <w:sz w:val="14"/>
          <w:szCs w:val="14"/>
        </w:rPr>
        <w:footnoteRef/>
      </w:r>
      <w:r w:rsidRPr="00FA3FB8">
        <w:rPr>
          <w:sz w:val="14"/>
          <w:szCs w:val="14"/>
        </w:rPr>
        <w:t xml:space="preserve"> </w:t>
      </w:r>
      <w:r w:rsidRPr="00FA3FB8">
        <w:rPr>
          <w:i/>
          <w:iCs/>
          <w:sz w:val="14"/>
          <w:szCs w:val="14"/>
        </w:rPr>
        <w:t>Kamerstuk</w:t>
      </w:r>
      <w:r w:rsidRPr="00FA3FB8">
        <w:rPr>
          <w:sz w:val="14"/>
          <w:szCs w:val="14"/>
        </w:rPr>
        <w:t xml:space="preserve"> 31 311, Nr. 269. </w:t>
      </w:r>
    </w:p>
  </w:footnote>
  <w:footnote w:id="3">
    <w:p w:rsidR="00EA5DD3" w14:paraId="01013514" w14:textId="77777777">
      <w:pPr>
        <w:pStyle w:val="FootnoteText"/>
      </w:pPr>
      <w:r w:rsidRPr="00FA3FB8">
        <w:rPr>
          <w:rStyle w:val="FootnoteReference"/>
          <w:sz w:val="14"/>
          <w:szCs w:val="14"/>
        </w:rPr>
        <w:footnoteRef/>
      </w:r>
      <w:r w:rsidRPr="00FA3FB8">
        <w:rPr>
          <w:sz w:val="14"/>
          <w:szCs w:val="14"/>
        </w:rPr>
        <w:t xml:space="preserve"> De specificatie per ministerie is te lezen </w:t>
      </w:r>
      <w:r w:rsidRPr="00FA3FB8" w:rsidR="00564024">
        <w:rPr>
          <w:sz w:val="14"/>
          <w:szCs w:val="14"/>
        </w:rPr>
        <w:t xml:space="preserve">in de bijlage </w:t>
      </w:r>
      <w:r w:rsidRPr="00FA3FB8">
        <w:rPr>
          <w:sz w:val="14"/>
          <w:szCs w:val="14"/>
        </w:rPr>
        <w:t>op pagina</w:t>
      </w:r>
      <w:r w:rsidRPr="00FA3FB8" w:rsidR="00FA3FB8">
        <w:rPr>
          <w:sz w:val="14"/>
          <w:szCs w:val="14"/>
        </w:rPr>
        <w:t>’s</w:t>
      </w:r>
      <w:r w:rsidRPr="00FA3FB8">
        <w:rPr>
          <w:sz w:val="14"/>
          <w:szCs w:val="14"/>
        </w:rPr>
        <w:t xml:space="preserve"> </w:t>
      </w:r>
      <w:r w:rsidR="006106A5">
        <w:rPr>
          <w:sz w:val="14"/>
          <w:szCs w:val="14"/>
        </w:rPr>
        <w:t>4</w:t>
      </w:r>
      <w:r w:rsidRPr="00FA3FB8" w:rsidR="00FA3FB8">
        <w:rPr>
          <w:sz w:val="14"/>
          <w:szCs w:val="14"/>
        </w:rPr>
        <w:t xml:space="preserve"> en </w:t>
      </w:r>
      <w:r w:rsidR="006106A5">
        <w:rPr>
          <w:sz w:val="14"/>
          <w:szCs w:val="14"/>
        </w:rPr>
        <w:t>5</w:t>
      </w:r>
      <w:r w:rsidRPr="00FA3FB8">
        <w:rPr>
          <w:sz w:val="14"/>
          <w:szCs w:val="14"/>
        </w:rPr>
        <w:t xml:space="preserve"> van deze </w:t>
      </w:r>
      <w:r w:rsidR="004B7EBA">
        <w:rPr>
          <w:sz w:val="14"/>
          <w:szCs w:val="14"/>
        </w:rPr>
        <w:t>brief</w:t>
      </w:r>
      <w:r w:rsidRPr="00FA3FB8">
        <w:rPr>
          <w:sz w:val="14"/>
          <w:szCs w:val="14"/>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E713A" w14:paraId="2239B82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0E8B" w14:paraId="206F9625" w14:textId="77777777">
    <w:r>
      <w:rPr>
        <w:noProof/>
      </w:rPr>
      <mc:AlternateContent>
        <mc:Choice Requires="wps">
          <w:drawing>
            <wp:anchor distT="0" distB="0" distL="0" distR="0" simplePos="0" relativeHeight="251658240" behindDoc="0" locked="1" layoutInCell="1" allowOverlap="1">
              <wp:simplePos x="0" y="0"/>
              <wp:positionH relativeFrom="page">
                <wp:posOffset>5921375</wp:posOffset>
              </wp:positionH>
              <wp:positionV relativeFrom="paragraph">
                <wp:posOffset>1565275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EE0E8B" w:rsidRPr="00B771DF" w14:textId="77777777">
                          <w:pPr>
                            <w:pStyle w:val="Referentiegegevensbold"/>
                            <w:rPr>
                              <w:lang w:val="en-US"/>
                            </w:rPr>
                          </w:pPr>
                          <w:r w:rsidRPr="00B771DF">
                            <w:rPr>
                              <w:lang w:val="en-US"/>
                            </w:rPr>
                            <w:t>DGDOO</w:t>
                          </w:r>
                        </w:p>
                        <w:p w:rsidR="00EE0E8B" w:rsidRPr="00B771DF" w14:textId="77777777">
                          <w:pPr>
                            <w:pStyle w:val="Referentiegegevens"/>
                            <w:rPr>
                              <w:lang w:val="en-US"/>
                            </w:rPr>
                          </w:pPr>
                          <w:r w:rsidRPr="00B771DF">
                            <w:rPr>
                              <w:lang w:val="en-US"/>
                            </w:rPr>
                            <w:t>IFHR</w:t>
                          </w:r>
                        </w:p>
                        <w:p w:rsidR="00EE0E8B" w:rsidRPr="00B771DF" w14:textId="77777777">
                          <w:pPr>
                            <w:pStyle w:val="Referentiegegevens"/>
                            <w:rPr>
                              <w:lang w:val="en-US"/>
                            </w:rPr>
                          </w:pPr>
                          <w:r w:rsidRPr="00B771DF">
                            <w:rPr>
                              <w:lang w:val="en-US"/>
                            </w:rPr>
                            <w:t>I&amp;A</w:t>
                          </w:r>
                        </w:p>
                        <w:p w:rsidR="00EE0E8B" w:rsidRPr="00B771DF" w14:textId="77777777">
                          <w:pPr>
                            <w:pStyle w:val="WitregelW2"/>
                            <w:rPr>
                              <w:lang w:val="en-US"/>
                            </w:rPr>
                          </w:pPr>
                        </w:p>
                        <w:p w:rsidR="00EE0E8B" w:rsidRPr="00B771DF" w14:textId="77777777">
                          <w:pPr>
                            <w:pStyle w:val="WitregelW1"/>
                            <w:rPr>
                              <w:lang w:val="en-US"/>
                            </w:rPr>
                          </w:pPr>
                        </w:p>
                        <w:p w:rsidR="00EE0E8B" w14:textId="77777777">
                          <w:pPr>
                            <w:pStyle w:val="Referentiegegevensbold"/>
                          </w:pPr>
                          <w:r>
                            <w:t>Onze referentie</w:t>
                          </w:r>
                        </w:p>
                        <w:p w:rsidR="00EE0E8B" w14:textId="0460A1EB">
                          <w:pPr>
                            <w:pStyle w:val="Referentiegegevens"/>
                          </w:pPr>
                          <w:r>
                            <w:fldChar w:fldCharType="begin"/>
                          </w:r>
                          <w:r>
                            <w:instrText xml:space="preserve"> DOCPROPERTY  "Kenmerk"  \* MERGEFORMAT </w:instrText>
                          </w:r>
                          <w:r>
                            <w:fldChar w:fldCharType="separate"/>
                          </w:r>
                          <w:r w:rsidR="00FE1C7B">
                            <w:t>2025-0000691499</w:t>
                          </w:r>
                          <w:r w:rsidR="00FE1C7B">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f022-aa3c-11ea-a756-beb5f67e67be" o:spid="_x0000_s2049" type="#_x0000_t202" alt="Colofon" style="width:100.6pt;height:630.7pt;margin-top:123.25pt;margin-left:466.25pt;mso-position-horizontal-relative:page;mso-wrap-distance-bottom:0;mso-wrap-distance-left:0;mso-wrap-distance-right:0;mso-wrap-distance-top:0;mso-wrap-style:square;position:absolute;v-text-anchor:top;visibility:visible;z-index:251659264" filled="f" stroked="f">
              <v:textbox inset="0,0,0,0">
                <w:txbxContent>
                  <w:p w:rsidR="00EE0E8B" w:rsidRPr="00B771DF" w14:paraId="7CB01974" w14:textId="77777777">
                    <w:pPr>
                      <w:pStyle w:val="Referentiegegevensbold"/>
                      <w:rPr>
                        <w:lang w:val="en-US"/>
                      </w:rPr>
                    </w:pPr>
                    <w:r w:rsidRPr="00B771DF">
                      <w:rPr>
                        <w:lang w:val="en-US"/>
                      </w:rPr>
                      <w:t>DGDOO</w:t>
                    </w:r>
                  </w:p>
                  <w:p w:rsidR="00EE0E8B" w:rsidRPr="00B771DF" w14:paraId="0ACD6D1E" w14:textId="77777777">
                    <w:pPr>
                      <w:pStyle w:val="Referentiegegevens"/>
                      <w:rPr>
                        <w:lang w:val="en-US"/>
                      </w:rPr>
                    </w:pPr>
                    <w:r w:rsidRPr="00B771DF">
                      <w:rPr>
                        <w:lang w:val="en-US"/>
                      </w:rPr>
                      <w:t>IFHR</w:t>
                    </w:r>
                  </w:p>
                  <w:p w:rsidR="00EE0E8B" w:rsidRPr="00B771DF" w14:paraId="05DFDE69" w14:textId="77777777">
                    <w:pPr>
                      <w:pStyle w:val="Referentiegegevens"/>
                      <w:rPr>
                        <w:lang w:val="en-US"/>
                      </w:rPr>
                    </w:pPr>
                    <w:r w:rsidRPr="00B771DF">
                      <w:rPr>
                        <w:lang w:val="en-US"/>
                      </w:rPr>
                      <w:t>I&amp;A</w:t>
                    </w:r>
                  </w:p>
                  <w:p w:rsidR="00EE0E8B" w:rsidRPr="00B771DF" w14:paraId="786412B2" w14:textId="77777777">
                    <w:pPr>
                      <w:pStyle w:val="WitregelW2"/>
                      <w:rPr>
                        <w:lang w:val="en-US"/>
                      </w:rPr>
                    </w:pPr>
                  </w:p>
                  <w:p w:rsidR="00EE0E8B" w:rsidRPr="00B771DF" w14:paraId="267587AC" w14:textId="77777777">
                    <w:pPr>
                      <w:pStyle w:val="WitregelW1"/>
                      <w:rPr>
                        <w:lang w:val="en-US"/>
                      </w:rPr>
                    </w:pPr>
                  </w:p>
                  <w:p w:rsidR="00EE0E8B" w14:paraId="05E28903" w14:textId="77777777">
                    <w:pPr>
                      <w:pStyle w:val="Referentiegegevensbold"/>
                    </w:pPr>
                    <w:r>
                      <w:t>Onze referentie</w:t>
                    </w:r>
                  </w:p>
                  <w:p w:rsidR="00EE0E8B" w14:paraId="5EAEDC0E" w14:textId="0460A1EB">
                    <w:pPr>
                      <w:pStyle w:val="Referentiegegevens"/>
                    </w:pPr>
                    <w:r>
                      <w:fldChar w:fldCharType="begin"/>
                    </w:r>
                    <w:r>
                      <w:instrText xml:space="preserve"> DOCPROPERTY  "Kenmerk"  \* MERGEFORMAT </w:instrText>
                    </w:r>
                    <w:r>
                      <w:fldChar w:fldCharType="separate"/>
                    </w:r>
                    <w:r w:rsidR="00FE1C7B">
                      <w:t>2025-0000691499</w:t>
                    </w:r>
                    <w:r w:rsidR="00FE1C7B">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C37D6F" w14:textId="77777777"/>
                      </w:txbxContent>
                    </wps:txbx>
                    <wps:bodyPr vert="horz" wrap="square" lIns="0" tIns="0" rIns="0" bIns="0" anchor="t" anchorCtr="0"/>
                  </wps:wsp>
                </a:graphicData>
              </a:graphic>
            </wp:anchor>
          </w:drawing>
        </mc:Choice>
        <mc:Fallback>
          <w:pict>
            <v:shape id="46fef06f-aa3c-11ea-a756-beb5f67e67be" o:spid="_x0000_s2050" type="#_x0000_t202" alt="Voettekst" style="width:377pt;height:12.7pt;margin-top:802.75pt;margin-left:79.35pt;mso-position-horizontal-relative:page;mso-wrap-distance-bottom:0;mso-wrap-distance-left:0;mso-wrap-distance-right:0;mso-wrap-distance-top:0;mso-wrap-style:square;position:absolute;v-text-anchor:top;visibility:visible;z-index:251661312" filled="f" stroked="f">
              <v:textbox inset="0,0,0,0">
                <w:txbxContent>
                  <w:p w:rsidR="00C37D6F" w14:paraId="3C54EF5B" w14:textId="77777777"/>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9A586D"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63360" filled="f" stroked="f">
              <v:textbox inset="0,0,0,0">
                <w:txbxContent>
                  <w:p w:rsidR="009A586D" w14:paraId="44819170"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0E8B" w14:paraId="45C6801E" w14:textId="77777777">
    <w:pPr>
      <w:spacing w:after="6377" w:line="14" w:lineRule="exact"/>
    </w:pPr>
    <w:r>
      <w:rPr>
        <w:noProof/>
      </w:rPr>
      <mc:AlternateContent>
        <mc:Choice Requires="wps">
          <w:drawing>
            <wp:anchor distT="0" distB="0" distL="0" distR="0" simplePos="0" relativeHeight="251664384"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EE0E8B" w14:textId="77777777">
                          <w:r>
                            <w:t>Aan de Voorzitter van de Tweede Kamer der Staten-Generaal</w:t>
                          </w:r>
                          <w:r>
                            <w:br/>
                          </w:r>
                          <w:r w:rsidRPr="00D16090">
                            <w:rPr>
                              <w:rFonts w:cs="Arial"/>
                              <w:color w:val="132439"/>
                            </w:rPr>
                            <w:t>Postbus 20018</w:t>
                          </w:r>
                          <w:r w:rsidRPr="00D16090">
                            <w:rPr>
                              <w:rFonts w:cs="Arial"/>
                              <w:color w:val="132439"/>
                            </w:rPr>
                            <w:br/>
                            <w:t>2500 EA Den Haag</w:t>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b64-aa3c-11ea-a756-beb5f67e67be" o:spid="_x0000_s2052" type="#_x0000_t202" alt="Adresvak" style="width:377pt;height:87.85pt;margin-top:153.9pt;margin-left:79.35pt;mso-position-horizontal-relative:page;mso-wrap-distance-bottom:0;mso-wrap-distance-left:0;mso-wrap-distance-right:0;mso-wrap-distance-top:0;mso-wrap-style:square;position:absolute;v-text-anchor:top;visibility:visible;z-index:251665408" filled="f" stroked="f">
              <v:textbox inset="0,0,0,0">
                <w:txbxContent>
                  <w:p w:rsidR="00EE0E8B" w14:paraId="797419D6" w14:textId="77777777">
                    <w:r>
                      <w:t>Aan de Voorzitter van de Tweede Kamer der Staten-Generaal</w:t>
                    </w:r>
                    <w:r>
                      <w:br/>
                    </w:r>
                    <w:r w:rsidRPr="00D16090">
                      <w:rPr>
                        <w:rFonts w:cs="Arial"/>
                        <w:color w:val="132439"/>
                      </w:rPr>
                      <w:t>Postbus 20018</w:t>
                    </w:r>
                    <w:r w:rsidRPr="00D16090">
                      <w:rPr>
                        <w:rFonts w:cs="Arial"/>
                        <w:color w:val="132439"/>
                      </w:rPr>
                      <w:br/>
                      <w:t>2500 EA Den Haag</w:t>
                    </w:r>
                  </w:p>
                </w:txbxContent>
              </v:textbox>
              <w10:anchorlock/>
            </v:shape>
          </w:pict>
        </mc:Fallback>
      </mc:AlternateContent>
    </w:r>
    <w:r>
      <w:rPr>
        <w:noProof/>
      </w:rPr>
      <mc:AlternateContent>
        <mc:Choice Requires="wps">
          <w:drawing>
            <wp:anchor distT="0" distB="0" distL="0" distR="0" simplePos="0" relativeHeight="251666432" behindDoc="0" locked="1" layoutInCell="1" allowOverlap="1">
              <wp:simplePos x="0" y="0"/>
              <wp:positionH relativeFrom="margin">
                <wp:align>left</wp:align>
              </wp:positionH>
              <wp:positionV relativeFrom="paragraph">
                <wp:posOffset>3357245</wp:posOffset>
              </wp:positionV>
              <wp:extent cx="4787900" cy="723900"/>
              <wp:effectExtent l="0" t="0" r="0" b="0"/>
              <wp:wrapNone/>
              <wp:docPr id="5" name="46feebd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723900"/>
                      </a:xfrm>
                      <a:prstGeom prst="rect">
                        <a:avLst/>
                      </a:prstGeom>
                      <a:noFill/>
                    </wps:spPr>
                    <wps:txbx>
                      <w:txbxContent>
                        <w:tbl>
                          <w:tblPr>
                            <w:tblW w:w="0" w:type="auto"/>
                            <w:tblInd w:w="-120" w:type="dxa"/>
                            <w:tblLayout w:type="fixed"/>
                            <w:tblLook w:val="07E0"/>
                          </w:tblPr>
                          <w:tblGrid>
                            <w:gridCol w:w="1140"/>
                            <w:gridCol w:w="5918"/>
                          </w:tblGrid>
                          <w:tr w14:paraId="12F837A7" w14:textId="77777777">
                            <w:tblPrEx>
                              <w:tblW w:w="0" w:type="auto"/>
                              <w:tblInd w:w="-120" w:type="dxa"/>
                              <w:tblLayout w:type="fixed"/>
                              <w:tblLook w:val="07E0"/>
                            </w:tblPrEx>
                            <w:trPr>
                              <w:trHeight w:val="240"/>
                            </w:trPr>
                            <w:tc>
                              <w:tcPr>
                                <w:tcW w:w="1140" w:type="dxa"/>
                              </w:tcPr>
                              <w:p w:rsidR="00EE0E8B" w:rsidRPr="006106A5" w14:textId="77777777">
                                <w:r w:rsidRPr="006106A5">
                                  <w:t>Datum</w:t>
                                </w:r>
                              </w:p>
                            </w:tc>
                            <w:tc>
                              <w:tcPr>
                                <w:tcW w:w="5918" w:type="dxa"/>
                              </w:tcPr>
                              <w:p w:rsidR="00EE0E8B" w:rsidRPr="004B7EBA" w14:textId="48306CFA">
                                <w:pPr>
                                  <w:rPr>
                                    <w:color w:val="auto"/>
                                  </w:rPr>
                                </w:pPr>
                                <w:sdt>
                                  <w:sdtPr>
                                    <w:rPr>
                                      <w:color w:val="auto"/>
                                    </w:rPr>
                                    <w:id w:val="-1370673193"/>
                                    <w:date w:fullDate="2025-12-17T00:00:00Z">
                                      <w:dateFormat w:val="d MMMM yyyy"/>
                                      <w:lid w:val="nl"/>
                                      <w:storeMappedDataAs w:val="dateTime"/>
                                      <w:calendar w:val="gregorian"/>
                                    </w:date>
                                  </w:sdtPr>
                                  <w:sdtContent>
                                    <w:r w:rsidR="00FE1C7B">
                                      <w:rPr>
                                        <w:color w:val="auto"/>
                                        <w:lang w:val="nl"/>
                                      </w:rPr>
                                      <w:t>17 december 2025</w:t>
                                    </w:r>
                                  </w:sdtContent>
                                </w:sdt>
                              </w:p>
                            </w:tc>
                          </w:tr>
                          <w:tr w14:paraId="48D47772" w14:textId="77777777">
                            <w:tblPrEx>
                              <w:tblW w:w="0" w:type="auto"/>
                              <w:tblInd w:w="-120" w:type="dxa"/>
                              <w:tblLayout w:type="fixed"/>
                              <w:tblLook w:val="07E0"/>
                            </w:tblPrEx>
                            <w:trPr>
                              <w:trHeight w:val="240"/>
                            </w:trPr>
                            <w:tc>
                              <w:tcPr>
                                <w:tcW w:w="1140" w:type="dxa"/>
                              </w:tcPr>
                              <w:p w:rsidR="00EE0E8B" w14:textId="77777777">
                                <w:r>
                                  <w:t>Betreft</w:t>
                                </w:r>
                              </w:p>
                            </w:tc>
                            <w:tc>
                              <w:tcPr>
                                <w:tcW w:w="5918" w:type="dxa"/>
                              </w:tcPr>
                              <w:p w:rsidR="00EE0E8B" w14:textId="77777777">
                                <w:r>
                                  <w:t>Kamerbrief</w:t>
                                </w:r>
                                <w:r w:rsidR="00C37D6F">
                                  <w:t xml:space="preserve"> </w:t>
                                </w:r>
                                <w:r w:rsidR="00B771DF">
                                  <w:t>potentieel</w:t>
                                </w:r>
                                <w:r w:rsidR="00C37D6F">
                                  <w:t xml:space="preserve"> schijnzelfstandigen</w:t>
                                </w:r>
                                <w:r w:rsidR="00FA33A8">
                                  <w:t xml:space="preserve"> 1 januari 2025</w:t>
                                </w:r>
                                <w:r w:rsidR="00DA0E43">
                                  <w:t xml:space="preserve"> en 1 juli 2025</w:t>
                                </w:r>
                              </w:p>
                            </w:tc>
                          </w:tr>
                        </w:tbl>
                        <w:p w:rsidR="00C37D6F" w14:textId="77777777"/>
                      </w:txbxContent>
                    </wps:txbx>
                    <wps:bodyPr vert="horz" wrap="square" lIns="0" tIns="0" rIns="0" bIns="0" anchor="t" anchorCtr="0"/>
                  </wps:wsp>
                </a:graphicData>
              </a:graphic>
              <wp14:sizeRelV relativeFrom="margin">
                <wp14:pctHeight>0</wp14:pctHeight>
              </wp14:sizeRelV>
            </wp:anchor>
          </w:drawing>
        </mc:Choice>
        <mc:Fallback>
          <w:pict>
            <v:shape id="46feebd0-aa3c-11ea-a756-beb5f67e67be" o:spid="_x0000_s2053" type="#_x0000_t202" style="width:377pt;height:57pt;margin-top:264.35pt;margin-left:0;mso-height-percent:0;mso-height-relative:margin;mso-position-horizontal:left;mso-position-horizontal-relative:margin;mso-wrap-distance-bottom:0;mso-wrap-distance-left:0;mso-wrap-distance-right:0;mso-wrap-distance-top:0;mso-wrap-style:square;position:absolute;v-text-anchor:top;visibility:visible;z-index:251667456" filled="f" stroked="f">
              <v:textbox inset="0,0,0,0">
                <w:txbxContent>
                  <w:tbl>
                    <w:tblPr>
                      <w:tblW w:w="0" w:type="auto"/>
                      <w:tblInd w:w="-120" w:type="dxa"/>
                      <w:tblLayout w:type="fixed"/>
                      <w:tblLook w:val="07E0"/>
                    </w:tblPr>
                    <w:tblGrid>
                      <w:gridCol w:w="1140"/>
                      <w:gridCol w:w="5918"/>
                    </w:tblGrid>
                    <w:tr w14:paraId="12F837A6" w14:textId="77777777">
                      <w:tblPrEx>
                        <w:tblW w:w="0" w:type="auto"/>
                        <w:tblInd w:w="-120" w:type="dxa"/>
                        <w:tblLayout w:type="fixed"/>
                        <w:tblLook w:val="07E0"/>
                      </w:tblPrEx>
                      <w:trPr>
                        <w:trHeight w:val="240"/>
                      </w:trPr>
                      <w:tc>
                        <w:tcPr>
                          <w:tcW w:w="1140" w:type="dxa"/>
                        </w:tcPr>
                        <w:p w:rsidR="00EE0E8B" w:rsidRPr="006106A5" w14:paraId="62E6F85A" w14:textId="77777777">
                          <w:r w:rsidRPr="006106A5">
                            <w:t>Datum</w:t>
                          </w:r>
                        </w:p>
                      </w:tc>
                      <w:tc>
                        <w:tcPr>
                          <w:tcW w:w="5918" w:type="dxa"/>
                        </w:tcPr>
                        <w:p w:rsidR="00EE0E8B" w:rsidRPr="004B7EBA" w14:paraId="51D27C52" w14:textId="48306CFA">
                          <w:pPr>
                            <w:rPr>
                              <w:color w:val="auto"/>
                            </w:rPr>
                          </w:pPr>
                          <w:sdt>
                            <w:sdtPr>
                              <w:rPr>
                                <w:color w:val="auto"/>
                              </w:rPr>
                              <w:id w:val="2005129275"/>
                              <w:date w:fullDate="2025-12-17T00:00:00Z">
                                <w:dateFormat w:val="d MMMM yyyy"/>
                                <w:lid w:val="nl"/>
                                <w:storeMappedDataAs w:val="dateTime"/>
                                <w:calendar w:val="gregorian"/>
                              </w:date>
                            </w:sdtPr>
                            <w:sdtContent>
                              <w:r w:rsidR="00FE1C7B">
                                <w:rPr>
                                  <w:color w:val="auto"/>
                                  <w:lang w:val="nl"/>
                                </w:rPr>
                                <w:t>17 december 2025</w:t>
                              </w:r>
                            </w:sdtContent>
                          </w:sdt>
                        </w:p>
                      </w:tc>
                    </w:tr>
                    <w:tr w14:paraId="48D47771" w14:textId="77777777">
                      <w:tblPrEx>
                        <w:tblW w:w="0" w:type="auto"/>
                        <w:tblInd w:w="-120" w:type="dxa"/>
                        <w:tblLayout w:type="fixed"/>
                        <w:tblLook w:val="07E0"/>
                      </w:tblPrEx>
                      <w:trPr>
                        <w:trHeight w:val="240"/>
                      </w:trPr>
                      <w:tc>
                        <w:tcPr>
                          <w:tcW w:w="1140" w:type="dxa"/>
                        </w:tcPr>
                        <w:p w:rsidR="00EE0E8B" w14:paraId="577B9752" w14:textId="77777777">
                          <w:r>
                            <w:t>Betreft</w:t>
                          </w:r>
                        </w:p>
                      </w:tc>
                      <w:tc>
                        <w:tcPr>
                          <w:tcW w:w="5918" w:type="dxa"/>
                        </w:tcPr>
                        <w:p w:rsidR="00EE0E8B" w14:paraId="3B691196" w14:textId="77777777">
                          <w:r>
                            <w:t>Kamerbrief</w:t>
                          </w:r>
                          <w:r w:rsidR="00C37D6F">
                            <w:t xml:space="preserve"> </w:t>
                          </w:r>
                          <w:r w:rsidR="00B771DF">
                            <w:t>potentieel</w:t>
                          </w:r>
                          <w:r w:rsidR="00C37D6F">
                            <w:t xml:space="preserve"> schijnzelfstandigen</w:t>
                          </w:r>
                          <w:r w:rsidR="00FA33A8">
                            <w:t xml:space="preserve"> 1 januari 2025</w:t>
                          </w:r>
                          <w:r w:rsidR="00DA0E43">
                            <w:t xml:space="preserve"> en 1 juli 2025</w:t>
                          </w:r>
                        </w:p>
                      </w:tc>
                    </w:tr>
                  </w:tbl>
                  <w:p w:rsidR="00C37D6F" w14:paraId="19F6FCA0" w14:textId="77777777"/>
                </w:txbxContent>
              </v:textbox>
              <w10:wrap anchorx="margin"/>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EE0E8B" w:rsidRPr="00B771DF" w14:textId="77777777">
                          <w:pPr>
                            <w:pStyle w:val="Referentiegegevensbold"/>
                            <w:rPr>
                              <w:lang w:val="en-US"/>
                            </w:rPr>
                          </w:pPr>
                          <w:r w:rsidRPr="00B771DF">
                            <w:rPr>
                              <w:lang w:val="en-US"/>
                            </w:rPr>
                            <w:t>DGDOO</w:t>
                          </w:r>
                        </w:p>
                        <w:p w:rsidR="00EE0E8B" w:rsidRPr="00B771DF" w14:textId="77777777">
                          <w:pPr>
                            <w:pStyle w:val="Referentiegegevens"/>
                            <w:rPr>
                              <w:lang w:val="en-US"/>
                            </w:rPr>
                          </w:pPr>
                          <w:r w:rsidRPr="00B771DF">
                            <w:rPr>
                              <w:lang w:val="en-US"/>
                            </w:rPr>
                            <w:t>IFHR</w:t>
                          </w:r>
                        </w:p>
                        <w:p w:rsidR="00EE0E8B" w:rsidRPr="00B771DF" w14:textId="77777777">
                          <w:pPr>
                            <w:pStyle w:val="Referentiegegevens"/>
                            <w:rPr>
                              <w:lang w:val="en-US"/>
                            </w:rPr>
                          </w:pPr>
                          <w:r w:rsidRPr="00B771DF">
                            <w:rPr>
                              <w:lang w:val="en-US"/>
                            </w:rPr>
                            <w:t>I&amp;A</w:t>
                          </w:r>
                        </w:p>
                        <w:p w:rsidR="00EE0E8B" w:rsidRPr="00B771DF" w14:textId="77777777">
                          <w:pPr>
                            <w:pStyle w:val="WitregelW1"/>
                            <w:rPr>
                              <w:lang w:val="en-US"/>
                            </w:rPr>
                          </w:pPr>
                        </w:p>
                        <w:p w:rsidR="00EE0E8B" w:rsidRPr="00B771DF" w14:textId="77777777">
                          <w:pPr>
                            <w:pStyle w:val="Referentiegegevens"/>
                            <w:rPr>
                              <w:lang w:val="en-US"/>
                            </w:rPr>
                          </w:pPr>
                          <w:r w:rsidRPr="00B771DF">
                            <w:rPr>
                              <w:lang w:val="en-US"/>
                            </w:rPr>
                            <w:t>Turfmarkt</w:t>
                          </w:r>
                          <w:r w:rsidRPr="00B771DF">
                            <w:rPr>
                              <w:lang w:val="en-US"/>
                            </w:rPr>
                            <w:t xml:space="preserve"> 147</w:t>
                          </w:r>
                        </w:p>
                        <w:p w:rsidR="00EE0E8B" w14:textId="77777777">
                          <w:pPr>
                            <w:pStyle w:val="Referentiegegevens"/>
                          </w:pPr>
                          <w:r>
                            <w:t>2511 DP Den Haag</w:t>
                          </w:r>
                        </w:p>
                        <w:p w:rsidR="00EE0E8B" w14:textId="77777777">
                          <w:pPr>
                            <w:pStyle w:val="Referentiegegevens"/>
                          </w:pPr>
                          <w:r>
                            <w:t>Postbus 20011</w:t>
                          </w:r>
                        </w:p>
                        <w:p w:rsidR="00EE0E8B" w14:textId="77777777">
                          <w:pPr>
                            <w:pStyle w:val="Referentiegegevens"/>
                          </w:pPr>
                          <w:r>
                            <w:t>2500 EA  Den Haag</w:t>
                          </w:r>
                        </w:p>
                        <w:p w:rsidR="00EE0E8B" w14:textId="77777777">
                          <w:pPr>
                            <w:pStyle w:val="WitregelW2"/>
                          </w:pPr>
                        </w:p>
                        <w:p w:rsidR="00EE0E8B" w14:textId="77777777">
                          <w:pPr>
                            <w:pStyle w:val="Referentiegegevensbold"/>
                          </w:pPr>
                          <w:r>
                            <w:t>Onze referentie</w:t>
                          </w:r>
                        </w:p>
                        <w:p w:rsidR="00EE0E8B" w14:textId="7FEFABC6">
                          <w:pPr>
                            <w:pStyle w:val="Referentiegegevens"/>
                          </w:pPr>
                          <w:r>
                            <w:fldChar w:fldCharType="begin"/>
                          </w:r>
                          <w:r>
                            <w:instrText xml:space="preserve"> DOCPROPERTY  "Kenmerk"  \* MERGEFORMAT </w:instrText>
                          </w:r>
                          <w:r>
                            <w:fldChar w:fldCharType="separate"/>
                          </w:r>
                          <w:r w:rsidR="00FE1C7B">
                            <w:t>2025-0000691499</w:t>
                          </w:r>
                          <w:r w:rsidR="00FE1C7B">
                            <w:fldChar w:fldCharType="end"/>
                          </w:r>
                        </w:p>
                        <w:p w:rsidR="00EE0E8B" w14:textId="77777777">
                          <w:pPr>
                            <w:pStyle w:val="WitregelW1"/>
                          </w:pPr>
                        </w:p>
                        <w:p w:rsidR="00EE0E8B" w14:textId="77777777">
                          <w:pPr>
                            <w:pStyle w:val="Referentiegegevensbold"/>
                          </w:pPr>
                          <w:r>
                            <w:t>Bijlage(n)</w:t>
                          </w:r>
                        </w:p>
                        <w:p w:rsidR="00EE0E8B" w14:textId="0D6C6AFA">
                          <w:pPr>
                            <w:pStyle w:val="Referentiegegevens"/>
                          </w:pPr>
                        </w:p>
                        <w:p w:rsidR="00EE0E8B" w14:textId="77777777">
                          <w:pPr>
                            <w:pStyle w:val="WitregelW2"/>
                          </w:pPr>
                        </w:p>
                        <w:p w:rsidR="00EE0E8B" w14:textId="77777777"/>
                      </w:txbxContent>
                    </wps:txbx>
                    <wps:bodyPr vert="horz" wrap="square" lIns="0" tIns="0" rIns="0" bIns="0" anchor="t" anchorCtr="0"/>
                  </wps:wsp>
                </a:graphicData>
              </a:graphic>
            </wp:anchor>
          </w:drawing>
        </mc:Choice>
        <mc:Fallback>
          <w:pict>
            <v:shape id="46feec20-aa3c-11ea-a756-beb5f67e67be" o:spid="_x0000_s2054"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9504" filled="f" stroked="f">
              <v:textbox inset="0,0,0,0">
                <w:txbxContent>
                  <w:p w:rsidR="00EE0E8B" w:rsidRPr="00B771DF" w14:paraId="2913CF7F" w14:textId="77777777">
                    <w:pPr>
                      <w:pStyle w:val="Referentiegegevensbold"/>
                      <w:rPr>
                        <w:lang w:val="en-US"/>
                      </w:rPr>
                    </w:pPr>
                    <w:r w:rsidRPr="00B771DF">
                      <w:rPr>
                        <w:lang w:val="en-US"/>
                      </w:rPr>
                      <w:t>DGDOO</w:t>
                    </w:r>
                  </w:p>
                  <w:p w:rsidR="00EE0E8B" w:rsidRPr="00B771DF" w14:paraId="780C0B62" w14:textId="77777777">
                    <w:pPr>
                      <w:pStyle w:val="Referentiegegevens"/>
                      <w:rPr>
                        <w:lang w:val="en-US"/>
                      </w:rPr>
                    </w:pPr>
                    <w:r w:rsidRPr="00B771DF">
                      <w:rPr>
                        <w:lang w:val="en-US"/>
                      </w:rPr>
                      <w:t>IFHR</w:t>
                    </w:r>
                  </w:p>
                  <w:p w:rsidR="00EE0E8B" w:rsidRPr="00B771DF" w14:paraId="011D9D0D" w14:textId="77777777">
                    <w:pPr>
                      <w:pStyle w:val="Referentiegegevens"/>
                      <w:rPr>
                        <w:lang w:val="en-US"/>
                      </w:rPr>
                    </w:pPr>
                    <w:r w:rsidRPr="00B771DF">
                      <w:rPr>
                        <w:lang w:val="en-US"/>
                      </w:rPr>
                      <w:t>I&amp;A</w:t>
                    </w:r>
                  </w:p>
                  <w:p w:rsidR="00EE0E8B" w:rsidRPr="00B771DF" w14:paraId="681EA54E" w14:textId="77777777">
                    <w:pPr>
                      <w:pStyle w:val="WitregelW1"/>
                      <w:rPr>
                        <w:lang w:val="en-US"/>
                      </w:rPr>
                    </w:pPr>
                  </w:p>
                  <w:p w:rsidR="00EE0E8B" w:rsidRPr="00B771DF" w14:paraId="7AB89A45" w14:textId="77777777">
                    <w:pPr>
                      <w:pStyle w:val="Referentiegegevens"/>
                      <w:rPr>
                        <w:lang w:val="en-US"/>
                      </w:rPr>
                    </w:pPr>
                    <w:r w:rsidRPr="00B771DF">
                      <w:rPr>
                        <w:lang w:val="en-US"/>
                      </w:rPr>
                      <w:t>Turfmarkt</w:t>
                    </w:r>
                    <w:r w:rsidRPr="00B771DF">
                      <w:rPr>
                        <w:lang w:val="en-US"/>
                      </w:rPr>
                      <w:t xml:space="preserve"> 147</w:t>
                    </w:r>
                  </w:p>
                  <w:p w:rsidR="00EE0E8B" w14:paraId="170334D1" w14:textId="77777777">
                    <w:pPr>
                      <w:pStyle w:val="Referentiegegevens"/>
                    </w:pPr>
                    <w:r>
                      <w:t>2511 DP Den Haag</w:t>
                    </w:r>
                  </w:p>
                  <w:p w:rsidR="00EE0E8B" w14:paraId="710DF131" w14:textId="77777777">
                    <w:pPr>
                      <w:pStyle w:val="Referentiegegevens"/>
                    </w:pPr>
                    <w:r>
                      <w:t>Postbus 20011</w:t>
                    </w:r>
                  </w:p>
                  <w:p w:rsidR="00EE0E8B" w14:paraId="3EEAD8A4" w14:textId="77777777">
                    <w:pPr>
                      <w:pStyle w:val="Referentiegegevens"/>
                    </w:pPr>
                    <w:r>
                      <w:t>2500 EA  Den Haag</w:t>
                    </w:r>
                  </w:p>
                  <w:p w:rsidR="00EE0E8B" w14:paraId="5285DE86" w14:textId="77777777">
                    <w:pPr>
                      <w:pStyle w:val="WitregelW2"/>
                    </w:pPr>
                  </w:p>
                  <w:p w:rsidR="00EE0E8B" w14:paraId="74B69770" w14:textId="77777777">
                    <w:pPr>
                      <w:pStyle w:val="Referentiegegevensbold"/>
                    </w:pPr>
                    <w:r>
                      <w:t>Onze referentie</w:t>
                    </w:r>
                  </w:p>
                  <w:p w:rsidR="00EE0E8B" w14:paraId="1BDC9EF2" w14:textId="7FEFABC6">
                    <w:pPr>
                      <w:pStyle w:val="Referentiegegevens"/>
                    </w:pPr>
                    <w:r>
                      <w:fldChar w:fldCharType="begin"/>
                    </w:r>
                    <w:r>
                      <w:instrText xml:space="preserve"> DOCPROPERTY  "Kenmerk"  \* MERGEFORMAT </w:instrText>
                    </w:r>
                    <w:r>
                      <w:fldChar w:fldCharType="separate"/>
                    </w:r>
                    <w:r w:rsidR="00FE1C7B">
                      <w:t>2025-0000691499</w:t>
                    </w:r>
                    <w:r w:rsidR="00FE1C7B">
                      <w:fldChar w:fldCharType="end"/>
                    </w:r>
                  </w:p>
                  <w:p w:rsidR="00EE0E8B" w14:paraId="79CA7C1B" w14:textId="77777777">
                    <w:pPr>
                      <w:pStyle w:val="WitregelW1"/>
                    </w:pPr>
                  </w:p>
                  <w:p w:rsidR="00EE0E8B" w14:paraId="680821F9" w14:textId="77777777">
                    <w:pPr>
                      <w:pStyle w:val="Referentiegegevensbold"/>
                    </w:pPr>
                    <w:r>
                      <w:t>Bijlage(n)</w:t>
                    </w:r>
                  </w:p>
                  <w:p w:rsidR="00EE0E8B" w14:paraId="1B0C4B90" w14:textId="0D6C6AFA">
                    <w:pPr>
                      <w:pStyle w:val="Referentiegegevens"/>
                    </w:pPr>
                  </w:p>
                  <w:p w:rsidR="00EE0E8B" w14:paraId="41BBA1B0" w14:textId="77777777">
                    <w:pPr>
                      <w:pStyle w:val="WitregelW2"/>
                    </w:pPr>
                  </w:p>
                  <w:p w:rsidR="00EE0E8B" w14:paraId="5636B6A0" w14:textId="77777777"/>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C37D6F" w14:textId="77777777"/>
                      </w:txbxContent>
                    </wps:txbx>
                    <wps:bodyPr vert="horz" wrap="square" lIns="0" tIns="0" rIns="0" bIns="0" anchor="t" anchorCtr="0"/>
                  </wps:wsp>
                </a:graphicData>
              </a:graphic>
            </wp:anchor>
          </w:drawing>
        </mc:Choice>
        <mc:Fallback>
          <w:pict>
            <v:shape id="46feec6f-aa3c-11ea-a756-beb5f67e67be" o:spid="_x0000_s2055" type="#_x0000_t202" alt="Voettekst" style="width:377pt;height:12.75pt;margin-top:802.75pt;margin-left:79.35pt;mso-position-horizontal-relative:page;mso-wrap-distance-bottom:0;mso-wrap-distance-left:0;mso-wrap-distance-right:0;mso-wrap-distance-top:0;mso-wrap-style:square;position:absolute;v-text-anchor:top;visibility:visible;z-index:251671552" filled="f" stroked="f">
              <v:textbox inset="0,0,0,0">
                <w:txbxContent>
                  <w:p w:rsidR="00C37D6F" w14:paraId="50A72657" w14:textId="77777777"/>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9A586D"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ecbe-aa3c-11ea-a756-beb5f67e67be" o:spid="_x0000_s2056"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3600" filled="f" stroked="f">
              <v:textbox inset="0,0,0,0">
                <w:txbxContent>
                  <w:p w:rsidR="009A586D" w14:paraId="5DA7E96C"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EE0E8B" w14:textId="77777777">
                          <w:pPr>
                            <w:spacing w:line="240" w:lineRule="auto"/>
                          </w:pPr>
                          <w:r>
                            <w:rPr>
                              <w:noProof/>
                            </w:rPr>
                            <w:drawing>
                              <wp:inline distT="0" distB="0" distL="0" distR="0">
                                <wp:extent cx="467995" cy="1583865"/>
                                <wp:effectExtent l="0" t="0" r="0" b="0"/>
                                <wp:docPr id="2100330014"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2100330014"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0e-aa3c-11ea-a756-beb5f67e67be" o:spid="_x0000_s2057"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75648" filled="f" stroked="f">
              <v:textbox inset="0,0,0,0">
                <w:txbxContent>
                  <w:p w:rsidR="00EE0E8B" w14:paraId="1EE6115F" w14:textId="77777777">
                    <w:pPr>
                      <w:spacing w:line="240" w:lineRule="auto"/>
                    </w:pPr>
                    <w:drawing>
                      <wp:inline distT="0" distB="0" distL="0" distR="0">
                        <wp:extent cx="467995" cy="1583865"/>
                        <wp:effectExtent l="0" t="0" r="0" b="0"/>
                        <wp:docPr id="129848085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29848085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EE0E8B" w14:textId="77777777">
                          <w:pPr>
                            <w:spacing w:line="240" w:lineRule="auto"/>
                          </w:pPr>
                          <w:r>
                            <w:rPr>
                              <w:noProof/>
                            </w:rPr>
                            <w:drawing>
                              <wp:inline distT="0" distB="0" distL="0" distR="0">
                                <wp:extent cx="2339975" cy="1582834"/>
                                <wp:effectExtent l="0" t="0" r="0" b="0"/>
                                <wp:docPr id="1423241092"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423241092"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67-aa3c-11ea-a756-beb5f67e67be" o:spid="_x0000_s2058"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77696" filled="f" stroked="f">
              <v:textbox inset="0,0,0,0">
                <w:txbxContent>
                  <w:p w:rsidR="00EE0E8B" w14:paraId="4420D3FB" w14:textId="77777777">
                    <w:pPr>
                      <w:spacing w:line="240" w:lineRule="auto"/>
                    </w:pPr>
                    <w:drawing>
                      <wp:inline distT="0" distB="0" distL="0" distR="0">
                        <wp:extent cx="2339975" cy="1582834"/>
                        <wp:effectExtent l="0" t="0" r="0" b="0"/>
                        <wp:docPr id="1569349241"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569349241"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EE0E8B"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5920b9fb-d041-4aa9-8d80-26b233cc0f6e" o:spid="_x0000_s2059" type="#_x0000_t202" style="width:377pt;height:12.75pt;margin-top:135.45pt;margin-left:79.6pt;mso-position-horizontal-relative:page;mso-wrap-distance-bottom:0;mso-wrap-distance-left:0;mso-wrap-distance-right:0;mso-wrap-distance-top:0;mso-wrap-style:square;position:absolute;v-text-anchor:top;visibility:visible;z-index:251679744" filled="f" stroked="f">
              <v:textbox inset="0,0,0,0">
                <w:txbxContent>
                  <w:p w:rsidR="00EE0E8B" w14:paraId="21575551" w14:textId="77777777">
                    <w:pPr>
                      <w:pStyle w:val="Referentiegegevens"/>
                    </w:pPr>
                    <w:r>
                      <w:t>&gt; Retouradres Postbus 20011 2500 EA  Den Haag</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A5898653"/>
    <w:multiLevelType w:val="multilevel"/>
    <w:tmpl w:val="41D1294B"/>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nsid w:val="AA79882C"/>
    <w:multiLevelType w:val="multilevel"/>
    <w:tmpl w:val="71BFA75D"/>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nsid w:val="D37272B9"/>
    <w:multiLevelType w:val="multilevel"/>
    <w:tmpl w:val="318DBE0C"/>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3">
    <w:nsid w:val="08C52259"/>
    <w:multiLevelType w:val="hybridMultilevel"/>
    <w:tmpl w:val="1598B858"/>
    <w:lvl w:ilvl="0">
      <w:start w:val="26"/>
      <w:numFmt w:val="bullet"/>
      <w:lvlText w:val="-"/>
      <w:lvlJc w:val="left"/>
      <w:pPr>
        <w:ind w:left="720" w:hanging="360"/>
      </w:pPr>
      <w:rPr>
        <w:rFonts w:ascii="Verdana" w:eastAsia="DejaVu Sans" w:hAnsi="Verdana" w:cs="Lohit Hin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ACC7633"/>
    <w:multiLevelType w:val="multilevel"/>
    <w:tmpl w:val="E63B72C6"/>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5">
    <w:nsid w:val="4B8021F1"/>
    <w:multiLevelType w:val="hybridMultilevel"/>
    <w:tmpl w:val="C568A5CA"/>
    <w:lvl w:ilvl="0">
      <w:start w:val="0"/>
      <w:numFmt w:val="bullet"/>
      <w:lvlText w:val="-"/>
      <w:lvlJc w:val="left"/>
      <w:pPr>
        <w:ind w:left="720" w:hanging="360"/>
      </w:pPr>
      <w:rPr>
        <w:rFonts w:ascii="Verdana" w:eastAsia="DejaVu Sans" w:hAnsi="Verdana" w:cs="Lohit Hin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96957774">
    <w:abstractNumId w:val="2"/>
  </w:num>
  <w:num w:numId="2" w16cid:durableId="1038942311">
    <w:abstractNumId w:val="0"/>
  </w:num>
  <w:num w:numId="3" w16cid:durableId="978606520">
    <w:abstractNumId w:val="4"/>
  </w:num>
  <w:num w:numId="4" w16cid:durableId="404030728">
    <w:abstractNumId w:val="1"/>
  </w:num>
  <w:num w:numId="5" w16cid:durableId="1602567038">
    <w:abstractNumId w:val="3"/>
  </w:num>
  <w:num w:numId="6" w16cid:durableId="5382747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0E8B"/>
    <w:rsid w:val="00010263"/>
    <w:rsid w:val="0003755E"/>
    <w:rsid w:val="00040105"/>
    <w:rsid w:val="00045B34"/>
    <w:rsid w:val="000500E0"/>
    <w:rsid w:val="00054909"/>
    <w:rsid w:val="00061875"/>
    <w:rsid w:val="000662A3"/>
    <w:rsid w:val="000829B4"/>
    <w:rsid w:val="000951F9"/>
    <w:rsid w:val="000B51FE"/>
    <w:rsid w:val="000B68E5"/>
    <w:rsid w:val="000B6F65"/>
    <w:rsid w:val="000E713A"/>
    <w:rsid w:val="00110AEB"/>
    <w:rsid w:val="00116AEA"/>
    <w:rsid w:val="00123E0F"/>
    <w:rsid w:val="00125924"/>
    <w:rsid w:val="001304A3"/>
    <w:rsid w:val="00181C0A"/>
    <w:rsid w:val="00190E62"/>
    <w:rsid w:val="001B03B5"/>
    <w:rsid w:val="002017AF"/>
    <w:rsid w:val="002773B8"/>
    <w:rsid w:val="002946A6"/>
    <w:rsid w:val="00294CAE"/>
    <w:rsid w:val="00295D28"/>
    <w:rsid w:val="00305ECA"/>
    <w:rsid w:val="003104B8"/>
    <w:rsid w:val="00325D74"/>
    <w:rsid w:val="00333898"/>
    <w:rsid w:val="003740F4"/>
    <w:rsid w:val="00384D8D"/>
    <w:rsid w:val="003A5790"/>
    <w:rsid w:val="003B1018"/>
    <w:rsid w:val="003E1D68"/>
    <w:rsid w:val="00411D4E"/>
    <w:rsid w:val="004343AE"/>
    <w:rsid w:val="00437B3C"/>
    <w:rsid w:val="00441FB3"/>
    <w:rsid w:val="004737AA"/>
    <w:rsid w:val="0047792A"/>
    <w:rsid w:val="004B7EBA"/>
    <w:rsid w:val="004C1DCE"/>
    <w:rsid w:val="004C28D3"/>
    <w:rsid w:val="004D3DAD"/>
    <w:rsid w:val="004E1794"/>
    <w:rsid w:val="004E57E3"/>
    <w:rsid w:val="004F743C"/>
    <w:rsid w:val="00503356"/>
    <w:rsid w:val="00516610"/>
    <w:rsid w:val="005365B4"/>
    <w:rsid w:val="00537AA8"/>
    <w:rsid w:val="00564024"/>
    <w:rsid w:val="00581E1E"/>
    <w:rsid w:val="005B0CA4"/>
    <w:rsid w:val="005B6A40"/>
    <w:rsid w:val="005C1851"/>
    <w:rsid w:val="005D301A"/>
    <w:rsid w:val="005F3758"/>
    <w:rsid w:val="005F725F"/>
    <w:rsid w:val="00607C76"/>
    <w:rsid w:val="006106A5"/>
    <w:rsid w:val="0062141D"/>
    <w:rsid w:val="006426E5"/>
    <w:rsid w:val="00662C8A"/>
    <w:rsid w:val="006832B5"/>
    <w:rsid w:val="006A0708"/>
    <w:rsid w:val="006A44C2"/>
    <w:rsid w:val="00700C39"/>
    <w:rsid w:val="0071666C"/>
    <w:rsid w:val="00734577"/>
    <w:rsid w:val="007429BE"/>
    <w:rsid w:val="00750D91"/>
    <w:rsid w:val="007916AF"/>
    <w:rsid w:val="007A3665"/>
    <w:rsid w:val="007E508A"/>
    <w:rsid w:val="007E6C47"/>
    <w:rsid w:val="007F48C8"/>
    <w:rsid w:val="00800E63"/>
    <w:rsid w:val="00803756"/>
    <w:rsid w:val="00832462"/>
    <w:rsid w:val="00834F37"/>
    <w:rsid w:val="00837A21"/>
    <w:rsid w:val="00863162"/>
    <w:rsid w:val="00874F0C"/>
    <w:rsid w:val="008754A0"/>
    <w:rsid w:val="0089171C"/>
    <w:rsid w:val="00897DF6"/>
    <w:rsid w:val="008C28FE"/>
    <w:rsid w:val="008D702C"/>
    <w:rsid w:val="00900BB7"/>
    <w:rsid w:val="00923A70"/>
    <w:rsid w:val="00950DE0"/>
    <w:rsid w:val="00970DD5"/>
    <w:rsid w:val="009804EF"/>
    <w:rsid w:val="009829AB"/>
    <w:rsid w:val="009846C9"/>
    <w:rsid w:val="009A586D"/>
    <w:rsid w:val="009B2DC1"/>
    <w:rsid w:val="009C1C9A"/>
    <w:rsid w:val="009F3BC1"/>
    <w:rsid w:val="009F5C5E"/>
    <w:rsid w:val="00A005DA"/>
    <w:rsid w:val="00A253E3"/>
    <w:rsid w:val="00A35E94"/>
    <w:rsid w:val="00A83FB4"/>
    <w:rsid w:val="00A87BEA"/>
    <w:rsid w:val="00A90E33"/>
    <w:rsid w:val="00A97499"/>
    <w:rsid w:val="00AB0A82"/>
    <w:rsid w:val="00AD1AE4"/>
    <w:rsid w:val="00AD6BAA"/>
    <w:rsid w:val="00B00580"/>
    <w:rsid w:val="00B03178"/>
    <w:rsid w:val="00B11DEA"/>
    <w:rsid w:val="00B16EE8"/>
    <w:rsid w:val="00B334D8"/>
    <w:rsid w:val="00B3546E"/>
    <w:rsid w:val="00B37D78"/>
    <w:rsid w:val="00B737F0"/>
    <w:rsid w:val="00B771DF"/>
    <w:rsid w:val="00B83899"/>
    <w:rsid w:val="00B8516A"/>
    <w:rsid w:val="00B855E4"/>
    <w:rsid w:val="00BA5ECE"/>
    <w:rsid w:val="00BB092D"/>
    <w:rsid w:val="00BB6719"/>
    <w:rsid w:val="00BC7A66"/>
    <w:rsid w:val="00BD08A3"/>
    <w:rsid w:val="00BD39B7"/>
    <w:rsid w:val="00BF292E"/>
    <w:rsid w:val="00C30658"/>
    <w:rsid w:val="00C37D6F"/>
    <w:rsid w:val="00C639DE"/>
    <w:rsid w:val="00C67F84"/>
    <w:rsid w:val="00CB5F2F"/>
    <w:rsid w:val="00CB6C0D"/>
    <w:rsid w:val="00CD48B1"/>
    <w:rsid w:val="00CD549D"/>
    <w:rsid w:val="00CE427C"/>
    <w:rsid w:val="00CF7B8C"/>
    <w:rsid w:val="00D16090"/>
    <w:rsid w:val="00D26147"/>
    <w:rsid w:val="00D27DA7"/>
    <w:rsid w:val="00D31AC5"/>
    <w:rsid w:val="00D3226F"/>
    <w:rsid w:val="00D6217F"/>
    <w:rsid w:val="00D954ED"/>
    <w:rsid w:val="00DA0E43"/>
    <w:rsid w:val="00DB66FD"/>
    <w:rsid w:val="00DC4959"/>
    <w:rsid w:val="00DD121D"/>
    <w:rsid w:val="00DD1CA3"/>
    <w:rsid w:val="00DD2B57"/>
    <w:rsid w:val="00DE4D9E"/>
    <w:rsid w:val="00DF2FE1"/>
    <w:rsid w:val="00E13FA1"/>
    <w:rsid w:val="00E40C30"/>
    <w:rsid w:val="00E43E17"/>
    <w:rsid w:val="00E72519"/>
    <w:rsid w:val="00E82E8F"/>
    <w:rsid w:val="00E94286"/>
    <w:rsid w:val="00EA5DD3"/>
    <w:rsid w:val="00EB6701"/>
    <w:rsid w:val="00EE03BB"/>
    <w:rsid w:val="00EE0E8B"/>
    <w:rsid w:val="00EE5AEC"/>
    <w:rsid w:val="00F026B1"/>
    <w:rsid w:val="00F061EE"/>
    <w:rsid w:val="00F208B1"/>
    <w:rsid w:val="00F44AAF"/>
    <w:rsid w:val="00F4634F"/>
    <w:rsid w:val="00F52B8C"/>
    <w:rsid w:val="00F52F72"/>
    <w:rsid w:val="00F67732"/>
    <w:rsid w:val="00FA33A8"/>
    <w:rsid w:val="00FA3FB8"/>
    <w:rsid w:val="00FA66F2"/>
    <w:rsid w:val="00FB0BA1"/>
    <w:rsid w:val="00FE1C7B"/>
    <w:rsid w:val="00FE35A6"/>
    <w:rsid w:val="00FF3F97"/>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6D553FB3"/>
  <w15:docId w15:val="{F93CB01F-38B8-4CCC-B8C6-97972FBEC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10263"/>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uiPriority w:val="39"/>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B771DF"/>
    <w:pPr>
      <w:tabs>
        <w:tab w:val="center" w:pos="4536"/>
        <w:tab w:val="right" w:pos="9072"/>
      </w:tabs>
      <w:spacing w:line="240" w:lineRule="auto"/>
    </w:pPr>
  </w:style>
  <w:style w:type="character" w:customStyle="1" w:styleId="KoptekstChar">
    <w:name w:val="Koptekst Char"/>
    <w:basedOn w:val="DefaultParagraphFont"/>
    <w:link w:val="Header"/>
    <w:uiPriority w:val="99"/>
    <w:rsid w:val="00B771DF"/>
    <w:rPr>
      <w:rFonts w:ascii="Verdana" w:hAnsi="Verdana"/>
      <w:color w:val="000000"/>
      <w:sz w:val="18"/>
      <w:szCs w:val="18"/>
    </w:rPr>
  </w:style>
  <w:style w:type="paragraph" w:styleId="Footer">
    <w:name w:val="footer"/>
    <w:basedOn w:val="Normal"/>
    <w:link w:val="VoettekstChar"/>
    <w:uiPriority w:val="99"/>
    <w:unhideWhenUsed/>
    <w:rsid w:val="00B771DF"/>
    <w:pPr>
      <w:tabs>
        <w:tab w:val="center" w:pos="4536"/>
        <w:tab w:val="right" w:pos="9072"/>
      </w:tabs>
      <w:spacing w:line="240" w:lineRule="auto"/>
    </w:pPr>
  </w:style>
  <w:style w:type="character" w:customStyle="1" w:styleId="VoettekstChar">
    <w:name w:val="Voettekst Char"/>
    <w:basedOn w:val="DefaultParagraphFont"/>
    <w:link w:val="Footer"/>
    <w:uiPriority w:val="99"/>
    <w:rsid w:val="00B771DF"/>
    <w:rPr>
      <w:rFonts w:ascii="Verdana" w:hAnsi="Verdana"/>
      <w:color w:val="000000"/>
      <w:sz w:val="18"/>
      <w:szCs w:val="18"/>
    </w:rPr>
  </w:style>
  <w:style w:type="paragraph" w:styleId="FootnoteText">
    <w:name w:val="footnote text"/>
    <w:basedOn w:val="Normal"/>
    <w:link w:val="VoetnoottekstChar"/>
    <w:uiPriority w:val="99"/>
    <w:semiHidden/>
    <w:unhideWhenUsed/>
    <w:rsid w:val="00B771DF"/>
    <w:pPr>
      <w:spacing w:line="240" w:lineRule="auto"/>
    </w:pPr>
    <w:rPr>
      <w:sz w:val="20"/>
      <w:szCs w:val="20"/>
    </w:rPr>
  </w:style>
  <w:style w:type="character" w:customStyle="1" w:styleId="VoetnoottekstChar">
    <w:name w:val="Voetnoottekst Char"/>
    <w:basedOn w:val="DefaultParagraphFont"/>
    <w:link w:val="FootnoteText"/>
    <w:uiPriority w:val="99"/>
    <w:semiHidden/>
    <w:rsid w:val="00B771DF"/>
    <w:rPr>
      <w:rFonts w:ascii="Verdana" w:hAnsi="Verdana"/>
      <w:color w:val="000000"/>
    </w:rPr>
  </w:style>
  <w:style w:type="character" w:styleId="FootnoteReference">
    <w:name w:val="footnote reference"/>
    <w:basedOn w:val="DefaultParagraphFont"/>
    <w:uiPriority w:val="99"/>
    <w:semiHidden/>
    <w:unhideWhenUsed/>
    <w:rsid w:val="00B771DF"/>
    <w:rPr>
      <w:vertAlign w:val="superscript"/>
    </w:rPr>
  </w:style>
  <w:style w:type="paragraph" w:styleId="ListParagraph">
    <w:name w:val="List Paragraph"/>
    <w:basedOn w:val="Normal"/>
    <w:uiPriority w:val="34"/>
    <w:rsid w:val="005C1851"/>
    <w:pPr>
      <w:ind w:left="720"/>
      <w:contextualSpacing/>
    </w:pPr>
  </w:style>
  <w:style w:type="table" w:styleId="ListTable7Colorful">
    <w:name w:val="List Table 7 Colorful"/>
    <w:basedOn w:val="TableNormal"/>
    <w:uiPriority w:val="52"/>
    <w:rsid w:val="000B51FE"/>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Revision">
    <w:name w:val="Revision"/>
    <w:hidden/>
    <w:uiPriority w:val="99"/>
    <w:semiHidden/>
    <w:rsid w:val="00AD6BAA"/>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AD6BAA"/>
    <w:rPr>
      <w:sz w:val="16"/>
      <w:szCs w:val="16"/>
    </w:rPr>
  </w:style>
  <w:style w:type="paragraph" w:styleId="CommentText">
    <w:name w:val="annotation text"/>
    <w:basedOn w:val="Normal"/>
    <w:link w:val="TekstopmerkingChar"/>
    <w:uiPriority w:val="99"/>
    <w:unhideWhenUsed/>
    <w:rsid w:val="00AD6BAA"/>
    <w:pPr>
      <w:spacing w:line="240" w:lineRule="auto"/>
    </w:pPr>
    <w:rPr>
      <w:sz w:val="20"/>
      <w:szCs w:val="20"/>
    </w:rPr>
  </w:style>
  <w:style w:type="character" w:customStyle="1" w:styleId="TekstopmerkingChar">
    <w:name w:val="Tekst opmerking Char"/>
    <w:basedOn w:val="DefaultParagraphFont"/>
    <w:link w:val="CommentText"/>
    <w:uiPriority w:val="99"/>
    <w:rsid w:val="00AD6BAA"/>
    <w:rPr>
      <w:rFonts w:ascii="Verdana" w:hAnsi="Verdana"/>
      <w:color w:val="000000"/>
    </w:rPr>
  </w:style>
  <w:style w:type="paragraph" w:styleId="CommentSubject">
    <w:name w:val="annotation subject"/>
    <w:basedOn w:val="CommentText"/>
    <w:next w:val="CommentText"/>
    <w:link w:val="OnderwerpvanopmerkingChar"/>
    <w:uiPriority w:val="99"/>
    <w:semiHidden/>
    <w:unhideWhenUsed/>
    <w:rsid w:val="00AD6BAA"/>
    <w:rPr>
      <w:b/>
      <w:bCs/>
    </w:rPr>
  </w:style>
  <w:style w:type="character" w:customStyle="1" w:styleId="OnderwerpvanopmerkingChar">
    <w:name w:val="Onderwerp van opmerking Char"/>
    <w:basedOn w:val="TekstopmerkingChar"/>
    <w:link w:val="CommentSubject"/>
    <w:uiPriority w:val="99"/>
    <w:semiHidden/>
    <w:rsid w:val="00AD6BAA"/>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footer" Target="footer2.xml" Id="rId10" /><Relationship Type="http://schemas.openxmlformats.org/officeDocument/2006/relationships/header" Target="header3.xml" Id="rId11" /><Relationship Type="http://schemas.openxmlformats.org/officeDocument/2006/relationships/footer" Target="footer3.xml" Id="rId12" /><Relationship Type="http://schemas.openxmlformats.org/officeDocument/2006/relationships/theme" Target="theme/theme1.xml" Id="rId13" /><Relationship Type="http://schemas.openxmlformats.org/officeDocument/2006/relationships/numbering" Target="numbering.xml" Id="rId14" /><Relationship Type="http://schemas.openxmlformats.org/officeDocument/2006/relationships/styles" Target="styles.xml" Id="rId15"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7" /><Relationship Type="http://schemas.openxmlformats.org/officeDocument/2006/relationships/header" Target="header2.xml" Id="rId8" /><Relationship Type="http://schemas.openxmlformats.org/officeDocument/2006/relationships/footer" Target="footer1.xml" Id="rId9"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ap:Pages>
  <ap:Words>1080</ap:Words>
  <ap:Characters>6332</ap:Characters>
  <ap:DocSecurity>0</ap:DocSecurity>
  <ap:Lines>333</ap:Lines>
  <ap:Paragraphs>164</ap:Paragraphs>
  <ap:ScaleCrop>false</ap:ScaleCrop>
  <ap:HeadingPairs>
    <vt:vector baseType="variant" size="2">
      <vt:variant>
        <vt:lpstr>Titel</vt:lpstr>
      </vt:variant>
      <vt:variant>
        <vt:i4>1</vt:i4>
      </vt:variant>
    </vt:vector>
  </ap:HeadingPairs>
  <ap:TitlesOfParts>
    <vt:vector baseType="lpstr" size="1">
      <vt:lpstr>Brief aan Parlement - Rijksbrede rapportage pontentieel schijnzelfstandigen</vt:lpstr>
    </vt:vector>
  </ap:TitlesOfParts>
  <ap:LinksUpToDate>false</ap:LinksUpToDate>
  <ap:CharactersWithSpaces>7248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2025-12-17T15:55:00.0000000Z</dcterms:created>
  <dcterms:modified xsi:type="dcterms:W3CDTF">2025-12-17T15:57:00.0000000Z</dcterms:modified>
  <dc:creator/>
  <lastModifiedBy/>
  <dc:description>------------------------</dc:description>
  <dc:subject/>
  <keywords/>
  <version/>
  <category/>
</coreProperties>
</file>