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38A0" w:rsidR="00836FD3" w:rsidP="007438A0" w:rsidRDefault="00BA123F" w14:paraId="748FBF34" w14:textId="220B5049">
      <w:pPr>
        <w:pStyle w:val="Geenafstand"/>
        <w:spacing w:line="276" w:lineRule="auto"/>
        <w:rPr>
          <w:b/>
          <w:szCs w:val="18"/>
        </w:rPr>
      </w:pPr>
      <w:r>
        <w:rPr>
          <w:b/>
          <w:szCs w:val="18"/>
        </w:rPr>
        <w:t>2</w:t>
      </w:r>
      <w:proofErr w:type="gramStart"/>
      <w:r w:rsidRPr="00BA123F">
        <w:rPr>
          <w:b/>
          <w:szCs w:val="18"/>
          <w:vertAlign w:val="superscript"/>
        </w:rPr>
        <w:t>e</w:t>
      </w:r>
      <w:r>
        <w:rPr>
          <w:b/>
          <w:szCs w:val="18"/>
        </w:rPr>
        <w:t xml:space="preserve"> </w:t>
      </w:r>
      <w:r w:rsidRPr="007438A0" w:rsidR="00E67987">
        <w:rPr>
          <w:b/>
          <w:szCs w:val="18"/>
        </w:rPr>
        <w:t xml:space="preserve"> </w:t>
      </w:r>
      <w:r w:rsidRPr="007438A0" w:rsidR="00E76ABA">
        <w:rPr>
          <w:b/>
          <w:szCs w:val="18"/>
        </w:rPr>
        <w:t>Uitzonderingenrapportage</w:t>
      </w:r>
      <w:proofErr w:type="gramEnd"/>
      <w:r w:rsidRPr="007438A0" w:rsidR="00E76ABA">
        <w:rPr>
          <w:b/>
          <w:szCs w:val="18"/>
        </w:rPr>
        <w:t xml:space="preserve"> jaarplan Toeslagen 202</w:t>
      </w:r>
      <w:r w:rsidR="000D1FC4">
        <w:rPr>
          <w:b/>
          <w:szCs w:val="18"/>
        </w:rPr>
        <w:t>5</w:t>
      </w:r>
      <w:r w:rsidRPr="007438A0" w:rsidR="003E095A">
        <w:rPr>
          <w:b/>
          <w:szCs w:val="18"/>
        </w:rPr>
        <w:t xml:space="preserve"> </w:t>
      </w:r>
      <w:r w:rsidR="00527D0D">
        <w:rPr>
          <w:b/>
          <w:szCs w:val="18"/>
        </w:rPr>
        <w:t xml:space="preserve">- </w:t>
      </w:r>
      <w:r w:rsidRPr="007438A0" w:rsidR="003E095A">
        <w:rPr>
          <w:b/>
          <w:szCs w:val="18"/>
        </w:rPr>
        <w:t xml:space="preserve">periode </w:t>
      </w:r>
      <w:r w:rsidR="00A703DB">
        <w:rPr>
          <w:b/>
          <w:szCs w:val="18"/>
        </w:rPr>
        <w:t>tot en met</w:t>
      </w:r>
      <w:r w:rsidRPr="007438A0" w:rsidR="003E095A">
        <w:rPr>
          <w:b/>
          <w:szCs w:val="18"/>
        </w:rPr>
        <w:t xml:space="preserve"> </w:t>
      </w:r>
      <w:r w:rsidR="00A703DB">
        <w:rPr>
          <w:b/>
          <w:szCs w:val="18"/>
        </w:rPr>
        <w:t>oktober</w:t>
      </w:r>
    </w:p>
    <w:p w:rsidRPr="007438A0" w:rsidR="00E76ABA" w:rsidP="007438A0" w:rsidRDefault="00E76ABA" w14:paraId="49A732E3" w14:textId="77777777">
      <w:pPr>
        <w:pStyle w:val="Geenafstand"/>
        <w:spacing w:line="276" w:lineRule="auto"/>
        <w:rPr>
          <w:szCs w:val="18"/>
        </w:rPr>
      </w:pPr>
    </w:p>
    <w:p w:rsidR="0063180A" w:rsidP="0063180A" w:rsidRDefault="005676CC" w14:paraId="345F9DAE" w14:textId="5F082547">
      <w:pPr>
        <w:pStyle w:val="Geenafstand"/>
        <w:spacing w:after="120" w:line="276" w:lineRule="auto"/>
        <w:rPr>
          <w:szCs w:val="18"/>
        </w:rPr>
      </w:pPr>
      <w:r w:rsidRPr="007438A0">
        <w:rPr>
          <w:szCs w:val="18"/>
        </w:rPr>
        <w:t>In d</w:t>
      </w:r>
      <w:r w:rsidRPr="007438A0" w:rsidR="00E67987">
        <w:rPr>
          <w:szCs w:val="18"/>
        </w:rPr>
        <w:t xml:space="preserve">eze </w:t>
      </w:r>
      <w:r w:rsidR="00BA123F">
        <w:rPr>
          <w:szCs w:val="18"/>
        </w:rPr>
        <w:t>2</w:t>
      </w:r>
      <w:r w:rsidRPr="007438A0" w:rsidR="0032489F">
        <w:rPr>
          <w:szCs w:val="18"/>
          <w:vertAlign w:val="superscript"/>
        </w:rPr>
        <w:t>e</w:t>
      </w:r>
      <w:r w:rsidRPr="007438A0" w:rsidR="0032489F">
        <w:rPr>
          <w:szCs w:val="18"/>
        </w:rPr>
        <w:t xml:space="preserve"> uitzonderingenrapportage </w:t>
      </w:r>
      <w:r w:rsidR="00527D0D">
        <w:rPr>
          <w:szCs w:val="18"/>
        </w:rPr>
        <w:t xml:space="preserve">2025 </w:t>
      </w:r>
      <w:r w:rsidRPr="007438A0" w:rsidR="00F31CA9">
        <w:rPr>
          <w:szCs w:val="18"/>
        </w:rPr>
        <w:t>w</w:t>
      </w:r>
      <w:r w:rsidRPr="007438A0" w:rsidR="005D05A4">
        <w:rPr>
          <w:szCs w:val="18"/>
        </w:rPr>
        <w:t>ord</w:t>
      </w:r>
      <w:r w:rsidRPr="007438A0" w:rsidR="00F31CA9">
        <w:rPr>
          <w:szCs w:val="18"/>
        </w:rPr>
        <w:t>en</w:t>
      </w:r>
      <w:r w:rsidRPr="007438A0" w:rsidR="00935C65">
        <w:rPr>
          <w:szCs w:val="18"/>
        </w:rPr>
        <w:t xml:space="preserve"> </w:t>
      </w:r>
      <w:r w:rsidRPr="007438A0" w:rsidR="008447D9">
        <w:rPr>
          <w:szCs w:val="18"/>
        </w:rPr>
        <w:t xml:space="preserve">aanvullend op de </w:t>
      </w:r>
      <w:proofErr w:type="gramStart"/>
      <w:r w:rsidRPr="007438A0" w:rsidR="008447D9">
        <w:rPr>
          <w:szCs w:val="18"/>
        </w:rPr>
        <w:t>reeds</w:t>
      </w:r>
      <w:proofErr w:type="gramEnd"/>
      <w:r w:rsidRPr="007438A0" w:rsidR="008447D9">
        <w:rPr>
          <w:szCs w:val="18"/>
        </w:rPr>
        <w:t xml:space="preserve"> in de stand</w:t>
      </w:r>
      <w:r w:rsidR="00296F5C">
        <w:rPr>
          <w:szCs w:val="18"/>
        </w:rPr>
        <w:t xml:space="preserve"> </w:t>
      </w:r>
      <w:r w:rsidRPr="007438A0" w:rsidR="008447D9">
        <w:rPr>
          <w:szCs w:val="18"/>
        </w:rPr>
        <w:t>van</w:t>
      </w:r>
      <w:r w:rsidR="00296F5C">
        <w:rPr>
          <w:szCs w:val="18"/>
        </w:rPr>
        <w:t xml:space="preserve"> </w:t>
      </w:r>
      <w:r w:rsidRPr="007438A0" w:rsidR="008447D9">
        <w:rPr>
          <w:szCs w:val="18"/>
        </w:rPr>
        <w:t xml:space="preserve">zakenbrief genoemde onderwerpen </w:t>
      </w:r>
      <w:r w:rsidRPr="007438A0" w:rsidR="009F4BCF">
        <w:rPr>
          <w:szCs w:val="18"/>
        </w:rPr>
        <w:t>de</w:t>
      </w:r>
      <w:r w:rsidRPr="007438A0" w:rsidR="00E67987">
        <w:rPr>
          <w:szCs w:val="18"/>
        </w:rPr>
        <w:t xml:space="preserve"> resultaten </w:t>
      </w:r>
      <w:r w:rsidRPr="007438A0" w:rsidR="008447D9">
        <w:rPr>
          <w:szCs w:val="18"/>
        </w:rPr>
        <w:t xml:space="preserve">met betrekking tot </w:t>
      </w:r>
      <w:r w:rsidRPr="007438A0" w:rsidR="004933F6">
        <w:rPr>
          <w:szCs w:val="18"/>
        </w:rPr>
        <w:t xml:space="preserve">een aantal ondersteunende processen en </w:t>
      </w:r>
      <w:r w:rsidRPr="007438A0" w:rsidR="008447D9">
        <w:rPr>
          <w:szCs w:val="18"/>
        </w:rPr>
        <w:t xml:space="preserve">de prestatie-indicatoren </w:t>
      </w:r>
      <w:r w:rsidRPr="007438A0" w:rsidR="00E67987">
        <w:rPr>
          <w:szCs w:val="18"/>
        </w:rPr>
        <w:t xml:space="preserve">uit het jaarplan </w:t>
      </w:r>
      <w:r w:rsidRPr="007438A0" w:rsidR="008447D9">
        <w:rPr>
          <w:szCs w:val="18"/>
        </w:rPr>
        <w:t xml:space="preserve">Toeslagen </w:t>
      </w:r>
      <w:r w:rsidRPr="007438A0" w:rsidR="00F31CA9">
        <w:rPr>
          <w:szCs w:val="18"/>
        </w:rPr>
        <w:t>202</w:t>
      </w:r>
      <w:r w:rsidR="00E747CA">
        <w:rPr>
          <w:szCs w:val="18"/>
        </w:rPr>
        <w:t>5</w:t>
      </w:r>
      <w:r w:rsidRPr="007438A0" w:rsidR="00F31CA9">
        <w:rPr>
          <w:szCs w:val="18"/>
        </w:rPr>
        <w:t xml:space="preserve"> </w:t>
      </w:r>
      <w:r w:rsidRPr="007438A0" w:rsidR="009F4BCF">
        <w:rPr>
          <w:szCs w:val="18"/>
        </w:rPr>
        <w:t>toegelicht</w:t>
      </w:r>
      <w:r w:rsidRPr="007438A0" w:rsidR="008447D9">
        <w:rPr>
          <w:szCs w:val="18"/>
        </w:rPr>
        <w:t>. Omdat het een uitzonderingenrapportage betreft</w:t>
      </w:r>
      <w:r w:rsidRPr="007438A0" w:rsidR="002B4371">
        <w:rPr>
          <w:szCs w:val="18"/>
        </w:rPr>
        <w:t>,</w:t>
      </w:r>
      <w:r w:rsidRPr="007438A0" w:rsidR="008447D9">
        <w:rPr>
          <w:szCs w:val="18"/>
        </w:rPr>
        <w:t xml:space="preserve"> worden alleen die indicatoren toegelicht</w:t>
      </w:r>
      <w:r w:rsidRPr="007438A0" w:rsidR="009F4BCF">
        <w:rPr>
          <w:szCs w:val="18"/>
        </w:rPr>
        <w:t xml:space="preserve"> </w:t>
      </w:r>
      <w:r w:rsidRPr="007438A0" w:rsidR="00F31CA9">
        <w:rPr>
          <w:szCs w:val="18"/>
        </w:rPr>
        <w:t xml:space="preserve">voor zover </w:t>
      </w:r>
      <w:r w:rsidRPr="007438A0" w:rsidR="00E67987">
        <w:rPr>
          <w:szCs w:val="18"/>
        </w:rPr>
        <w:t>die niet zijn gerealiseerd</w:t>
      </w:r>
      <w:r w:rsidRPr="007438A0" w:rsidR="00F31CA9">
        <w:rPr>
          <w:szCs w:val="18"/>
        </w:rPr>
        <w:t>,</w:t>
      </w:r>
      <w:r w:rsidRPr="007438A0" w:rsidR="00E67987">
        <w:rPr>
          <w:szCs w:val="18"/>
        </w:rPr>
        <w:t xml:space="preserve"> dan wel achterlopen ten opzichte van de planning.</w:t>
      </w:r>
      <w:r w:rsidRPr="007438A0">
        <w:rPr>
          <w:szCs w:val="18"/>
        </w:rPr>
        <w:t xml:space="preserve"> </w:t>
      </w:r>
      <w:r w:rsidRPr="007438A0" w:rsidR="00346CB1">
        <w:rPr>
          <w:szCs w:val="18"/>
        </w:rPr>
        <w:t>Daarmee is d</w:t>
      </w:r>
      <w:r w:rsidRPr="007438A0" w:rsidR="0032489F">
        <w:rPr>
          <w:szCs w:val="18"/>
        </w:rPr>
        <w:t xml:space="preserve">eze uitzonderingenrapportage geen uitputtende rapportage op </w:t>
      </w:r>
      <w:r w:rsidRPr="007438A0" w:rsidR="00F31CA9">
        <w:rPr>
          <w:szCs w:val="18"/>
        </w:rPr>
        <w:t xml:space="preserve">alle voornemens uit </w:t>
      </w:r>
      <w:r w:rsidRPr="007438A0" w:rsidR="0032489F">
        <w:rPr>
          <w:szCs w:val="18"/>
        </w:rPr>
        <w:t>het jaarplan</w:t>
      </w:r>
      <w:r w:rsidR="00527D0D">
        <w:rPr>
          <w:szCs w:val="18"/>
        </w:rPr>
        <w:t xml:space="preserve"> Toeslagen</w:t>
      </w:r>
      <w:r w:rsidRPr="007438A0" w:rsidR="0032489F">
        <w:rPr>
          <w:szCs w:val="18"/>
        </w:rPr>
        <w:t>.</w:t>
      </w:r>
      <w:r w:rsidR="0004284A">
        <w:rPr>
          <w:szCs w:val="18"/>
        </w:rPr>
        <w:br/>
      </w:r>
      <w:r w:rsidRPr="00A703DB" w:rsidR="00A703DB">
        <w:rPr>
          <w:szCs w:val="18"/>
        </w:rPr>
        <w:t xml:space="preserve"> </w:t>
      </w:r>
      <w:r w:rsidRPr="00967CF2" w:rsidR="00967CF2">
        <w:rPr>
          <w:noProof/>
        </w:rPr>
        <w:drawing>
          <wp:inline distT="0" distB="0" distL="0" distR="0" wp14:anchorId="2F30D664" wp14:editId="6C441DA2">
            <wp:extent cx="5731510" cy="6692265"/>
            <wp:effectExtent l="0" t="0" r="2540" b="0"/>
            <wp:docPr id="13531209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6692265"/>
                    </a:xfrm>
                    <a:prstGeom prst="rect">
                      <a:avLst/>
                    </a:prstGeom>
                    <a:noFill/>
                    <a:ln>
                      <a:noFill/>
                    </a:ln>
                  </pic:spPr>
                </pic:pic>
              </a:graphicData>
            </a:graphic>
          </wp:inline>
        </w:drawing>
      </w:r>
    </w:p>
    <w:p w:rsidR="0063180A" w:rsidP="0063180A" w:rsidRDefault="0063180A" w14:paraId="2E75BCC9" w14:textId="77777777">
      <w:pPr>
        <w:pStyle w:val="Geenafstand"/>
        <w:spacing w:after="120" w:line="276" w:lineRule="auto"/>
        <w:rPr>
          <w:szCs w:val="18"/>
        </w:rPr>
      </w:pPr>
    </w:p>
    <w:p w:rsidRPr="007438A0" w:rsidR="00515E55" w:rsidP="000D1FC4" w:rsidRDefault="00515E55" w14:paraId="177C5585" w14:textId="642B5E6D">
      <w:pPr>
        <w:spacing w:after="200" w:line="276" w:lineRule="auto"/>
        <w:rPr>
          <w:szCs w:val="18"/>
        </w:rPr>
      </w:pPr>
      <w:r w:rsidRPr="007438A0">
        <w:rPr>
          <w:szCs w:val="18"/>
        </w:rPr>
        <w:t>Hieronder word</w:t>
      </w:r>
      <w:r w:rsidRPr="007438A0" w:rsidR="00FE0345">
        <w:rPr>
          <w:szCs w:val="18"/>
        </w:rPr>
        <w:t>en</w:t>
      </w:r>
      <w:r w:rsidRPr="007438A0">
        <w:rPr>
          <w:szCs w:val="18"/>
        </w:rPr>
        <w:t xml:space="preserve"> de </w:t>
      </w:r>
      <w:r w:rsidR="0063180A">
        <w:rPr>
          <w:szCs w:val="18"/>
        </w:rPr>
        <w:t>vijf</w:t>
      </w:r>
      <w:r w:rsidRPr="007438A0" w:rsidR="003808CD">
        <w:rPr>
          <w:szCs w:val="18"/>
        </w:rPr>
        <w:t xml:space="preserve"> </w:t>
      </w:r>
      <w:r w:rsidRPr="007438A0">
        <w:rPr>
          <w:szCs w:val="18"/>
        </w:rPr>
        <w:t>prestatie-indicator</w:t>
      </w:r>
      <w:r w:rsidRPr="007438A0" w:rsidR="00FE0345">
        <w:rPr>
          <w:szCs w:val="18"/>
        </w:rPr>
        <w:t>en</w:t>
      </w:r>
      <w:r w:rsidRPr="007438A0">
        <w:rPr>
          <w:szCs w:val="18"/>
        </w:rPr>
        <w:t xml:space="preserve"> </w:t>
      </w:r>
      <w:r w:rsidRPr="007438A0" w:rsidR="00FE0345">
        <w:rPr>
          <w:szCs w:val="18"/>
        </w:rPr>
        <w:t>toegelicht</w:t>
      </w:r>
      <w:r w:rsidRPr="007438A0" w:rsidR="003808CD">
        <w:rPr>
          <w:szCs w:val="18"/>
        </w:rPr>
        <w:t xml:space="preserve">, waarvan de </w:t>
      </w:r>
      <w:r w:rsidRPr="007438A0" w:rsidR="008447D9">
        <w:rPr>
          <w:szCs w:val="18"/>
        </w:rPr>
        <w:t xml:space="preserve">streefwaarde </w:t>
      </w:r>
      <w:r w:rsidRPr="007438A0" w:rsidR="003808CD">
        <w:rPr>
          <w:szCs w:val="18"/>
        </w:rPr>
        <w:t>op basis van de realisatie</w:t>
      </w:r>
      <w:r w:rsidRPr="007438A0" w:rsidR="008015FC">
        <w:rPr>
          <w:szCs w:val="18"/>
        </w:rPr>
        <w:t xml:space="preserve"> </w:t>
      </w:r>
      <w:r w:rsidR="0063180A">
        <w:rPr>
          <w:szCs w:val="18"/>
        </w:rPr>
        <w:t>mei</w:t>
      </w:r>
      <w:r w:rsidRPr="007438A0" w:rsidR="003808CD">
        <w:rPr>
          <w:szCs w:val="18"/>
        </w:rPr>
        <w:t xml:space="preserve"> tot en met </w:t>
      </w:r>
      <w:r w:rsidR="0063180A">
        <w:rPr>
          <w:szCs w:val="18"/>
        </w:rPr>
        <w:t>oktober</w:t>
      </w:r>
      <w:r w:rsidRPr="007438A0" w:rsidR="008015FC">
        <w:rPr>
          <w:szCs w:val="18"/>
        </w:rPr>
        <w:t xml:space="preserve"> 202</w:t>
      </w:r>
      <w:r w:rsidR="00B10420">
        <w:rPr>
          <w:szCs w:val="18"/>
        </w:rPr>
        <w:t>5</w:t>
      </w:r>
      <w:r w:rsidRPr="007438A0" w:rsidR="003808CD">
        <w:rPr>
          <w:szCs w:val="18"/>
        </w:rPr>
        <w:t xml:space="preserve"> niet is </w:t>
      </w:r>
      <w:r w:rsidRPr="007438A0" w:rsidR="00FE0345">
        <w:rPr>
          <w:szCs w:val="18"/>
        </w:rPr>
        <w:t>gerealiseerd</w:t>
      </w:r>
      <w:r w:rsidRPr="007438A0">
        <w:rPr>
          <w:szCs w:val="18"/>
        </w:rPr>
        <w:t>.</w:t>
      </w:r>
    </w:p>
    <w:p w:rsidRPr="004D0E04" w:rsidR="00686C6E" w:rsidP="00B10420" w:rsidRDefault="004D0E04" w14:paraId="23D5FD7D" w14:textId="15CEDE40">
      <w:pPr>
        <w:spacing w:after="120" w:line="276" w:lineRule="auto"/>
        <w:rPr>
          <w:szCs w:val="18"/>
        </w:rPr>
      </w:pPr>
      <w:r>
        <w:rPr>
          <w:b/>
          <w:bCs/>
          <w:i/>
          <w:iCs/>
          <w:szCs w:val="18"/>
        </w:rPr>
        <w:lastRenderedPageBreak/>
        <w:t xml:space="preserve">1: </w:t>
      </w:r>
      <w:r w:rsidR="00B10420">
        <w:rPr>
          <w:b/>
          <w:bCs/>
          <w:i/>
          <w:iCs/>
          <w:szCs w:val="18"/>
        </w:rPr>
        <w:t xml:space="preserve">Bij </w:t>
      </w:r>
      <w:r w:rsidR="00071C0B">
        <w:rPr>
          <w:b/>
          <w:bCs/>
          <w:i/>
          <w:iCs/>
          <w:szCs w:val="18"/>
        </w:rPr>
        <w:t>D</w:t>
      </w:r>
      <w:r w:rsidR="00B10420">
        <w:rPr>
          <w:b/>
          <w:bCs/>
          <w:i/>
          <w:iCs/>
          <w:szCs w:val="18"/>
        </w:rPr>
        <w:t>ienst Toeslagen krijg je waar je recht op hebt (</w:t>
      </w:r>
      <w:r w:rsidR="005314AA">
        <w:rPr>
          <w:b/>
          <w:bCs/>
          <w:i/>
          <w:iCs/>
          <w:szCs w:val="18"/>
        </w:rPr>
        <w:t>o</w:t>
      </w:r>
      <w:r w:rsidRPr="004D0E04" w:rsidR="00B10420">
        <w:rPr>
          <w:b/>
          <w:bCs/>
          <w:i/>
          <w:iCs/>
          <w:szCs w:val="18"/>
        </w:rPr>
        <w:t>ntevredenheid 10%)</w:t>
      </w:r>
      <w:r w:rsidRPr="004D0E04" w:rsidR="00686C6E">
        <w:rPr>
          <w:szCs w:val="18"/>
        </w:rPr>
        <w:t xml:space="preserve"> </w:t>
      </w:r>
    </w:p>
    <w:p w:rsidR="00B60011" w:rsidP="00B60011" w:rsidRDefault="00854C47" w14:paraId="43784D3D" w14:textId="6EBA32D6">
      <w:pPr>
        <w:spacing w:line="276" w:lineRule="auto"/>
        <w:ind w:left="350"/>
        <w:rPr>
          <w:szCs w:val="18"/>
        </w:rPr>
      </w:pPr>
      <w:r w:rsidRPr="00854C47">
        <w:rPr>
          <w:szCs w:val="18"/>
        </w:rPr>
        <w:t xml:space="preserve">De mate waarin burgers het oneens zijn met de stelling ligt met 10% boven de streefwaarde van 8%. Het resultaat is gelijk aan de </w:t>
      </w:r>
      <w:r w:rsidR="009561FB">
        <w:rPr>
          <w:szCs w:val="18"/>
        </w:rPr>
        <w:t>drie</w:t>
      </w:r>
      <w:r w:rsidRPr="00854C47" w:rsidR="009561FB">
        <w:rPr>
          <w:szCs w:val="18"/>
        </w:rPr>
        <w:t xml:space="preserve"> </w:t>
      </w:r>
      <w:r w:rsidRPr="00854C47">
        <w:rPr>
          <w:szCs w:val="18"/>
        </w:rPr>
        <w:t>voorgaande metingen</w:t>
      </w:r>
      <w:r>
        <w:rPr>
          <w:szCs w:val="18"/>
        </w:rPr>
        <w:t xml:space="preserve">. </w:t>
      </w:r>
      <w:r w:rsidRPr="00854C47">
        <w:rPr>
          <w:szCs w:val="18"/>
        </w:rPr>
        <w:t>Om de burgertevredenheid nog meer positief te beïnvloeden blijven we inzetten op het zelf doorgeven van wijzigingen</w:t>
      </w:r>
      <w:r w:rsidR="006737E1">
        <w:rPr>
          <w:szCs w:val="18"/>
        </w:rPr>
        <w:t>.</w:t>
      </w:r>
      <w:r w:rsidRPr="006737E1" w:rsidR="006737E1">
        <w:t xml:space="preserve"> </w:t>
      </w:r>
      <w:r w:rsidRPr="006737E1" w:rsidR="006737E1">
        <w:rPr>
          <w:szCs w:val="18"/>
        </w:rPr>
        <w:t xml:space="preserve">Na de vorige rapportage zijn er een kleine 50.000 mutaties op inkomen doorgevoerd en 4.000 op </w:t>
      </w:r>
      <w:r w:rsidR="00CF5BF9">
        <w:rPr>
          <w:szCs w:val="18"/>
        </w:rPr>
        <w:t>kinderopvangtoeslag</w:t>
      </w:r>
      <w:r w:rsidRPr="006737E1" w:rsidR="006737E1">
        <w:rPr>
          <w:szCs w:val="18"/>
        </w:rPr>
        <w:t xml:space="preserve">. Er zal tevens weer gemuteerd worden op het vermogen bij </w:t>
      </w:r>
      <w:r w:rsidR="009A1295">
        <w:rPr>
          <w:szCs w:val="18"/>
        </w:rPr>
        <w:t>het massaal automatisch continueren (</w:t>
      </w:r>
      <w:r w:rsidRPr="006737E1" w:rsidR="006737E1">
        <w:rPr>
          <w:szCs w:val="18"/>
        </w:rPr>
        <w:t>MAC</w:t>
      </w:r>
      <w:r w:rsidR="009A1295">
        <w:rPr>
          <w:szCs w:val="18"/>
        </w:rPr>
        <w:t>-en)</w:t>
      </w:r>
      <w:r w:rsidRPr="006737E1" w:rsidR="006737E1">
        <w:rPr>
          <w:szCs w:val="18"/>
        </w:rPr>
        <w:t>.</w:t>
      </w:r>
      <w:r w:rsidR="009A1295">
        <w:rPr>
          <w:rStyle w:val="Voetnootmarkering"/>
          <w:szCs w:val="18"/>
        </w:rPr>
        <w:footnoteReference w:id="1"/>
      </w:r>
      <w:r w:rsidR="006737E1">
        <w:rPr>
          <w:szCs w:val="18"/>
        </w:rPr>
        <w:t xml:space="preserve"> </w:t>
      </w:r>
      <w:r w:rsidRPr="00854C47">
        <w:rPr>
          <w:szCs w:val="18"/>
        </w:rPr>
        <w:t>Ook blijven we burgers erop wijzen dat Toeslagen de actuele/gewijzigde informatie niet (altijd) heeft.</w:t>
      </w:r>
      <w:r w:rsidRPr="004D0E04" w:rsidR="004C4017">
        <w:rPr>
          <w:szCs w:val="18"/>
        </w:rPr>
        <w:t xml:space="preserve"> </w:t>
      </w:r>
      <w:r w:rsidR="008078A1">
        <w:rPr>
          <w:szCs w:val="18"/>
        </w:rPr>
        <w:t>De indicator is de gestelde streefwaarde voor 2025 en er zit bewust nog ruimte in voor verbetering ten opzichte van de huidige realisatie, juist omdat T</w:t>
      </w:r>
      <w:r w:rsidR="00071C0B">
        <w:rPr>
          <w:szCs w:val="18"/>
        </w:rPr>
        <w:t>oeslagen</w:t>
      </w:r>
      <w:r w:rsidR="008078A1">
        <w:rPr>
          <w:szCs w:val="18"/>
        </w:rPr>
        <w:t xml:space="preserve"> ernaar streeft om de dienstverlening te blijven verbeteren. De realisatie in deze </w:t>
      </w:r>
      <w:r w:rsidR="009561FB">
        <w:rPr>
          <w:szCs w:val="18"/>
        </w:rPr>
        <w:t>2</w:t>
      </w:r>
      <w:r w:rsidRPr="00E772D0" w:rsidR="008078A1">
        <w:rPr>
          <w:szCs w:val="18"/>
          <w:vertAlign w:val="superscript"/>
        </w:rPr>
        <w:t>e</w:t>
      </w:r>
      <w:r w:rsidR="008078A1">
        <w:rPr>
          <w:szCs w:val="18"/>
        </w:rPr>
        <w:t xml:space="preserve"> uitzonderingsrapportage laat de resultaten zien van de Toeslagenmonitor </w:t>
      </w:r>
      <w:r w:rsidR="009561FB">
        <w:rPr>
          <w:szCs w:val="18"/>
        </w:rPr>
        <w:t>van Q2 2025</w:t>
      </w:r>
      <w:r w:rsidR="008078A1">
        <w:rPr>
          <w:szCs w:val="18"/>
        </w:rPr>
        <w:t>. Op korte termijn worden de resultaten verwacht van de recente meting.</w:t>
      </w:r>
      <w:r w:rsidR="00B60011">
        <w:rPr>
          <w:szCs w:val="18"/>
        </w:rPr>
        <w:t xml:space="preserve"> </w:t>
      </w:r>
    </w:p>
    <w:p w:rsidR="00E772D0" w:rsidP="00B60011" w:rsidRDefault="00E772D0" w14:paraId="13DAFD53" w14:textId="77777777">
      <w:pPr>
        <w:spacing w:line="276" w:lineRule="auto"/>
        <w:ind w:left="350"/>
        <w:rPr>
          <w:szCs w:val="18"/>
        </w:rPr>
      </w:pPr>
    </w:p>
    <w:p w:rsidRPr="004D0E04" w:rsidR="00686C6E" w:rsidP="00B10420" w:rsidRDefault="004D0E04" w14:paraId="0313619F" w14:textId="6BDD786E">
      <w:pPr>
        <w:spacing w:after="120" w:line="276" w:lineRule="auto"/>
        <w:rPr>
          <w:b/>
          <w:bCs/>
          <w:i/>
          <w:iCs/>
          <w:szCs w:val="18"/>
        </w:rPr>
      </w:pPr>
      <w:r w:rsidRPr="004D0E04">
        <w:rPr>
          <w:b/>
          <w:bCs/>
          <w:i/>
          <w:iCs/>
          <w:szCs w:val="18"/>
        </w:rPr>
        <w:t xml:space="preserve">2: </w:t>
      </w:r>
      <w:r w:rsidRPr="004D0E04" w:rsidR="00B10420">
        <w:rPr>
          <w:b/>
          <w:bCs/>
          <w:i/>
          <w:iCs/>
          <w:szCs w:val="18"/>
        </w:rPr>
        <w:t>Bij Dienst Toeslagen weet je waar je aan toe bent (</w:t>
      </w:r>
      <w:r w:rsidR="005314AA">
        <w:rPr>
          <w:b/>
          <w:bCs/>
          <w:i/>
          <w:iCs/>
          <w:szCs w:val="18"/>
        </w:rPr>
        <w:t>t</w:t>
      </w:r>
      <w:r w:rsidRPr="004D0E04" w:rsidR="00B10420">
        <w:rPr>
          <w:b/>
          <w:bCs/>
          <w:i/>
          <w:iCs/>
          <w:szCs w:val="18"/>
        </w:rPr>
        <w:t>evredenheid 41%)</w:t>
      </w:r>
    </w:p>
    <w:p w:rsidR="00B60011" w:rsidP="00CF5BF9" w:rsidRDefault="008078A1" w14:paraId="6703DDD8" w14:textId="05C3556C">
      <w:pPr>
        <w:spacing w:line="276" w:lineRule="auto"/>
        <w:ind w:left="350"/>
        <w:rPr>
          <w:szCs w:val="18"/>
        </w:rPr>
      </w:pPr>
      <w:r>
        <w:rPr>
          <w:szCs w:val="18"/>
        </w:rPr>
        <w:t>T</w:t>
      </w:r>
      <w:r w:rsidR="005314AA">
        <w:rPr>
          <w:szCs w:val="18"/>
        </w:rPr>
        <w:t>oeslagen</w:t>
      </w:r>
      <w:r>
        <w:rPr>
          <w:szCs w:val="18"/>
        </w:rPr>
        <w:t xml:space="preserve"> heeft de ambitie om deze indicator toe te werken naar 55% voor het </w:t>
      </w:r>
      <w:r w:rsidRPr="00854C47" w:rsidR="00854C47">
        <w:rPr>
          <w:szCs w:val="18"/>
        </w:rPr>
        <w:t>aandeel burgers dat uitspreekt het (helemaal) eens te zijn met de stelling</w:t>
      </w:r>
      <w:r>
        <w:rPr>
          <w:szCs w:val="18"/>
        </w:rPr>
        <w:t xml:space="preserve">: bij Dienst Toeslagen weet je waar je aan toe bent. </w:t>
      </w:r>
      <w:r w:rsidR="00D36662">
        <w:rPr>
          <w:szCs w:val="18"/>
        </w:rPr>
        <w:t xml:space="preserve">Het is een bewuste keuze geweest om de norm hoog te zetten, wetende dat de realisatie nog aanzienlijk lager is. Hierbij geldt dat het </w:t>
      </w:r>
      <w:r w:rsidR="00071C0B">
        <w:rPr>
          <w:szCs w:val="18"/>
        </w:rPr>
        <w:t>een</w:t>
      </w:r>
      <w:r w:rsidR="00D36662">
        <w:rPr>
          <w:szCs w:val="18"/>
        </w:rPr>
        <w:t xml:space="preserve"> ambitie betreft die ook een groeipad kent. Verder geldt o</w:t>
      </w:r>
      <w:r>
        <w:rPr>
          <w:szCs w:val="18"/>
        </w:rPr>
        <w:t xml:space="preserve">ok bij deze resultaten dat het de meting betreft van </w:t>
      </w:r>
      <w:r w:rsidR="000E20A7">
        <w:rPr>
          <w:szCs w:val="18"/>
        </w:rPr>
        <w:t xml:space="preserve">de </w:t>
      </w:r>
      <w:r w:rsidR="00874C9F">
        <w:rPr>
          <w:szCs w:val="18"/>
        </w:rPr>
        <w:t>Q2 2025</w:t>
      </w:r>
      <w:r>
        <w:rPr>
          <w:szCs w:val="18"/>
        </w:rPr>
        <w:t xml:space="preserve">. Hoewel 41% nog onder de streefwaarde ligt van 55%, is in die meting een stijging waarneembaar </w:t>
      </w:r>
      <w:r w:rsidR="004E44FF">
        <w:rPr>
          <w:szCs w:val="18"/>
        </w:rPr>
        <w:t xml:space="preserve">van 6% ten opzichte van de meting eerste helft 2024. </w:t>
      </w:r>
      <w:r w:rsidR="00071C0B">
        <w:rPr>
          <w:szCs w:val="18"/>
        </w:rPr>
        <w:t xml:space="preserve">Dienst </w:t>
      </w:r>
      <w:r w:rsidR="004E44FF">
        <w:rPr>
          <w:szCs w:val="18"/>
        </w:rPr>
        <w:t>T</w:t>
      </w:r>
      <w:r w:rsidR="000E20A7">
        <w:rPr>
          <w:szCs w:val="18"/>
        </w:rPr>
        <w:t>oeslagen</w:t>
      </w:r>
      <w:r w:rsidR="004E44FF">
        <w:rPr>
          <w:szCs w:val="18"/>
        </w:rPr>
        <w:t xml:space="preserve"> gebruikt de inzichten uit de metingen om te bezien waar in de </w:t>
      </w:r>
      <w:proofErr w:type="gramStart"/>
      <w:r w:rsidR="004E44FF">
        <w:rPr>
          <w:szCs w:val="18"/>
        </w:rPr>
        <w:t>processen mogelijkheden</w:t>
      </w:r>
      <w:proofErr w:type="gramEnd"/>
      <w:r w:rsidR="004E44FF">
        <w:rPr>
          <w:szCs w:val="18"/>
        </w:rPr>
        <w:t xml:space="preserve"> zijn voor verbetering van de dienstverlening. </w:t>
      </w:r>
      <w:r w:rsidRPr="00854C47" w:rsidR="00854C47">
        <w:rPr>
          <w:szCs w:val="18"/>
        </w:rPr>
        <w:t xml:space="preserve">Uit de monitor blijkt dat burgers het waarderen als we meer duidelijkheid in het proces </w:t>
      </w:r>
      <w:r w:rsidR="00874C9F">
        <w:rPr>
          <w:szCs w:val="18"/>
        </w:rPr>
        <w:t>‘</w:t>
      </w:r>
      <w:r w:rsidRPr="00854C47" w:rsidR="00854C47">
        <w:rPr>
          <w:szCs w:val="18"/>
        </w:rPr>
        <w:t>wijzigingen doorgeven</w:t>
      </w:r>
      <w:r w:rsidR="00874C9F">
        <w:rPr>
          <w:szCs w:val="18"/>
        </w:rPr>
        <w:t>’</w:t>
      </w:r>
      <w:r w:rsidRPr="00854C47" w:rsidR="00854C47">
        <w:rPr>
          <w:szCs w:val="18"/>
        </w:rPr>
        <w:t xml:space="preserve"> scheppen.</w:t>
      </w:r>
      <w:r w:rsidR="00854C47">
        <w:rPr>
          <w:szCs w:val="18"/>
        </w:rPr>
        <w:t xml:space="preserve"> </w:t>
      </w:r>
      <w:r w:rsidRPr="00854C47" w:rsidR="00854C47">
        <w:rPr>
          <w:szCs w:val="18"/>
        </w:rPr>
        <w:t>Een ander punt waaraan we kunnen werken is de transparantie in berekeningen</w:t>
      </w:r>
      <w:r w:rsidR="006737E1">
        <w:rPr>
          <w:szCs w:val="18"/>
        </w:rPr>
        <w:t xml:space="preserve">. </w:t>
      </w:r>
      <w:r w:rsidR="00874C9F">
        <w:rPr>
          <w:szCs w:val="18"/>
        </w:rPr>
        <w:t xml:space="preserve">Om op dit punt te verbeteren </w:t>
      </w:r>
      <w:r w:rsidR="00E956A0">
        <w:rPr>
          <w:szCs w:val="18"/>
        </w:rPr>
        <w:t>zet</w:t>
      </w:r>
      <w:r w:rsidR="00874C9F">
        <w:rPr>
          <w:szCs w:val="18"/>
        </w:rPr>
        <w:t xml:space="preserve"> Toeslagen</w:t>
      </w:r>
      <w:r w:rsidR="00E956A0">
        <w:rPr>
          <w:szCs w:val="18"/>
        </w:rPr>
        <w:t xml:space="preserve"> onder andere in op de ontwikkeling van</w:t>
      </w:r>
      <w:r w:rsidR="00874C9F">
        <w:rPr>
          <w:szCs w:val="18"/>
        </w:rPr>
        <w:t xml:space="preserve"> nieuwe beschikkingen waarin de grondslagen zichtbaar zijn en het voor de burger </w:t>
      </w:r>
      <w:r w:rsidR="00A21C71">
        <w:rPr>
          <w:szCs w:val="18"/>
        </w:rPr>
        <w:t>transparant is hoe het recht tot stand is gekomen</w:t>
      </w:r>
      <w:r w:rsidRPr="006737E1" w:rsidR="006737E1">
        <w:rPr>
          <w:szCs w:val="18"/>
        </w:rPr>
        <w:t>.</w:t>
      </w:r>
    </w:p>
    <w:p w:rsidRPr="004D0E04" w:rsidR="003434B5" w:rsidP="007438A0" w:rsidRDefault="003434B5" w14:paraId="3C531FB2" w14:textId="77777777">
      <w:pPr>
        <w:spacing w:line="276" w:lineRule="auto"/>
        <w:ind w:left="350"/>
        <w:rPr>
          <w:szCs w:val="18"/>
        </w:rPr>
      </w:pPr>
    </w:p>
    <w:p w:rsidRPr="004D0E04" w:rsidR="00851192" w:rsidP="00A82884" w:rsidRDefault="004D0E04" w14:paraId="257F596D" w14:textId="1EEFE6FF">
      <w:pPr>
        <w:spacing w:after="120" w:line="276" w:lineRule="auto"/>
        <w:rPr>
          <w:szCs w:val="18"/>
        </w:rPr>
      </w:pPr>
      <w:r w:rsidRPr="004D0E04">
        <w:rPr>
          <w:b/>
          <w:bCs/>
          <w:i/>
          <w:iCs/>
          <w:szCs w:val="18"/>
        </w:rPr>
        <w:t xml:space="preserve">3: </w:t>
      </w:r>
      <w:r w:rsidRPr="004D0E04" w:rsidR="00B10420">
        <w:rPr>
          <w:b/>
          <w:bCs/>
          <w:i/>
          <w:iCs/>
          <w:szCs w:val="18"/>
        </w:rPr>
        <w:t>Bij Dienst Toeslagen weet je waar je aan toe bent (</w:t>
      </w:r>
      <w:r w:rsidR="000E20A7">
        <w:rPr>
          <w:b/>
          <w:bCs/>
          <w:i/>
          <w:iCs/>
          <w:szCs w:val="18"/>
        </w:rPr>
        <w:t>o</w:t>
      </w:r>
      <w:r w:rsidRPr="004D0E04" w:rsidR="00B10420">
        <w:rPr>
          <w:b/>
          <w:bCs/>
          <w:i/>
          <w:iCs/>
          <w:szCs w:val="18"/>
        </w:rPr>
        <w:t>ntevredenheid 1</w:t>
      </w:r>
      <w:r w:rsidR="0063180A">
        <w:rPr>
          <w:b/>
          <w:bCs/>
          <w:i/>
          <w:iCs/>
          <w:szCs w:val="18"/>
        </w:rPr>
        <w:t>7</w:t>
      </w:r>
      <w:r w:rsidRPr="004D0E04" w:rsidR="00B10420">
        <w:rPr>
          <w:b/>
          <w:bCs/>
          <w:i/>
          <w:iCs/>
          <w:szCs w:val="18"/>
        </w:rPr>
        <w:t>%)</w:t>
      </w:r>
      <w:r w:rsidRPr="004D0E04" w:rsidR="00382830">
        <w:rPr>
          <w:b/>
          <w:bCs/>
          <w:i/>
          <w:iCs/>
          <w:szCs w:val="18"/>
        </w:rPr>
        <w:t xml:space="preserve"> </w:t>
      </w:r>
    </w:p>
    <w:p w:rsidR="00A82884" w:rsidP="00854C47" w:rsidRDefault="00854C47" w14:paraId="674B59A5" w14:textId="4E5F2ABF">
      <w:pPr>
        <w:spacing w:line="276" w:lineRule="auto"/>
        <w:ind w:left="350"/>
        <w:rPr>
          <w:szCs w:val="18"/>
        </w:rPr>
      </w:pPr>
      <w:r w:rsidRPr="00854C47">
        <w:rPr>
          <w:szCs w:val="18"/>
        </w:rPr>
        <w:t xml:space="preserve">Het aandeel burgers dat uitspreekt het (helemaal) oneens te zijn met de stelling neemt </w:t>
      </w:r>
      <w:r w:rsidR="00A21C71">
        <w:rPr>
          <w:szCs w:val="18"/>
        </w:rPr>
        <w:t xml:space="preserve">opnieuw </w:t>
      </w:r>
      <w:r w:rsidRPr="00854C47">
        <w:rPr>
          <w:szCs w:val="18"/>
        </w:rPr>
        <w:t>met 1% af tot 1</w:t>
      </w:r>
      <w:r w:rsidR="00A21C71">
        <w:rPr>
          <w:szCs w:val="18"/>
        </w:rPr>
        <w:t>7</w:t>
      </w:r>
      <w:r w:rsidRPr="00854C47">
        <w:rPr>
          <w:szCs w:val="18"/>
        </w:rPr>
        <w:t>%.</w:t>
      </w:r>
      <w:r w:rsidRPr="00854C47">
        <w:t xml:space="preserve"> </w:t>
      </w:r>
      <w:r w:rsidR="00B60011">
        <w:t xml:space="preserve">De resultaten uit de afgelopen monitoren laten een lichte dalende lijn zien. De realisatie wijkt echter nog aanzienlijk af van de norm. Ook bij deze norm geldt dat het voor het jaar 2025 ambitieus is ingestoken. </w:t>
      </w:r>
      <w:r w:rsidR="00A21C71">
        <w:t xml:space="preserve">De conclusies over de ‘tevredenheid’ op de burgerbelofte ‘u weet waar u aan toe bent’ zijn ook van toepassing op de ontevredenheid: </w:t>
      </w:r>
      <w:r w:rsidRPr="00854C47">
        <w:rPr>
          <w:szCs w:val="18"/>
        </w:rPr>
        <w:t xml:space="preserve">Uit de monitor blijkt dat burgers het waarderen als we meer duidelijkheid in het proces </w:t>
      </w:r>
      <w:r w:rsidR="0070552F">
        <w:rPr>
          <w:szCs w:val="18"/>
        </w:rPr>
        <w:t>‘</w:t>
      </w:r>
      <w:r w:rsidRPr="00854C47">
        <w:rPr>
          <w:szCs w:val="18"/>
        </w:rPr>
        <w:t>wijzigingen doorgeven</w:t>
      </w:r>
      <w:r w:rsidR="0070552F">
        <w:rPr>
          <w:szCs w:val="18"/>
        </w:rPr>
        <w:t>’</w:t>
      </w:r>
      <w:r w:rsidRPr="00854C47">
        <w:rPr>
          <w:szCs w:val="18"/>
        </w:rPr>
        <w:t xml:space="preserve"> scheppen.</w:t>
      </w:r>
      <w:r>
        <w:rPr>
          <w:szCs w:val="18"/>
        </w:rPr>
        <w:t xml:space="preserve"> </w:t>
      </w:r>
      <w:r w:rsidRPr="00854C47">
        <w:rPr>
          <w:szCs w:val="18"/>
        </w:rPr>
        <w:t>Een ander punt waaraan we kunnen werken is de transparantie in berekeningen</w:t>
      </w:r>
      <w:r>
        <w:rPr>
          <w:szCs w:val="18"/>
        </w:rPr>
        <w:t xml:space="preserve">. </w:t>
      </w:r>
      <w:r w:rsidR="008078A1">
        <w:rPr>
          <w:szCs w:val="18"/>
        </w:rPr>
        <w:t xml:space="preserve">De realisatie in deze </w:t>
      </w:r>
      <w:r w:rsidR="00A21C71">
        <w:rPr>
          <w:szCs w:val="18"/>
        </w:rPr>
        <w:t>2</w:t>
      </w:r>
      <w:r w:rsidRPr="002A1F18" w:rsidR="008078A1">
        <w:rPr>
          <w:szCs w:val="18"/>
          <w:vertAlign w:val="superscript"/>
        </w:rPr>
        <w:t>e</w:t>
      </w:r>
      <w:r w:rsidR="008078A1">
        <w:rPr>
          <w:szCs w:val="18"/>
        </w:rPr>
        <w:t xml:space="preserve"> uitzonderingsrapportage laat de resultaten zien van de Toeslagenmonitor uit</w:t>
      </w:r>
      <w:r w:rsidR="00A21C71">
        <w:rPr>
          <w:szCs w:val="18"/>
        </w:rPr>
        <w:t xml:space="preserve"> Q2 2025</w:t>
      </w:r>
      <w:r w:rsidR="008078A1">
        <w:rPr>
          <w:szCs w:val="18"/>
        </w:rPr>
        <w:t>. Op korte termijn worden de resultaten verwacht van de recente meting</w:t>
      </w:r>
      <w:r w:rsidR="00B60011">
        <w:rPr>
          <w:szCs w:val="18"/>
        </w:rPr>
        <w:t xml:space="preserve">. </w:t>
      </w:r>
    </w:p>
    <w:p w:rsidRPr="004D0E04" w:rsidR="00B10420" w:rsidP="00B10420" w:rsidRDefault="00B10420" w14:paraId="0623CAF7" w14:textId="77777777">
      <w:pPr>
        <w:spacing w:after="120" w:line="276" w:lineRule="auto"/>
        <w:rPr>
          <w:b/>
          <w:bCs/>
          <w:i/>
          <w:iCs/>
          <w:szCs w:val="18"/>
        </w:rPr>
      </w:pPr>
    </w:p>
    <w:p w:rsidRPr="004D0E04" w:rsidR="00B10420" w:rsidP="00B10420" w:rsidRDefault="004D0E04" w14:paraId="517B7892" w14:textId="0EF6C55F">
      <w:pPr>
        <w:spacing w:after="120" w:line="276" w:lineRule="auto"/>
        <w:rPr>
          <w:b/>
          <w:bCs/>
          <w:i/>
          <w:iCs/>
          <w:szCs w:val="18"/>
        </w:rPr>
      </w:pPr>
      <w:r w:rsidRPr="004D0E04">
        <w:rPr>
          <w:b/>
          <w:bCs/>
          <w:i/>
          <w:iCs/>
          <w:szCs w:val="18"/>
        </w:rPr>
        <w:t xml:space="preserve">4: </w:t>
      </w:r>
      <w:r w:rsidRPr="004D0E04" w:rsidR="00B10420">
        <w:rPr>
          <w:b/>
          <w:bCs/>
          <w:i/>
          <w:iCs/>
          <w:szCs w:val="18"/>
        </w:rPr>
        <w:t>Dienst Toeslagen staat voor mij klaar (tevredenheid 3</w:t>
      </w:r>
      <w:r w:rsidR="0063180A">
        <w:rPr>
          <w:b/>
          <w:bCs/>
          <w:i/>
          <w:iCs/>
          <w:szCs w:val="18"/>
        </w:rPr>
        <w:t>5</w:t>
      </w:r>
      <w:r w:rsidRPr="004D0E04" w:rsidR="00B10420">
        <w:rPr>
          <w:b/>
          <w:bCs/>
          <w:i/>
          <w:iCs/>
          <w:szCs w:val="18"/>
        </w:rPr>
        <w:t>%)</w:t>
      </w:r>
    </w:p>
    <w:p w:rsidR="00686C6E" w:rsidP="007438A0" w:rsidRDefault="00CF1C0D" w14:paraId="2C892DEF" w14:textId="1B345F1D">
      <w:pPr>
        <w:spacing w:line="276" w:lineRule="auto"/>
        <w:ind w:left="350"/>
        <w:rPr>
          <w:szCs w:val="18"/>
        </w:rPr>
      </w:pPr>
      <w:r w:rsidRPr="00CF1C0D">
        <w:rPr>
          <w:szCs w:val="18"/>
        </w:rPr>
        <w:t xml:space="preserve">De gemeten mate waarin burgers aangeven zich te herkennen in de burgerbelofte is </w:t>
      </w:r>
      <w:r w:rsidR="00A21C71">
        <w:rPr>
          <w:szCs w:val="18"/>
        </w:rPr>
        <w:t xml:space="preserve">opnieuw iets </w:t>
      </w:r>
      <w:r w:rsidRPr="00CF1C0D">
        <w:rPr>
          <w:szCs w:val="18"/>
        </w:rPr>
        <w:t>toegenomen ten opzichte van de vorige meting</w:t>
      </w:r>
      <w:r w:rsidR="00A21C71">
        <w:rPr>
          <w:szCs w:val="18"/>
        </w:rPr>
        <w:t>. De tevredenheid steeg van 34% naar 35%.</w:t>
      </w:r>
      <w:r w:rsidR="00CF5BF9">
        <w:rPr>
          <w:szCs w:val="18"/>
        </w:rPr>
        <w:t xml:space="preserve"> </w:t>
      </w:r>
      <w:r w:rsidR="00A3037D">
        <w:rPr>
          <w:szCs w:val="18"/>
        </w:rPr>
        <w:t xml:space="preserve">Met de resultaten uit de toeslagenmonitor werkt </w:t>
      </w:r>
      <w:r w:rsidR="0070552F">
        <w:rPr>
          <w:szCs w:val="18"/>
        </w:rPr>
        <w:t>Dienst Toeslagen</w:t>
      </w:r>
      <w:r w:rsidR="00A3037D">
        <w:rPr>
          <w:szCs w:val="18"/>
        </w:rPr>
        <w:t xml:space="preserve"> eraan om gericht de dienstverlening verder te verbeteren. Uit de meting blijkt dat voor de waardering in deze indicator de telefonische bereikbaarheid en toegankelijkheid belangrijk</w:t>
      </w:r>
      <w:r w:rsidR="00CF5BF9">
        <w:rPr>
          <w:szCs w:val="18"/>
        </w:rPr>
        <w:t>e aspecten zijn</w:t>
      </w:r>
      <w:r w:rsidR="00A3037D">
        <w:rPr>
          <w:szCs w:val="18"/>
        </w:rPr>
        <w:t>. De</w:t>
      </w:r>
      <w:r w:rsidR="00CF5BF9">
        <w:rPr>
          <w:szCs w:val="18"/>
        </w:rPr>
        <w:t xml:space="preserve"> bereikbaarheid van de Belastingtelefoon Toeslagen is </w:t>
      </w:r>
      <w:r w:rsidR="00A21C71">
        <w:rPr>
          <w:szCs w:val="18"/>
        </w:rPr>
        <w:t xml:space="preserve">in 2025 </w:t>
      </w:r>
      <w:r w:rsidR="00A3037D">
        <w:rPr>
          <w:szCs w:val="18"/>
        </w:rPr>
        <w:t>beter geweest dan vorig jaar</w:t>
      </w:r>
      <w:r w:rsidR="00CF5BF9">
        <w:rPr>
          <w:szCs w:val="18"/>
        </w:rPr>
        <w:t xml:space="preserve"> het geval was</w:t>
      </w:r>
      <w:r w:rsidR="00A3037D">
        <w:rPr>
          <w:szCs w:val="18"/>
        </w:rPr>
        <w:t xml:space="preserve">. </w:t>
      </w:r>
      <w:r w:rsidR="00A21C71">
        <w:rPr>
          <w:szCs w:val="18"/>
        </w:rPr>
        <w:t>Dit komt nog beperkt terug in de meting</w:t>
      </w:r>
      <w:r w:rsidR="00CF5BF9">
        <w:rPr>
          <w:szCs w:val="18"/>
        </w:rPr>
        <w:t xml:space="preserve"> (o</w:t>
      </w:r>
      <w:r w:rsidR="00A21C71">
        <w:rPr>
          <w:szCs w:val="18"/>
        </w:rPr>
        <w:t>mdat burgers gevraagd worden naar ervaringen uit het afgelopen jaar is enige vertraging in de meting te verwachten</w:t>
      </w:r>
      <w:r w:rsidR="00CF5BF9">
        <w:rPr>
          <w:szCs w:val="18"/>
        </w:rPr>
        <w:t>)</w:t>
      </w:r>
      <w:r w:rsidR="00A21C71">
        <w:rPr>
          <w:szCs w:val="18"/>
        </w:rPr>
        <w:t xml:space="preserve">. </w:t>
      </w:r>
    </w:p>
    <w:p w:rsidR="00E772D0" w:rsidP="007438A0" w:rsidRDefault="00A3037D" w14:paraId="369F5DBD" w14:textId="33F7AF9D">
      <w:pPr>
        <w:spacing w:line="276" w:lineRule="auto"/>
        <w:ind w:left="350"/>
        <w:rPr>
          <w:szCs w:val="18"/>
        </w:rPr>
      </w:pPr>
      <w:r>
        <w:rPr>
          <w:szCs w:val="18"/>
        </w:rPr>
        <w:t xml:space="preserve">De </w:t>
      </w:r>
      <w:r w:rsidR="00A21C71">
        <w:rPr>
          <w:szCs w:val="18"/>
        </w:rPr>
        <w:t xml:space="preserve">streefwaarde voor deze indicator is ambitieus gesteld </w:t>
      </w:r>
      <w:r>
        <w:rPr>
          <w:szCs w:val="18"/>
        </w:rPr>
        <w:t xml:space="preserve">en er zit bewust nog ruimte in voor verbetering ten opzichte van de huidige realisatie, juist omdat </w:t>
      </w:r>
      <w:r w:rsidR="0070552F">
        <w:rPr>
          <w:szCs w:val="18"/>
        </w:rPr>
        <w:t>Toeslagen</w:t>
      </w:r>
      <w:r>
        <w:rPr>
          <w:szCs w:val="18"/>
        </w:rPr>
        <w:t xml:space="preserve"> ernaar streeft om de </w:t>
      </w:r>
      <w:r>
        <w:rPr>
          <w:szCs w:val="18"/>
        </w:rPr>
        <w:lastRenderedPageBreak/>
        <w:t xml:space="preserve">dienstverlening te blijven verbeteren. De realisatie in deze </w:t>
      </w:r>
      <w:r w:rsidR="00A21C71">
        <w:rPr>
          <w:szCs w:val="18"/>
        </w:rPr>
        <w:t>2</w:t>
      </w:r>
      <w:r w:rsidRPr="002A1F18">
        <w:rPr>
          <w:szCs w:val="18"/>
          <w:vertAlign w:val="superscript"/>
        </w:rPr>
        <w:t>e</w:t>
      </w:r>
      <w:r>
        <w:rPr>
          <w:szCs w:val="18"/>
        </w:rPr>
        <w:t xml:space="preserve"> uitzonderingsrapportage laat nog de resultaten zien van de Toeslagenmonitor uit </w:t>
      </w:r>
      <w:r w:rsidR="00A21C71">
        <w:rPr>
          <w:szCs w:val="18"/>
        </w:rPr>
        <w:t>Q2 2025</w:t>
      </w:r>
      <w:r>
        <w:rPr>
          <w:szCs w:val="18"/>
        </w:rPr>
        <w:t xml:space="preserve">. Op korte termijn worden de resultaten verwacht van de recente meting. </w:t>
      </w:r>
    </w:p>
    <w:p w:rsidRPr="004D0E04" w:rsidR="00CF1C0D" w:rsidP="007438A0" w:rsidRDefault="00A3037D" w14:paraId="4F7C67EF" w14:textId="53351625">
      <w:pPr>
        <w:spacing w:line="276" w:lineRule="auto"/>
        <w:ind w:left="350"/>
        <w:rPr>
          <w:szCs w:val="18"/>
        </w:rPr>
      </w:pPr>
      <w:r>
        <w:rPr>
          <w:szCs w:val="18"/>
        </w:rPr>
        <w:t xml:space="preserve"> </w:t>
      </w:r>
    </w:p>
    <w:p w:rsidRPr="004D0E04" w:rsidR="00686C6E" w:rsidP="00B10420" w:rsidRDefault="004D0E04" w14:paraId="25B3FEF2" w14:textId="4A8DF051">
      <w:pPr>
        <w:spacing w:after="120" w:line="276" w:lineRule="auto"/>
        <w:rPr>
          <w:b/>
          <w:bCs/>
          <w:i/>
          <w:iCs/>
          <w:szCs w:val="18"/>
        </w:rPr>
      </w:pPr>
      <w:r w:rsidRPr="004D0E04">
        <w:rPr>
          <w:b/>
          <w:bCs/>
          <w:i/>
          <w:iCs/>
          <w:szCs w:val="18"/>
        </w:rPr>
        <w:t>5: Het percentage definitief toegekende toeslagen dat niet leidt tot een terug te betalen bedrag &gt; € 500</w:t>
      </w:r>
    </w:p>
    <w:p w:rsidR="00E956A0" w:rsidP="00E772D0" w:rsidRDefault="00CC1E2D" w14:paraId="5ECDA6C0" w14:textId="4018E5CA">
      <w:pPr>
        <w:spacing w:line="276" w:lineRule="auto"/>
        <w:ind w:left="350"/>
        <w:rPr>
          <w:szCs w:val="18"/>
        </w:rPr>
      </w:pPr>
      <w:r w:rsidRPr="00CC1E2D">
        <w:rPr>
          <w:szCs w:val="18"/>
        </w:rPr>
        <w:t>De realisatie van deze prestatie-indicator ligt met 9</w:t>
      </w:r>
      <w:r>
        <w:rPr>
          <w:szCs w:val="18"/>
        </w:rPr>
        <w:t>3</w:t>
      </w:r>
      <w:r w:rsidR="00E956A0">
        <w:rPr>
          <w:szCs w:val="18"/>
        </w:rPr>
        <w:t>,5</w:t>
      </w:r>
      <w:r w:rsidRPr="00CC1E2D">
        <w:rPr>
          <w:szCs w:val="18"/>
        </w:rPr>
        <w:t xml:space="preserve">% dicht tegen de </w:t>
      </w:r>
      <w:r>
        <w:rPr>
          <w:szCs w:val="18"/>
        </w:rPr>
        <w:t>streefwaarde</w:t>
      </w:r>
      <w:r w:rsidRPr="00CC1E2D">
        <w:rPr>
          <w:szCs w:val="18"/>
        </w:rPr>
        <w:t xml:space="preserve"> van minimaal 94%. Om terugvorderingen te beperken wordt in het geautomatiseerde proces van de eerste toekenning voor een nieuw jaar een indexering</w:t>
      </w:r>
      <w:r w:rsidR="00D15C4F">
        <w:rPr>
          <w:szCs w:val="18"/>
        </w:rPr>
        <w:t xml:space="preserve"> of aanpassingen van h</w:t>
      </w:r>
      <w:r w:rsidRPr="00CC1E2D">
        <w:rPr>
          <w:szCs w:val="18"/>
        </w:rPr>
        <w:t>et inkomen toegepast. In het toeslagjaar zelf</w:t>
      </w:r>
      <w:r w:rsidRPr="00D15C4F" w:rsidR="00D15C4F">
        <w:rPr>
          <w:szCs w:val="18"/>
        </w:rPr>
        <w:t xml:space="preserve"> </w:t>
      </w:r>
      <w:r w:rsidR="00D15C4F">
        <w:rPr>
          <w:szCs w:val="18"/>
        </w:rPr>
        <w:t xml:space="preserve">worden er campagnes verzorgd om burgers </w:t>
      </w:r>
      <w:r w:rsidRPr="00CC1E2D" w:rsidR="00D15C4F">
        <w:rPr>
          <w:szCs w:val="18"/>
        </w:rPr>
        <w:t xml:space="preserve">erop te wijzen </w:t>
      </w:r>
      <w:r w:rsidR="00D15C4F">
        <w:rPr>
          <w:szCs w:val="18"/>
        </w:rPr>
        <w:t xml:space="preserve">om </w:t>
      </w:r>
      <w:r w:rsidRPr="00CC1E2D" w:rsidR="00D15C4F">
        <w:rPr>
          <w:szCs w:val="18"/>
        </w:rPr>
        <w:t>gegevens zo goed mogelijk actueel te houden</w:t>
      </w:r>
      <w:r w:rsidR="00D15C4F">
        <w:rPr>
          <w:szCs w:val="18"/>
        </w:rPr>
        <w:t xml:space="preserve">. Toeslagen </w:t>
      </w:r>
      <w:r w:rsidRPr="00CC1E2D">
        <w:rPr>
          <w:szCs w:val="18"/>
        </w:rPr>
        <w:t xml:space="preserve">attendeert burgers wanneer zij over gegevens beschikt die </w:t>
      </w:r>
      <w:r w:rsidR="00D15C4F">
        <w:rPr>
          <w:szCs w:val="18"/>
        </w:rPr>
        <w:t>erop wijzen dat er mogelijk</w:t>
      </w:r>
      <w:r w:rsidRPr="00CC1E2D">
        <w:rPr>
          <w:szCs w:val="18"/>
        </w:rPr>
        <w:t xml:space="preserve"> terugvordering</w:t>
      </w:r>
      <w:r w:rsidR="00D15C4F">
        <w:rPr>
          <w:szCs w:val="18"/>
        </w:rPr>
        <w:t xml:space="preserve"> zal ontstaan. In sommige gevallen wijzigt toeslagen de toekenning voor de burger om terugvorderingen te voorkomen, dat gebeurt alleen o.b.v. betrouwbare gegevens en gaat gepaard met het informeren van de betrokken burgers. Uiteraard kan de burger het voorschot op ieder moment weer bijstellen.</w:t>
      </w:r>
      <w:r w:rsidRPr="00CC1E2D">
        <w:rPr>
          <w:szCs w:val="18"/>
        </w:rPr>
        <w:t xml:space="preserve"> Ook de toeslagenapp kan een positief effect hebben omdat burgers een nieuwe, toegankelijk</w:t>
      </w:r>
      <w:r w:rsidR="00D15C4F">
        <w:rPr>
          <w:szCs w:val="18"/>
        </w:rPr>
        <w:t xml:space="preserve"> kanaal </w:t>
      </w:r>
      <w:r w:rsidRPr="00CC1E2D">
        <w:rPr>
          <w:szCs w:val="18"/>
        </w:rPr>
        <w:t xml:space="preserve">hebben </w:t>
      </w:r>
      <w:r w:rsidR="00D71F95">
        <w:rPr>
          <w:szCs w:val="18"/>
        </w:rPr>
        <w:t xml:space="preserve">om </w:t>
      </w:r>
      <w:r w:rsidRPr="00CC1E2D">
        <w:rPr>
          <w:szCs w:val="18"/>
        </w:rPr>
        <w:t xml:space="preserve">mutaties </w:t>
      </w:r>
      <w:r w:rsidR="00D15C4F">
        <w:rPr>
          <w:szCs w:val="18"/>
        </w:rPr>
        <w:t>door te geven</w:t>
      </w:r>
      <w:r w:rsidRPr="00CC1E2D">
        <w:rPr>
          <w:szCs w:val="18"/>
        </w:rPr>
        <w:t xml:space="preserve">. </w:t>
      </w:r>
    </w:p>
    <w:p w:rsidR="007B0E80" w:rsidP="007B0E80" w:rsidRDefault="00CC1E2D" w14:paraId="190F0EFF" w14:textId="76CBF815">
      <w:pPr>
        <w:spacing w:line="276" w:lineRule="auto"/>
        <w:ind w:left="350"/>
        <w:rPr>
          <w:szCs w:val="18"/>
        </w:rPr>
      </w:pPr>
      <w:r w:rsidRPr="00CC1E2D">
        <w:rPr>
          <w:szCs w:val="18"/>
        </w:rPr>
        <w:t xml:space="preserve">Naar verwachting zullen deze maatregelen positieve effecten hebben op de </w:t>
      </w:r>
      <w:r w:rsidR="00D15C4F">
        <w:rPr>
          <w:szCs w:val="18"/>
        </w:rPr>
        <w:t>definitieve toekenningen</w:t>
      </w:r>
      <w:r w:rsidRPr="00CC1E2D">
        <w:rPr>
          <w:szCs w:val="18"/>
        </w:rPr>
        <w:t xml:space="preserve"> over </w:t>
      </w:r>
      <w:r w:rsidR="00D71F95">
        <w:rPr>
          <w:szCs w:val="18"/>
        </w:rPr>
        <w:t>de</w:t>
      </w:r>
      <w:r w:rsidRPr="00CC1E2D">
        <w:rPr>
          <w:szCs w:val="18"/>
        </w:rPr>
        <w:t xml:space="preserve"> toeslagja</w:t>
      </w:r>
      <w:r w:rsidR="00D71F95">
        <w:rPr>
          <w:szCs w:val="18"/>
        </w:rPr>
        <w:t>ren</w:t>
      </w:r>
      <w:r w:rsidRPr="00CC1E2D">
        <w:rPr>
          <w:szCs w:val="18"/>
        </w:rPr>
        <w:t xml:space="preserve"> 2024</w:t>
      </w:r>
      <w:r w:rsidR="00D71F95">
        <w:rPr>
          <w:szCs w:val="18"/>
        </w:rPr>
        <w:t xml:space="preserve"> en later</w:t>
      </w:r>
      <w:r w:rsidRPr="00CC1E2D">
        <w:rPr>
          <w:szCs w:val="18"/>
        </w:rPr>
        <w:t>.</w:t>
      </w:r>
      <w:r w:rsidR="007B0E80">
        <w:rPr>
          <w:szCs w:val="18"/>
        </w:rPr>
        <w:t xml:space="preserve"> Voor toeslagjaar 2024 zijn inmiddels 90% van de toekenningen definitief vastgesteld en is zichtbaar dat het aandeel terugvorderingen boven de €500 </w:t>
      </w:r>
      <w:r w:rsidR="00D15C4F">
        <w:rPr>
          <w:szCs w:val="18"/>
        </w:rPr>
        <w:t xml:space="preserve">- </w:t>
      </w:r>
      <w:r w:rsidR="007B0E80">
        <w:rPr>
          <w:szCs w:val="18"/>
        </w:rPr>
        <w:t xml:space="preserve">of €1.000 voor de kinderopvangtoeslag </w:t>
      </w:r>
      <w:r w:rsidR="00D15C4F">
        <w:rPr>
          <w:szCs w:val="18"/>
        </w:rPr>
        <w:t xml:space="preserve">- </w:t>
      </w:r>
      <w:r w:rsidR="007B0E80">
        <w:rPr>
          <w:szCs w:val="18"/>
        </w:rPr>
        <w:t>lager is dan over 2023 of 2022. De impact van maatregelen in 2025 worden pas zichtbaar wanneer het definitief toekennen van toeslagjaar 2025 start per medio 2026.</w:t>
      </w:r>
    </w:p>
    <w:p w:rsidR="007B0E80" w:rsidP="00E772D0" w:rsidRDefault="007B0E80" w14:paraId="19EF1317" w14:textId="71BF0548">
      <w:pPr>
        <w:spacing w:line="276" w:lineRule="auto"/>
        <w:ind w:left="350"/>
        <w:rPr>
          <w:szCs w:val="18"/>
        </w:rPr>
      </w:pPr>
    </w:p>
    <w:p w:rsidRPr="004D0E04" w:rsidR="00142C4A" w:rsidP="007438A0" w:rsidRDefault="00142C4A" w14:paraId="54C24E06" w14:textId="055FB267">
      <w:pPr>
        <w:pStyle w:val="Geenafstand"/>
        <w:spacing w:line="276" w:lineRule="auto"/>
        <w:rPr>
          <w:szCs w:val="18"/>
        </w:rPr>
      </w:pPr>
    </w:p>
    <w:p w:rsidRPr="007438A0" w:rsidR="00850D4E" w:rsidP="007438A0" w:rsidRDefault="00850D4E" w14:paraId="504D845A" w14:textId="6BFA20BB">
      <w:pPr>
        <w:pStyle w:val="Geenafstand"/>
        <w:spacing w:after="120" w:line="276" w:lineRule="auto"/>
        <w:rPr>
          <w:b/>
          <w:bCs/>
          <w:i/>
          <w:iCs/>
          <w:color w:val="FF0000"/>
          <w:szCs w:val="18"/>
        </w:rPr>
      </w:pPr>
      <w:r w:rsidRPr="007438A0">
        <w:rPr>
          <w:b/>
          <w:bCs/>
          <w:i/>
          <w:iCs/>
          <w:szCs w:val="18"/>
        </w:rPr>
        <w:t xml:space="preserve">Informatievoorziening (IV) </w:t>
      </w:r>
    </w:p>
    <w:p w:rsidRPr="007438A0" w:rsidR="00E16D0D" w:rsidP="007438A0" w:rsidRDefault="00850D4E" w14:paraId="5AF23D7D" w14:textId="74B502B3">
      <w:pPr>
        <w:pStyle w:val="Geenafstand"/>
        <w:spacing w:after="120" w:line="276" w:lineRule="auto"/>
        <w:rPr>
          <w:rFonts w:cs="Tms Rmn"/>
          <w:color w:val="000000"/>
          <w:szCs w:val="18"/>
        </w:rPr>
      </w:pPr>
      <w:r w:rsidRPr="007438A0">
        <w:rPr>
          <w:rFonts w:cs="Tms Rmn"/>
          <w:color w:val="000000"/>
          <w:szCs w:val="18"/>
        </w:rPr>
        <w:t xml:space="preserve">De opgaven waar </w:t>
      </w:r>
      <w:r w:rsidRPr="007438A0" w:rsidR="004933F6">
        <w:rPr>
          <w:rFonts w:cs="Tms Rmn"/>
          <w:color w:val="000000"/>
          <w:szCs w:val="18"/>
        </w:rPr>
        <w:t xml:space="preserve">Dienst </w:t>
      </w:r>
      <w:r w:rsidRPr="007438A0">
        <w:rPr>
          <w:rFonts w:cs="Tms Rmn"/>
          <w:color w:val="000000"/>
          <w:szCs w:val="18"/>
        </w:rPr>
        <w:t>Toeslagen voor staat</w:t>
      </w:r>
      <w:r w:rsidRPr="007438A0" w:rsidR="00E16D0D">
        <w:rPr>
          <w:rFonts w:cs="Tms Rmn"/>
          <w:color w:val="000000"/>
          <w:szCs w:val="18"/>
        </w:rPr>
        <w:t>,</w:t>
      </w:r>
      <w:r w:rsidRPr="007438A0">
        <w:rPr>
          <w:rFonts w:cs="Tms Rmn"/>
          <w:color w:val="000000"/>
          <w:szCs w:val="18"/>
        </w:rPr>
        <w:t xml:space="preserve"> zorgen voor een veel grotere vraag naar IV</w:t>
      </w:r>
      <w:r w:rsidR="00222BC3">
        <w:rPr>
          <w:rFonts w:cs="Tms Rmn"/>
          <w:color w:val="000000"/>
          <w:szCs w:val="18"/>
        </w:rPr>
        <w:t>-</w:t>
      </w:r>
      <w:r w:rsidRPr="007438A0">
        <w:rPr>
          <w:rFonts w:cs="Tms Rmn"/>
          <w:color w:val="000000"/>
          <w:szCs w:val="18"/>
        </w:rPr>
        <w:t xml:space="preserve">capaciteit dan beschikbaar is. </w:t>
      </w:r>
      <w:r w:rsidRPr="007438A0" w:rsidR="00E16D0D">
        <w:rPr>
          <w:rFonts w:cs="Tms Rmn"/>
          <w:color w:val="000000"/>
          <w:szCs w:val="18"/>
        </w:rPr>
        <w:t>Het overvolle IV</w:t>
      </w:r>
      <w:r w:rsidR="00222BC3">
        <w:rPr>
          <w:rFonts w:cs="Tms Rmn"/>
          <w:color w:val="000000"/>
          <w:szCs w:val="18"/>
        </w:rPr>
        <w:t>-</w:t>
      </w:r>
      <w:r w:rsidRPr="007438A0" w:rsidR="00E16D0D">
        <w:rPr>
          <w:rFonts w:cs="Tms Rmn"/>
          <w:color w:val="000000"/>
          <w:szCs w:val="18"/>
        </w:rPr>
        <w:t xml:space="preserve"> portfolio dwingt </w:t>
      </w:r>
      <w:r w:rsidR="0070552F">
        <w:rPr>
          <w:rFonts w:cs="Tms Rmn"/>
          <w:color w:val="000000"/>
          <w:szCs w:val="18"/>
        </w:rPr>
        <w:t xml:space="preserve">Dienst </w:t>
      </w:r>
      <w:r w:rsidRPr="007438A0" w:rsidR="004933F6">
        <w:rPr>
          <w:rFonts w:cs="Tms Rmn"/>
          <w:color w:val="000000"/>
          <w:szCs w:val="18"/>
        </w:rPr>
        <w:t>Toeslagen, mede door de beperkte beschikbare IV-capaciteit,</w:t>
      </w:r>
      <w:r w:rsidRPr="007438A0" w:rsidDel="004933F6" w:rsidR="004933F6">
        <w:rPr>
          <w:rFonts w:cs="Tms Rmn"/>
          <w:color w:val="000000"/>
          <w:szCs w:val="18"/>
        </w:rPr>
        <w:t xml:space="preserve"> </w:t>
      </w:r>
      <w:r w:rsidRPr="007438A0" w:rsidR="00E16D0D">
        <w:rPr>
          <w:rFonts w:cs="Tms Rmn"/>
          <w:color w:val="000000"/>
          <w:szCs w:val="18"/>
        </w:rPr>
        <w:t xml:space="preserve">steeds opnieuw tot het bijstellen van prioriteiten. </w:t>
      </w:r>
      <w:r w:rsidRPr="007438A0" w:rsidR="00C3783A">
        <w:rPr>
          <w:rFonts w:cs="Tms Rmn"/>
          <w:color w:val="000000"/>
          <w:szCs w:val="18"/>
        </w:rPr>
        <w:t>Onderhoud en beheer van de systemen en c</w:t>
      </w:r>
      <w:r w:rsidRPr="007438A0" w:rsidR="00E16D0D">
        <w:rPr>
          <w:rFonts w:cs="Tms Rmn"/>
          <w:color w:val="000000"/>
          <w:szCs w:val="18"/>
        </w:rPr>
        <w:t xml:space="preserve">ruciale ontwikkelingen voor de hersteloperatie </w:t>
      </w:r>
      <w:r w:rsidRPr="007438A0" w:rsidR="004933F6">
        <w:rPr>
          <w:rFonts w:cs="Tms Rmn"/>
          <w:color w:val="000000"/>
          <w:szCs w:val="18"/>
        </w:rPr>
        <w:t xml:space="preserve">vragen veel aandacht en </w:t>
      </w:r>
      <w:r w:rsidRPr="007438A0" w:rsidR="00E16D0D">
        <w:rPr>
          <w:rFonts w:cs="Tms Rmn"/>
          <w:color w:val="000000"/>
          <w:szCs w:val="18"/>
        </w:rPr>
        <w:t>krijgen daarbij voorrang</w:t>
      </w:r>
      <w:r w:rsidRPr="007438A0" w:rsidR="00C3783A">
        <w:rPr>
          <w:rFonts w:cs="Tms Rmn"/>
          <w:color w:val="000000"/>
          <w:szCs w:val="18"/>
        </w:rPr>
        <w:t>, net als de verwerking van nieuwe wet- en regelgeving</w:t>
      </w:r>
      <w:r w:rsidRPr="007438A0" w:rsidR="00E16D0D">
        <w:rPr>
          <w:rFonts w:cs="Tms Rmn"/>
          <w:color w:val="000000"/>
          <w:szCs w:val="18"/>
        </w:rPr>
        <w:t xml:space="preserve">. De IV-krapte maakt </w:t>
      </w:r>
      <w:proofErr w:type="gramStart"/>
      <w:r w:rsidRPr="007438A0" w:rsidR="00E16D0D">
        <w:rPr>
          <w:rFonts w:cs="Tms Rmn"/>
          <w:color w:val="000000"/>
          <w:szCs w:val="18"/>
        </w:rPr>
        <w:t>tevens</w:t>
      </w:r>
      <w:proofErr w:type="gramEnd"/>
      <w:r w:rsidRPr="007438A0" w:rsidR="00E16D0D">
        <w:rPr>
          <w:rFonts w:cs="Tms Rmn"/>
          <w:color w:val="000000"/>
          <w:szCs w:val="18"/>
        </w:rPr>
        <w:t xml:space="preserve"> dat er te weinig gelegenheid is om hardnekkige oorzaken van met regelmaat terugkerende productieverstoringen op te lossen. Het portfolioproces wordt versneld verder geprofessionaliseerd om de schaarse capaciteit zo goed mogelijk in te zetten.</w:t>
      </w:r>
    </w:p>
    <w:p w:rsidRPr="007438A0" w:rsidR="00107694" w:rsidP="00107694" w:rsidRDefault="0070552F" w14:paraId="7A3070C4" w14:textId="011BD726">
      <w:pPr>
        <w:pStyle w:val="Geenafstand"/>
        <w:spacing w:after="120" w:line="276" w:lineRule="auto"/>
        <w:rPr>
          <w:b/>
          <w:bCs/>
          <w:i/>
          <w:iCs/>
          <w:szCs w:val="18"/>
        </w:rPr>
      </w:pPr>
      <w:r>
        <w:rPr>
          <w:b/>
          <w:bCs/>
          <w:i/>
          <w:iCs/>
          <w:szCs w:val="18"/>
        </w:rPr>
        <w:br/>
      </w:r>
      <w:r w:rsidRPr="007438A0" w:rsidR="00107694">
        <w:rPr>
          <w:b/>
          <w:bCs/>
          <w:i/>
          <w:iCs/>
          <w:szCs w:val="18"/>
        </w:rPr>
        <w:t>Sturing en beheersing</w:t>
      </w:r>
    </w:p>
    <w:p w:rsidRPr="007438A0" w:rsidR="00107694" w:rsidP="00107694" w:rsidRDefault="00107694" w14:paraId="2F6313C1" w14:textId="34B35405">
      <w:pPr>
        <w:pStyle w:val="Geenafstand"/>
        <w:spacing w:after="120" w:line="276" w:lineRule="auto"/>
        <w:rPr>
          <w:rFonts w:cs="Tms Rmn"/>
          <w:color w:val="000000"/>
          <w:szCs w:val="18"/>
        </w:rPr>
      </w:pPr>
      <w:r w:rsidRPr="007438A0">
        <w:rPr>
          <w:szCs w:val="18"/>
        </w:rPr>
        <w:t xml:space="preserve">Op basis van de controles door de ADR en de AR </w:t>
      </w:r>
      <w:r>
        <w:rPr>
          <w:szCs w:val="18"/>
        </w:rPr>
        <w:t>is de</w:t>
      </w:r>
      <w:r w:rsidRPr="007438A0">
        <w:rPr>
          <w:szCs w:val="18"/>
        </w:rPr>
        <w:t xml:space="preserve"> onvolkomenheid op inkoopbeheer bij Toeslagen blijven staan. Er worden een aantal verbetermaatregelen uitgewerkt en geïmplementeerd waardoor </w:t>
      </w:r>
      <w:r w:rsidR="0070552F">
        <w:rPr>
          <w:szCs w:val="18"/>
        </w:rPr>
        <w:t xml:space="preserve">Dienst </w:t>
      </w:r>
      <w:r w:rsidRPr="007438A0">
        <w:rPr>
          <w:szCs w:val="18"/>
        </w:rPr>
        <w:t xml:space="preserve">Toeslagen een structurele verbetering verwacht te laten zien. Streven is de </w:t>
      </w:r>
      <w:r w:rsidRPr="007438A0">
        <w:rPr>
          <w:rFonts w:cs="Tms Rmn"/>
          <w:color w:val="000000"/>
          <w:szCs w:val="18"/>
        </w:rPr>
        <w:t>tekortkoming op inkoopbeheer in 202</w:t>
      </w:r>
      <w:r>
        <w:rPr>
          <w:rFonts w:cs="Tms Rmn"/>
          <w:color w:val="000000"/>
          <w:szCs w:val="18"/>
        </w:rPr>
        <w:t>5</w:t>
      </w:r>
      <w:r w:rsidRPr="007438A0">
        <w:rPr>
          <w:rFonts w:cs="Tms Rmn"/>
          <w:color w:val="000000"/>
          <w:szCs w:val="18"/>
        </w:rPr>
        <w:t xml:space="preserve"> op te lossen.  </w:t>
      </w:r>
    </w:p>
    <w:p w:rsidR="0070552F" w:rsidP="006B515B" w:rsidRDefault="0070552F" w14:paraId="5FB7A541" w14:textId="77777777">
      <w:pPr>
        <w:rPr>
          <w:b/>
          <w:bCs/>
          <w:i/>
          <w:iCs/>
          <w:color w:val="000000"/>
          <w:szCs w:val="18"/>
        </w:rPr>
      </w:pPr>
    </w:p>
    <w:p w:rsidR="006B515B" w:rsidP="006B515B" w:rsidRDefault="006B515B" w14:paraId="4306CC40" w14:textId="5789E233">
      <w:pPr>
        <w:rPr>
          <w:b/>
          <w:bCs/>
          <w:i/>
          <w:iCs/>
          <w:color w:val="000000"/>
          <w:szCs w:val="18"/>
        </w:rPr>
      </w:pPr>
      <w:r>
        <w:rPr>
          <w:b/>
          <w:bCs/>
          <w:i/>
          <w:iCs/>
          <w:color w:val="000000"/>
          <w:szCs w:val="18"/>
        </w:rPr>
        <w:t>Risico’s</w:t>
      </w:r>
    </w:p>
    <w:p w:rsidRPr="006B515B" w:rsidR="006B515B" w:rsidP="006B515B" w:rsidRDefault="006B515B" w14:paraId="76D68D16" w14:textId="46069582">
      <w:pPr>
        <w:rPr>
          <w:szCs w:val="18"/>
        </w:rPr>
      </w:pPr>
      <w:r w:rsidRPr="006B515B">
        <w:rPr>
          <w:szCs w:val="18"/>
        </w:rPr>
        <w:t xml:space="preserve">Daarnaast ziet Dienst Toeslagen een aantal overkoepelende risico’s die het behalen van de resultaten en de planning van activiteiten uit het jaarplan </w:t>
      </w:r>
      <w:r w:rsidR="0070552F">
        <w:rPr>
          <w:szCs w:val="18"/>
        </w:rPr>
        <w:t xml:space="preserve">2025 </w:t>
      </w:r>
      <w:r w:rsidRPr="006B515B">
        <w:rPr>
          <w:szCs w:val="18"/>
        </w:rPr>
        <w:t xml:space="preserve">mogelijk kunnen vertragen. Het risico </w:t>
      </w:r>
      <w:r w:rsidR="0070552F">
        <w:rPr>
          <w:szCs w:val="18"/>
        </w:rPr>
        <w:t>‘</w:t>
      </w:r>
      <w:r w:rsidRPr="006B515B">
        <w:rPr>
          <w:szCs w:val="18"/>
        </w:rPr>
        <w:t>tekort aan gekwalificeerd en gefaciliteerd personeel</w:t>
      </w:r>
      <w:r w:rsidR="0070552F">
        <w:rPr>
          <w:szCs w:val="18"/>
        </w:rPr>
        <w:t>’</w:t>
      </w:r>
      <w:r w:rsidRPr="006B515B">
        <w:rPr>
          <w:szCs w:val="18"/>
        </w:rPr>
        <w:t xml:space="preserve"> blijft zich sterk manifesteren. Knelpunt is en blijft de beschikbare capaciteit in relatie tot de taakopgaven en de ontwikkelingen binnen Dienst Toeslagen en de daarmee ook samenhangende hoge werkdruk. Verschillende maatregelen worden ingezet om dit risico te mitigeren, waaronder de wervingscampagne op specifieke arbeidsmarkt te intensiveren en de uitstroom van medewerkers te beperken door een veilige werkomgeving aan hen te bieden en het interne werkklimaat te bevorderen. Door met name IV-krapte is er sprake van gebrek aan wendbaarheid. Het portfolioproces wordt daarom versneld verder geprofessionaliseerd om de schaarse capaciteit zo goed als mogelijk in te zetten. De druk vanuit de maatschappij en de politiek om de hersteloperatie én een toekomst vast en passend stelsel van toeslagregelingen uit te voeren is groot. Waar Dienst Toeslagen zelf invloed uit kan </w:t>
      </w:r>
      <w:r w:rsidRPr="006B515B">
        <w:rPr>
          <w:szCs w:val="18"/>
        </w:rPr>
        <w:lastRenderedPageBreak/>
        <w:t>uitoefenen worden acties ondernomen waarbij de aandacht gericht is op de uitvoerbaarheid van nieuwe stelselwijzigingen. Dienst Toeslagen werkt hierbij nauw samen met de opdrachtgevers.</w:t>
      </w:r>
    </w:p>
    <w:p w:rsidRPr="006B515B" w:rsidR="006B515B" w:rsidP="006B515B" w:rsidRDefault="006B515B" w14:paraId="1FEF7D08" w14:textId="77777777">
      <w:pPr>
        <w:rPr>
          <w:szCs w:val="18"/>
        </w:rPr>
      </w:pPr>
    </w:p>
    <w:p w:rsidRPr="006B515B" w:rsidR="006B515B" w:rsidP="006B515B" w:rsidRDefault="006B515B" w14:paraId="2492B4CB" w14:textId="12F3FC44">
      <w:pPr>
        <w:rPr>
          <w:szCs w:val="18"/>
        </w:rPr>
      </w:pPr>
      <w:r w:rsidRPr="006B515B">
        <w:rPr>
          <w:szCs w:val="18"/>
        </w:rPr>
        <w:t xml:space="preserve">Daarnaast is in de </w:t>
      </w:r>
      <w:r>
        <w:rPr>
          <w:szCs w:val="18"/>
        </w:rPr>
        <w:t xml:space="preserve">afgelopen </w:t>
      </w:r>
      <w:r w:rsidRPr="006B515B">
        <w:rPr>
          <w:szCs w:val="18"/>
        </w:rPr>
        <w:t>vier maanden verder gewerkt aan de doorontwikkeling van risicomanagement binnen Toeslagen met de implementatie van risicodialoog als nieuwe methodiek. Deze methodiek kijkt op een pragmatische manier naar onzekerheden die de geformuleerde doelen kunnen beïnvloeden.</w:t>
      </w:r>
      <w:r w:rsidR="0070552F">
        <w:rPr>
          <w:szCs w:val="18"/>
        </w:rPr>
        <w:t xml:space="preserve"> </w:t>
      </w:r>
      <w:r w:rsidRPr="006B515B">
        <w:rPr>
          <w:szCs w:val="18"/>
        </w:rPr>
        <w:t xml:space="preserve">Hierdoor blijft de focus op het sturen op de doelen van </w:t>
      </w:r>
      <w:r w:rsidR="0070552F">
        <w:rPr>
          <w:szCs w:val="18"/>
        </w:rPr>
        <w:t xml:space="preserve">Dienst </w:t>
      </w:r>
      <w:r w:rsidRPr="006B515B">
        <w:rPr>
          <w:szCs w:val="18"/>
        </w:rPr>
        <w:t>Toeslagen, het leren en bijsturen op basis van reflectie en het voeren van dialogen om een breed gedragen beeld te krijgen ten aanzien van de onzekerheden en mogelijke vervolgacties om daarmee om te gaan.</w:t>
      </w:r>
    </w:p>
    <w:p w:rsidR="0004222F" w:rsidP="006B515B" w:rsidRDefault="0004222F" w14:paraId="3EAF656A" w14:textId="77777777">
      <w:pPr>
        <w:spacing w:after="120" w:line="276" w:lineRule="auto"/>
        <w:rPr>
          <w:b/>
          <w:bCs/>
          <w:szCs w:val="18"/>
        </w:rPr>
      </w:pPr>
    </w:p>
    <w:p w:rsidR="0004222F" w:rsidP="006B515B" w:rsidRDefault="0004222F" w14:paraId="4A9CAB47" w14:textId="14CDCDF8">
      <w:pPr>
        <w:spacing w:after="120" w:line="276" w:lineRule="auto"/>
        <w:rPr>
          <w:b/>
          <w:bCs/>
          <w:szCs w:val="18"/>
        </w:rPr>
      </w:pPr>
      <w:r>
        <w:rPr>
          <w:b/>
          <w:bCs/>
          <w:szCs w:val="18"/>
        </w:rPr>
        <w:t xml:space="preserve">Rechtmatigheid </w:t>
      </w:r>
    </w:p>
    <w:p w:rsidR="0004222F" w:rsidP="004923AB" w:rsidRDefault="004923AB" w14:paraId="1C5EAC51" w14:textId="722450E2">
      <w:pPr>
        <w:spacing w:after="120" w:line="276" w:lineRule="auto"/>
        <w:rPr>
          <w:szCs w:val="18"/>
        </w:rPr>
      </w:pPr>
      <w:r w:rsidRPr="004923AB">
        <w:rPr>
          <w:szCs w:val="18"/>
        </w:rPr>
        <w:t xml:space="preserve">De huurtoeslag is </w:t>
      </w:r>
      <w:r w:rsidR="00282FB5">
        <w:rPr>
          <w:szCs w:val="18"/>
        </w:rPr>
        <w:t>per</w:t>
      </w:r>
      <w:r w:rsidRPr="004923AB">
        <w:rPr>
          <w:szCs w:val="18"/>
        </w:rPr>
        <w:t xml:space="preserve"> 2025 verschoven van </w:t>
      </w:r>
      <w:r w:rsidR="00282FB5">
        <w:rPr>
          <w:szCs w:val="18"/>
        </w:rPr>
        <w:t xml:space="preserve">de begroting van </w:t>
      </w:r>
      <w:r w:rsidRPr="004923AB">
        <w:rPr>
          <w:szCs w:val="18"/>
        </w:rPr>
        <w:t>BZK naar</w:t>
      </w:r>
      <w:r w:rsidR="00282FB5">
        <w:rPr>
          <w:szCs w:val="18"/>
        </w:rPr>
        <w:t xml:space="preserve"> die van</w:t>
      </w:r>
      <w:r w:rsidRPr="004923AB">
        <w:rPr>
          <w:szCs w:val="18"/>
        </w:rPr>
        <w:t xml:space="preserve"> VRO. Hierdoor is de tolerantiegrens voor de </w:t>
      </w:r>
      <w:r>
        <w:rPr>
          <w:szCs w:val="18"/>
        </w:rPr>
        <w:t>huurtoeslag uitgaven en ontvangsten lager geworden</w:t>
      </w:r>
      <w:r w:rsidRPr="004923AB">
        <w:rPr>
          <w:szCs w:val="18"/>
        </w:rPr>
        <w:t xml:space="preserve"> worden (</w:t>
      </w:r>
      <w:r w:rsidR="00DC32FA">
        <w:rPr>
          <w:szCs w:val="18"/>
        </w:rPr>
        <w:t xml:space="preserve">van </w:t>
      </w:r>
      <w:proofErr w:type="gramStart"/>
      <w:r w:rsidR="00DC32FA">
        <w:rPr>
          <w:szCs w:val="18"/>
        </w:rPr>
        <w:t>circa</w:t>
      </w:r>
      <w:proofErr w:type="gramEnd"/>
      <w:r w:rsidR="00DC32FA">
        <w:rPr>
          <w:szCs w:val="18"/>
        </w:rPr>
        <w:t xml:space="preserve"> 4% naar</w:t>
      </w:r>
      <w:r w:rsidRPr="004923AB">
        <w:rPr>
          <w:szCs w:val="18"/>
        </w:rPr>
        <w:t xml:space="preserve"> circa 3%). De verwachting is dat de rechtmatighei</w:t>
      </w:r>
      <w:r>
        <w:rPr>
          <w:szCs w:val="18"/>
        </w:rPr>
        <w:t xml:space="preserve">dsscore ongeveer gelijk zal blijven </w:t>
      </w:r>
      <w:r w:rsidR="00282FB5">
        <w:rPr>
          <w:szCs w:val="18"/>
        </w:rPr>
        <w:t>aan</w:t>
      </w:r>
      <w:r>
        <w:rPr>
          <w:szCs w:val="18"/>
        </w:rPr>
        <w:t xml:space="preserve"> 2024 maar de lagere tolerantiegrens zal overschrijden.</w:t>
      </w:r>
    </w:p>
    <w:p w:rsidRPr="004923AB" w:rsidR="00282FB5" w:rsidP="004923AB" w:rsidRDefault="008517BC" w14:paraId="25017998" w14:textId="6BC63882">
      <w:pPr>
        <w:spacing w:after="120" w:line="276" w:lineRule="auto"/>
        <w:rPr>
          <w:szCs w:val="18"/>
        </w:rPr>
      </w:pPr>
      <w:r>
        <w:rPr>
          <w:szCs w:val="18"/>
        </w:rPr>
        <w:t>De onzekerheid ziet</w:t>
      </w:r>
      <w:r w:rsidR="006A473F">
        <w:rPr>
          <w:szCs w:val="18"/>
        </w:rPr>
        <w:t xml:space="preserve"> voornamelijk</w:t>
      </w:r>
      <w:r>
        <w:rPr>
          <w:szCs w:val="18"/>
        </w:rPr>
        <w:t xml:space="preserve"> op de particuliere verhuur, waar er in onvoldoende mate informatie beschikbaar is over </w:t>
      </w:r>
      <w:r w:rsidR="004341AE">
        <w:rPr>
          <w:szCs w:val="18"/>
        </w:rPr>
        <w:t xml:space="preserve">de huren en </w:t>
      </w:r>
      <w:r w:rsidR="00296F5C">
        <w:rPr>
          <w:szCs w:val="18"/>
        </w:rPr>
        <w:t xml:space="preserve">het </w:t>
      </w:r>
      <w:r>
        <w:rPr>
          <w:szCs w:val="18"/>
        </w:rPr>
        <w:t>recht</w:t>
      </w:r>
      <w:r w:rsidR="00296F5C">
        <w:rPr>
          <w:szCs w:val="18"/>
        </w:rPr>
        <w:t xml:space="preserve"> op huurtoeslag</w:t>
      </w:r>
      <w:r>
        <w:rPr>
          <w:szCs w:val="18"/>
        </w:rPr>
        <w:t xml:space="preserve"> van huurobjecten.</w:t>
      </w:r>
    </w:p>
    <w:p w:rsidR="004923AB" w:rsidP="006B515B" w:rsidRDefault="004923AB" w14:paraId="513D7F40" w14:textId="77777777">
      <w:pPr>
        <w:spacing w:after="120" w:line="276" w:lineRule="auto"/>
        <w:rPr>
          <w:b/>
          <w:bCs/>
          <w:szCs w:val="18"/>
        </w:rPr>
      </w:pPr>
    </w:p>
    <w:p w:rsidRPr="007438A0" w:rsidR="0004222F" w:rsidP="006B515B" w:rsidRDefault="0004222F" w14:paraId="2438A359" w14:textId="77777777">
      <w:pPr>
        <w:spacing w:after="120" w:line="276" w:lineRule="auto"/>
        <w:rPr>
          <w:b/>
          <w:bCs/>
          <w:szCs w:val="18"/>
        </w:rPr>
      </w:pPr>
    </w:p>
    <w:sectPr w:rsidRPr="007438A0" w:rsidR="0004222F" w:rsidSect="000B2B37">
      <w:footerReference w:type="default" r:id="rId8"/>
      <w:pgSz w:w="11906" w:h="16838"/>
      <w:pgMar w:top="1304" w:right="1440" w:bottom="1304"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6204" w14:textId="77777777" w:rsidR="009E76F2" w:rsidRDefault="009E76F2" w:rsidP="00E8493C">
      <w:pPr>
        <w:spacing w:line="240" w:lineRule="auto"/>
      </w:pPr>
      <w:r>
        <w:separator/>
      </w:r>
    </w:p>
  </w:endnote>
  <w:endnote w:type="continuationSeparator" w:id="0">
    <w:p w14:paraId="0A96F16B" w14:textId="77777777" w:rsidR="009E76F2" w:rsidRDefault="009E76F2" w:rsidP="00E84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696120"/>
      <w:docPartObj>
        <w:docPartGallery w:val="Page Numbers (Bottom of Page)"/>
        <w:docPartUnique/>
      </w:docPartObj>
    </w:sdtPr>
    <w:sdtEndPr/>
    <w:sdtContent>
      <w:p w14:paraId="7AFF649C" w14:textId="478DA499" w:rsidR="002D2F35" w:rsidRDefault="002D2F35">
        <w:pPr>
          <w:pStyle w:val="Voettekst"/>
          <w:jc w:val="right"/>
        </w:pPr>
        <w:r>
          <w:fldChar w:fldCharType="begin"/>
        </w:r>
        <w:r>
          <w:instrText>PAGE   \* MERGEFORMAT</w:instrText>
        </w:r>
        <w:r>
          <w:fldChar w:fldCharType="separate"/>
        </w:r>
        <w:r>
          <w:t>2</w:t>
        </w:r>
        <w:r>
          <w:fldChar w:fldCharType="end"/>
        </w:r>
      </w:p>
    </w:sdtContent>
  </w:sdt>
  <w:p w14:paraId="5DB104F3" w14:textId="77777777" w:rsidR="002D2F35" w:rsidRDefault="002D2F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B456" w14:textId="77777777" w:rsidR="009E76F2" w:rsidRDefault="009E76F2" w:rsidP="00E8493C">
      <w:pPr>
        <w:spacing w:line="240" w:lineRule="auto"/>
      </w:pPr>
      <w:r>
        <w:separator/>
      </w:r>
    </w:p>
  </w:footnote>
  <w:footnote w:type="continuationSeparator" w:id="0">
    <w:p w14:paraId="48292D81" w14:textId="77777777" w:rsidR="009E76F2" w:rsidRDefault="009E76F2" w:rsidP="00E8493C">
      <w:pPr>
        <w:spacing w:line="240" w:lineRule="auto"/>
      </w:pPr>
      <w:r>
        <w:continuationSeparator/>
      </w:r>
    </w:p>
  </w:footnote>
  <w:footnote w:id="1">
    <w:p w14:paraId="783D3247" w14:textId="33B74B72" w:rsidR="009A1295" w:rsidRPr="009A1295" w:rsidRDefault="009A1295">
      <w:pPr>
        <w:pStyle w:val="Voetnoottekst"/>
        <w:rPr>
          <w:sz w:val="13"/>
          <w:szCs w:val="13"/>
        </w:rPr>
      </w:pPr>
      <w:r w:rsidRPr="009A1295">
        <w:rPr>
          <w:rStyle w:val="Voetnootmarkering"/>
          <w:sz w:val="13"/>
          <w:szCs w:val="13"/>
        </w:rPr>
        <w:footnoteRef/>
      </w:r>
      <w:r w:rsidRPr="009A1295">
        <w:rPr>
          <w:sz w:val="13"/>
          <w:szCs w:val="13"/>
        </w:rPr>
        <w:t xml:space="preserve"> Met het MAC</w:t>
      </w:r>
      <w:r>
        <w:rPr>
          <w:sz w:val="13"/>
          <w:szCs w:val="13"/>
        </w:rPr>
        <w:t>-en</w:t>
      </w:r>
      <w:r w:rsidRPr="009A1295">
        <w:rPr>
          <w:sz w:val="13"/>
          <w:szCs w:val="13"/>
        </w:rPr>
        <w:t xml:space="preserve"> verleng</w:t>
      </w:r>
      <w:r>
        <w:rPr>
          <w:sz w:val="13"/>
          <w:szCs w:val="13"/>
        </w:rPr>
        <w:t>t de Dienst Toeslagen</w:t>
      </w:r>
      <w:r w:rsidRPr="009A1295">
        <w:rPr>
          <w:sz w:val="13"/>
          <w:szCs w:val="13"/>
        </w:rPr>
        <w:t xml:space="preserve"> </w:t>
      </w:r>
      <w:r>
        <w:rPr>
          <w:sz w:val="13"/>
          <w:szCs w:val="13"/>
        </w:rPr>
        <w:t xml:space="preserve">automatisch </w:t>
      </w:r>
      <w:r w:rsidRPr="009A1295">
        <w:rPr>
          <w:sz w:val="13"/>
          <w:szCs w:val="13"/>
        </w:rPr>
        <w:t>van iedere toeslaggerechtigde die in het lopende jaar een toeslag ontvangt</w:t>
      </w:r>
      <w:r>
        <w:rPr>
          <w:sz w:val="13"/>
          <w:szCs w:val="13"/>
        </w:rPr>
        <w:t xml:space="preserve"> deze toeslag met een jaar</w:t>
      </w:r>
      <w:r w:rsidRPr="009A1295">
        <w:rPr>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97"/>
    <w:multiLevelType w:val="hybridMultilevel"/>
    <w:tmpl w:val="868AF6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D3529F"/>
    <w:multiLevelType w:val="hybridMultilevel"/>
    <w:tmpl w:val="1A0EE68E"/>
    <w:lvl w:ilvl="0" w:tplc="A23A16AC">
      <w:start w:val="1"/>
      <w:numFmt w:val="lowerLetter"/>
      <w:lvlText w:val="%1)"/>
      <w:lvlJc w:val="left"/>
      <w:pPr>
        <w:ind w:left="1866" w:hanging="360"/>
      </w:pPr>
      <w:rPr>
        <w:rFonts w:hint="default"/>
        <w:b/>
        <w:i/>
      </w:rPr>
    </w:lvl>
    <w:lvl w:ilvl="1" w:tplc="04130019" w:tentative="1">
      <w:start w:val="1"/>
      <w:numFmt w:val="lowerLetter"/>
      <w:lvlText w:val="%2."/>
      <w:lvlJc w:val="left"/>
      <w:pPr>
        <w:ind w:left="2586" w:hanging="360"/>
      </w:pPr>
    </w:lvl>
    <w:lvl w:ilvl="2" w:tplc="0413001B" w:tentative="1">
      <w:start w:val="1"/>
      <w:numFmt w:val="lowerRoman"/>
      <w:lvlText w:val="%3."/>
      <w:lvlJc w:val="right"/>
      <w:pPr>
        <w:ind w:left="3306" w:hanging="180"/>
      </w:pPr>
    </w:lvl>
    <w:lvl w:ilvl="3" w:tplc="0413000F" w:tentative="1">
      <w:start w:val="1"/>
      <w:numFmt w:val="decimal"/>
      <w:lvlText w:val="%4."/>
      <w:lvlJc w:val="left"/>
      <w:pPr>
        <w:ind w:left="4026" w:hanging="360"/>
      </w:pPr>
    </w:lvl>
    <w:lvl w:ilvl="4" w:tplc="04130019" w:tentative="1">
      <w:start w:val="1"/>
      <w:numFmt w:val="lowerLetter"/>
      <w:lvlText w:val="%5."/>
      <w:lvlJc w:val="left"/>
      <w:pPr>
        <w:ind w:left="4746" w:hanging="360"/>
      </w:pPr>
    </w:lvl>
    <w:lvl w:ilvl="5" w:tplc="0413001B" w:tentative="1">
      <w:start w:val="1"/>
      <w:numFmt w:val="lowerRoman"/>
      <w:lvlText w:val="%6."/>
      <w:lvlJc w:val="right"/>
      <w:pPr>
        <w:ind w:left="5466" w:hanging="180"/>
      </w:pPr>
    </w:lvl>
    <w:lvl w:ilvl="6" w:tplc="0413000F" w:tentative="1">
      <w:start w:val="1"/>
      <w:numFmt w:val="decimal"/>
      <w:lvlText w:val="%7."/>
      <w:lvlJc w:val="left"/>
      <w:pPr>
        <w:ind w:left="6186" w:hanging="360"/>
      </w:pPr>
    </w:lvl>
    <w:lvl w:ilvl="7" w:tplc="04130019" w:tentative="1">
      <w:start w:val="1"/>
      <w:numFmt w:val="lowerLetter"/>
      <w:lvlText w:val="%8."/>
      <w:lvlJc w:val="left"/>
      <w:pPr>
        <w:ind w:left="6906" w:hanging="360"/>
      </w:pPr>
    </w:lvl>
    <w:lvl w:ilvl="8" w:tplc="0413001B" w:tentative="1">
      <w:start w:val="1"/>
      <w:numFmt w:val="lowerRoman"/>
      <w:lvlText w:val="%9."/>
      <w:lvlJc w:val="right"/>
      <w:pPr>
        <w:ind w:left="7626" w:hanging="180"/>
      </w:pPr>
    </w:lvl>
  </w:abstractNum>
  <w:abstractNum w:abstractNumId="2" w15:restartNumberingAfterBreak="0">
    <w:nsid w:val="08375FED"/>
    <w:multiLevelType w:val="hybridMultilevel"/>
    <w:tmpl w:val="B3E84B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267162"/>
    <w:multiLevelType w:val="hybridMultilevel"/>
    <w:tmpl w:val="373C7F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FE72918"/>
    <w:multiLevelType w:val="hybridMultilevel"/>
    <w:tmpl w:val="79DA2B8E"/>
    <w:lvl w:ilvl="0" w:tplc="69F4525E">
      <w:start w:val="1"/>
      <w:numFmt w:val="bullet"/>
      <w:lvlText w:val="‒"/>
      <w:lvlJc w:val="left"/>
      <w:pPr>
        <w:tabs>
          <w:tab w:val="num" w:pos="720"/>
        </w:tabs>
        <w:ind w:left="720" w:hanging="360"/>
      </w:pPr>
      <w:rPr>
        <w:rFonts w:ascii="Calibri" w:hAnsi="Calibri" w:hint="default"/>
      </w:rPr>
    </w:lvl>
    <w:lvl w:ilvl="1" w:tplc="6986C17C" w:tentative="1">
      <w:start w:val="1"/>
      <w:numFmt w:val="bullet"/>
      <w:lvlText w:val="‒"/>
      <w:lvlJc w:val="left"/>
      <w:pPr>
        <w:tabs>
          <w:tab w:val="num" w:pos="1440"/>
        </w:tabs>
        <w:ind w:left="1440" w:hanging="360"/>
      </w:pPr>
      <w:rPr>
        <w:rFonts w:ascii="Calibri" w:hAnsi="Calibri" w:hint="default"/>
      </w:rPr>
    </w:lvl>
    <w:lvl w:ilvl="2" w:tplc="3612DEEE" w:tentative="1">
      <w:start w:val="1"/>
      <w:numFmt w:val="bullet"/>
      <w:lvlText w:val="‒"/>
      <w:lvlJc w:val="left"/>
      <w:pPr>
        <w:tabs>
          <w:tab w:val="num" w:pos="2160"/>
        </w:tabs>
        <w:ind w:left="2160" w:hanging="360"/>
      </w:pPr>
      <w:rPr>
        <w:rFonts w:ascii="Calibri" w:hAnsi="Calibri" w:hint="default"/>
      </w:rPr>
    </w:lvl>
    <w:lvl w:ilvl="3" w:tplc="CD7A478C" w:tentative="1">
      <w:start w:val="1"/>
      <w:numFmt w:val="bullet"/>
      <w:lvlText w:val="‒"/>
      <w:lvlJc w:val="left"/>
      <w:pPr>
        <w:tabs>
          <w:tab w:val="num" w:pos="2880"/>
        </w:tabs>
        <w:ind w:left="2880" w:hanging="360"/>
      </w:pPr>
      <w:rPr>
        <w:rFonts w:ascii="Calibri" w:hAnsi="Calibri" w:hint="default"/>
      </w:rPr>
    </w:lvl>
    <w:lvl w:ilvl="4" w:tplc="4E8A82E6" w:tentative="1">
      <w:start w:val="1"/>
      <w:numFmt w:val="bullet"/>
      <w:lvlText w:val="‒"/>
      <w:lvlJc w:val="left"/>
      <w:pPr>
        <w:tabs>
          <w:tab w:val="num" w:pos="3600"/>
        </w:tabs>
        <w:ind w:left="3600" w:hanging="360"/>
      </w:pPr>
      <w:rPr>
        <w:rFonts w:ascii="Calibri" w:hAnsi="Calibri" w:hint="default"/>
      </w:rPr>
    </w:lvl>
    <w:lvl w:ilvl="5" w:tplc="278A313E" w:tentative="1">
      <w:start w:val="1"/>
      <w:numFmt w:val="bullet"/>
      <w:lvlText w:val="‒"/>
      <w:lvlJc w:val="left"/>
      <w:pPr>
        <w:tabs>
          <w:tab w:val="num" w:pos="4320"/>
        </w:tabs>
        <w:ind w:left="4320" w:hanging="360"/>
      </w:pPr>
      <w:rPr>
        <w:rFonts w:ascii="Calibri" w:hAnsi="Calibri" w:hint="default"/>
      </w:rPr>
    </w:lvl>
    <w:lvl w:ilvl="6" w:tplc="87DC62D8" w:tentative="1">
      <w:start w:val="1"/>
      <w:numFmt w:val="bullet"/>
      <w:lvlText w:val="‒"/>
      <w:lvlJc w:val="left"/>
      <w:pPr>
        <w:tabs>
          <w:tab w:val="num" w:pos="5040"/>
        </w:tabs>
        <w:ind w:left="5040" w:hanging="360"/>
      </w:pPr>
      <w:rPr>
        <w:rFonts w:ascii="Calibri" w:hAnsi="Calibri" w:hint="default"/>
      </w:rPr>
    </w:lvl>
    <w:lvl w:ilvl="7" w:tplc="8CC4E3AC" w:tentative="1">
      <w:start w:val="1"/>
      <w:numFmt w:val="bullet"/>
      <w:lvlText w:val="‒"/>
      <w:lvlJc w:val="left"/>
      <w:pPr>
        <w:tabs>
          <w:tab w:val="num" w:pos="5760"/>
        </w:tabs>
        <w:ind w:left="5760" w:hanging="360"/>
      </w:pPr>
      <w:rPr>
        <w:rFonts w:ascii="Calibri" w:hAnsi="Calibri" w:hint="default"/>
      </w:rPr>
    </w:lvl>
    <w:lvl w:ilvl="8" w:tplc="ED86B25C"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0F0F59"/>
    <w:multiLevelType w:val="hybridMultilevel"/>
    <w:tmpl w:val="3FA4F24A"/>
    <w:lvl w:ilvl="0" w:tplc="18B0685E">
      <w:start w:val="1"/>
      <w:numFmt w:val="decimal"/>
      <w:lvlText w:val="%1)"/>
      <w:lvlJc w:val="left"/>
      <w:pPr>
        <w:ind w:left="786"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DE36E9E"/>
    <w:multiLevelType w:val="hybridMultilevel"/>
    <w:tmpl w:val="07B88A0A"/>
    <w:lvl w:ilvl="0" w:tplc="1F80CAA4">
      <w:start w:val="1"/>
      <w:numFmt w:val="bullet"/>
      <w:lvlText w:val="•"/>
      <w:lvlJc w:val="left"/>
      <w:pPr>
        <w:tabs>
          <w:tab w:val="num" w:pos="360"/>
        </w:tabs>
        <w:ind w:left="360" w:hanging="360"/>
      </w:pPr>
      <w:rPr>
        <w:rFonts w:ascii="Times New Roman" w:hAnsi="Times New Roman" w:hint="default"/>
      </w:rPr>
    </w:lvl>
    <w:lvl w:ilvl="1" w:tplc="AE98AC70" w:tentative="1">
      <w:start w:val="1"/>
      <w:numFmt w:val="bullet"/>
      <w:lvlText w:val="•"/>
      <w:lvlJc w:val="left"/>
      <w:pPr>
        <w:tabs>
          <w:tab w:val="num" w:pos="1080"/>
        </w:tabs>
        <w:ind w:left="1080" w:hanging="360"/>
      </w:pPr>
      <w:rPr>
        <w:rFonts w:ascii="Times New Roman" w:hAnsi="Times New Roman" w:hint="default"/>
      </w:rPr>
    </w:lvl>
    <w:lvl w:ilvl="2" w:tplc="C83E9CDA" w:tentative="1">
      <w:start w:val="1"/>
      <w:numFmt w:val="bullet"/>
      <w:lvlText w:val="•"/>
      <w:lvlJc w:val="left"/>
      <w:pPr>
        <w:tabs>
          <w:tab w:val="num" w:pos="1800"/>
        </w:tabs>
        <w:ind w:left="1800" w:hanging="360"/>
      </w:pPr>
      <w:rPr>
        <w:rFonts w:ascii="Times New Roman" w:hAnsi="Times New Roman" w:hint="default"/>
      </w:rPr>
    </w:lvl>
    <w:lvl w:ilvl="3" w:tplc="CEF0504C" w:tentative="1">
      <w:start w:val="1"/>
      <w:numFmt w:val="bullet"/>
      <w:lvlText w:val="•"/>
      <w:lvlJc w:val="left"/>
      <w:pPr>
        <w:tabs>
          <w:tab w:val="num" w:pos="2520"/>
        </w:tabs>
        <w:ind w:left="2520" w:hanging="360"/>
      </w:pPr>
      <w:rPr>
        <w:rFonts w:ascii="Times New Roman" w:hAnsi="Times New Roman" w:hint="default"/>
      </w:rPr>
    </w:lvl>
    <w:lvl w:ilvl="4" w:tplc="05389EBA" w:tentative="1">
      <w:start w:val="1"/>
      <w:numFmt w:val="bullet"/>
      <w:lvlText w:val="•"/>
      <w:lvlJc w:val="left"/>
      <w:pPr>
        <w:tabs>
          <w:tab w:val="num" w:pos="3240"/>
        </w:tabs>
        <w:ind w:left="3240" w:hanging="360"/>
      </w:pPr>
      <w:rPr>
        <w:rFonts w:ascii="Times New Roman" w:hAnsi="Times New Roman" w:hint="default"/>
      </w:rPr>
    </w:lvl>
    <w:lvl w:ilvl="5" w:tplc="B54A51C2" w:tentative="1">
      <w:start w:val="1"/>
      <w:numFmt w:val="bullet"/>
      <w:lvlText w:val="•"/>
      <w:lvlJc w:val="left"/>
      <w:pPr>
        <w:tabs>
          <w:tab w:val="num" w:pos="3960"/>
        </w:tabs>
        <w:ind w:left="3960" w:hanging="360"/>
      </w:pPr>
      <w:rPr>
        <w:rFonts w:ascii="Times New Roman" w:hAnsi="Times New Roman" w:hint="default"/>
      </w:rPr>
    </w:lvl>
    <w:lvl w:ilvl="6" w:tplc="E2A8C71C" w:tentative="1">
      <w:start w:val="1"/>
      <w:numFmt w:val="bullet"/>
      <w:lvlText w:val="•"/>
      <w:lvlJc w:val="left"/>
      <w:pPr>
        <w:tabs>
          <w:tab w:val="num" w:pos="4680"/>
        </w:tabs>
        <w:ind w:left="4680" w:hanging="360"/>
      </w:pPr>
      <w:rPr>
        <w:rFonts w:ascii="Times New Roman" w:hAnsi="Times New Roman" w:hint="default"/>
      </w:rPr>
    </w:lvl>
    <w:lvl w:ilvl="7" w:tplc="22F20F98" w:tentative="1">
      <w:start w:val="1"/>
      <w:numFmt w:val="bullet"/>
      <w:lvlText w:val="•"/>
      <w:lvlJc w:val="left"/>
      <w:pPr>
        <w:tabs>
          <w:tab w:val="num" w:pos="5400"/>
        </w:tabs>
        <w:ind w:left="5400" w:hanging="360"/>
      </w:pPr>
      <w:rPr>
        <w:rFonts w:ascii="Times New Roman" w:hAnsi="Times New Roman" w:hint="default"/>
      </w:rPr>
    </w:lvl>
    <w:lvl w:ilvl="8" w:tplc="B504F09C" w:tentative="1">
      <w:start w:val="1"/>
      <w:numFmt w:val="bullet"/>
      <w:lvlText w:val="•"/>
      <w:lvlJc w:val="left"/>
      <w:pPr>
        <w:tabs>
          <w:tab w:val="num" w:pos="6120"/>
        </w:tabs>
        <w:ind w:left="6120" w:hanging="360"/>
      </w:pPr>
      <w:rPr>
        <w:rFonts w:ascii="Times New Roman" w:hAnsi="Times New Roman" w:hint="default"/>
      </w:rPr>
    </w:lvl>
  </w:abstractNum>
  <w:num w:numId="1" w16cid:durableId="1973292597">
    <w:abstractNumId w:val="5"/>
  </w:num>
  <w:num w:numId="2" w16cid:durableId="1925070857">
    <w:abstractNumId w:val="4"/>
  </w:num>
  <w:num w:numId="3" w16cid:durableId="383993399">
    <w:abstractNumId w:val="3"/>
  </w:num>
  <w:num w:numId="4" w16cid:durableId="118689050">
    <w:abstractNumId w:val="4"/>
  </w:num>
  <w:num w:numId="5" w16cid:durableId="751127248">
    <w:abstractNumId w:val="7"/>
  </w:num>
  <w:num w:numId="6" w16cid:durableId="972442839">
    <w:abstractNumId w:val="9"/>
  </w:num>
  <w:num w:numId="7" w16cid:durableId="1350060992">
    <w:abstractNumId w:val="2"/>
  </w:num>
  <w:num w:numId="8" w16cid:durableId="989602777">
    <w:abstractNumId w:val="0"/>
  </w:num>
  <w:num w:numId="9" w16cid:durableId="835535978">
    <w:abstractNumId w:val="8"/>
  </w:num>
  <w:num w:numId="10" w16cid:durableId="1111440756">
    <w:abstractNumId w:val="11"/>
  </w:num>
  <w:num w:numId="11" w16cid:durableId="1805613831">
    <w:abstractNumId w:val="10"/>
  </w:num>
  <w:num w:numId="12" w16cid:durableId="758713893">
    <w:abstractNumId w:val="1"/>
  </w:num>
  <w:num w:numId="13" w16cid:durableId="1650480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BA"/>
    <w:rsid w:val="00014383"/>
    <w:rsid w:val="00017D75"/>
    <w:rsid w:val="000206AD"/>
    <w:rsid w:val="00022AE0"/>
    <w:rsid w:val="000252FD"/>
    <w:rsid w:val="00035D8D"/>
    <w:rsid w:val="0004121B"/>
    <w:rsid w:val="0004222F"/>
    <w:rsid w:val="0004284A"/>
    <w:rsid w:val="000527CC"/>
    <w:rsid w:val="0006531D"/>
    <w:rsid w:val="00071C0B"/>
    <w:rsid w:val="000844F7"/>
    <w:rsid w:val="00091C8C"/>
    <w:rsid w:val="000A614E"/>
    <w:rsid w:val="000A7601"/>
    <w:rsid w:val="000B2B37"/>
    <w:rsid w:val="000B68C1"/>
    <w:rsid w:val="000C0C0E"/>
    <w:rsid w:val="000D1FC4"/>
    <w:rsid w:val="000E20A7"/>
    <w:rsid w:val="000E35CE"/>
    <w:rsid w:val="000E4513"/>
    <w:rsid w:val="000E58A9"/>
    <w:rsid w:val="000E6078"/>
    <w:rsid w:val="000F0A32"/>
    <w:rsid w:val="000F3942"/>
    <w:rsid w:val="000F5885"/>
    <w:rsid w:val="00101B70"/>
    <w:rsid w:val="0010328F"/>
    <w:rsid w:val="00103C5D"/>
    <w:rsid w:val="00105393"/>
    <w:rsid w:val="00107694"/>
    <w:rsid w:val="00107F5F"/>
    <w:rsid w:val="001139B9"/>
    <w:rsid w:val="001164EF"/>
    <w:rsid w:val="00116CF8"/>
    <w:rsid w:val="00123231"/>
    <w:rsid w:val="0013262F"/>
    <w:rsid w:val="00132E9C"/>
    <w:rsid w:val="001333C9"/>
    <w:rsid w:val="00135651"/>
    <w:rsid w:val="00137162"/>
    <w:rsid w:val="00140DC4"/>
    <w:rsid w:val="00142C4A"/>
    <w:rsid w:val="00151B98"/>
    <w:rsid w:val="00151E08"/>
    <w:rsid w:val="00156423"/>
    <w:rsid w:val="00180C79"/>
    <w:rsid w:val="001848FA"/>
    <w:rsid w:val="0019457E"/>
    <w:rsid w:val="001B087C"/>
    <w:rsid w:val="001B5772"/>
    <w:rsid w:val="001C4827"/>
    <w:rsid w:val="001C62D1"/>
    <w:rsid w:val="001C7503"/>
    <w:rsid w:val="001D3527"/>
    <w:rsid w:val="001D3E52"/>
    <w:rsid w:val="001D4335"/>
    <w:rsid w:val="001E10EF"/>
    <w:rsid w:val="001E4D58"/>
    <w:rsid w:val="002110D9"/>
    <w:rsid w:val="002127EE"/>
    <w:rsid w:val="0021527E"/>
    <w:rsid w:val="00216C15"/>
    <w:rsid w:val="00216F68"/>
    <w:rsid w:val="00217E89"/>
    <w:rsid w:val="00222A87"/>
    <w:rsid w:val="00222BC3"/>
    <w:rsid w:val="0023468A"/>
    <w:rsid w:val="00237231"/>
    <w:rsid w:val="00240075"/>
    <w:rsid w:val="00257BD0"/>
    <w:rsid w:val="00261A3A"/>
    <w:rsid w:val="00265024"/>
    <w:rsid w:val="002819EC"/>
    <w:rsid w:val="00282FB5"/>
    <w:rsid w:val="00285B9E"/>
    <w:rsid w:val="00292584"/>
    <w:rsid w:val="00292C90"/>
    <w:rsid w:val="00296F5C"/>
    <w:rsid w:val="002A6674"/>
    <w:rsid w:val="002A7138"/>
    <w:rsid w:val="002B4371"/>
    <w:rsid w:val="002B473E"/>
    <w:rsid w:val="002B4862"/>
    <w:rsid w:val="002C237C"/>
    <w:rsid w:val="002C2480"/>
    <w:rsid w:val="002D012A"/>
    <w:rsid w:val="002D05D0"/>
    <w:rsid w:val="002D1F52"/>
    <w:rsid w:val="002D2F35"/>
    <w:rsid w:val="002D679D"/>
    <w:rsid w:val="002E4BE3"/>
    <w:rsid w:val="002F2C3C"/>
    <w:rsid w:val="002F7B3B"/>
    <w:rsid w:val="00303159"/>
    <w:rsid w:val="00307B4A"/>
    <w:rsid w:val="00310B62"/>
    <w:rsid w:val="0032489F"/>
    <w:rsid w:val="00324922"/>
    <w:rsid w:val="00326FA5"/>
    <w:rsid w:val="00327FA8"/>
    <w:rsid w:val="003346F8"/>
    <w:rsid w:val="003434B5"/>
    <w:rsid w:val="00346CB1"/>
    <w:rsid w:val="003551DE"/>
    <w:rsid w:val="003674E6"/>
    <w:rsid w:val="003808CD"/>
    <w:rsid w:val="00382830"/>
    <w:rsid w:val="00390B04"/>
    <w:rsid w:val="00390E1A"/>
    <w:rsid w:val="00392EAF"/>
    <w:rsid w:val="00393098"/>
    <w:rsid w:val="003A0293"/>
    <w:rsid w:val="003A2EAB"/>
    <w:rsid w:val="003A4D74"/>
    <w:rsid w:val="003B1C4A"/>
    <w:rsid w:val="003B22B8"/>
    <w:rsid w:val="003B7891"/>
    <w:rsid w:val="003C3D96"/>
    <w:rsid w:val="003C6D34"/>
    <w:rsid w:val="003D0E48"/>
    <w:rsid w:val="003D20EE"/>
    <w:rsid w:val="003D6581"/>
    <w:rsid w:val="003D7FE4"/>
    <w:rsid w:val="003E095A"/>
    <w:rsid w:val="003E2337"/>
    <w:rsid w:val="003E464A"/>
    <w:rsid w:val="003F05B6"/>
    <w:rsid w:val="003F5CE9"/>
    <w:rsid w:val="003F72B9"/>
    <w:rsid w:val="004110CB"/>
    <w:rsid w:val="00416F88"/>
    <w:rsid w:val="00425E9B"/>
    <w:rsid w:val="00433191"/>
    <w:rsid w:val="004341AE"/>
    <w:rsid w:val="00435987"/>
    <w:rsid w:val="00441044"/>
    <w:rsid w:val="00455FCF"/>
    <w:rsid w:val="004610C6"/>
    <w:rsid w:val="00461635"/>
    <w:rsid w:val="00465DE9"/>
    <w:rsid w:val="0047244D"/>
    <w:rsid w:val="00474C89"/>
    <w:rsid w:val="00475136"/>
    <w:rsid w:val="00480ECC"/>
    <w:rsid w:val="004872BE"/>
    <w:rsid w:val="004923AB"/>
    <w:rsid w:val="00493000"/>
    <w:rsid w:val="004933F6"/>
    <w:rsid w:val="0049561D"/>
    <w:rsid w:val="004959AE"/>
    <w:rsid w:val="00496B00"/>
    <w:rsid w:val="004A480B"/>
    <w:rsid w:val="004A6DE5"/>
    <w:rsid w:val="004C4017"/>
    <w:rsid w:val="004C78CD"/>
    <w:rsid w:val="004D0E04"/>
    <w:rsid w:val="004E44FF"/>
    <w:rsid w:val="004E6394"/>
    <w:rsid w:val="004E6B77"/>
    <w:rsid w:val="004F7FE3"/>
    <w:rsid w:val="00502B3E"/>
    <w:rsid w:val="00514196"/>
    <w:rsid w:val="00515207"/>
    <w:rsid w:val="00515E55"/>
    <w:rsid w:val="00517C24"/>
    <w:rsid w:val="00522FAC"/>
    <w:rsid w:val="00523D3D"/>
    <w:rsid w:val="00527D0D"/>
    <w:rsid w:val="005314AA"/>
    <w:rsid w:val="00532473"/>
    <w:rsid w:val="00541FF6"/>
    <w:rsid w:val="0054523B"/>
    <w:rsid w:val="00551AE3"/>
    <w:rsid w:val="005676CC"/>
    <w:rsid w:val="00567A4D"/>
    <w:rsid w:val="00567A6F"/>
    <w:rsid w:val="005718AA"/>
    <w:rsid w:val="00593A86"/>
    <w:rsid w:val="00597256"/>
    <w:rsid w:val="00597477"/>
    <w:rsid w:val="005B7D2F"/>
    <w:rsid w:val="005D05A4"/>
    <w:rsid w:val="005D05B4"/>
    <w:rsid w:val="005D421D"/>
    <w:rsid w:val="005D55AC"/>
    <w:rsid w:val="005E15CC"/>
    <w:rsid w:val="005E6A60"/>
    <w:rsid w:val="005F44D8"/>
    <w:rsid w:val="00604504"/>
    <w:rsid w:val="00621EDA"/>
    <w:rsid w:val="00627731"/>
    <w:rsid w:val="0063180A"/>
    <w:rsid w:val="00632EB8"/>
    <w:rsid w:val="00641946"/>
    <w:rsid w:val="00652DD2"/>
    <w:rsid w:val="00655C06"/>
    <w:rsid w:val="00655ECA"/>
    <w:rsid w:val="00663415"/>
    <w:rsid w:val="006644D0"/>
    <w:rsid w:val="00666E1B"/>
    <w:rsid w:val="006737E1"/>
    <w:rsid w:val="006847F6"/>
    <w:rsid w:val="006853F7"/>
    <w:rsid w:val="00686C6E"/>
    <w:rsid w:val="006952DB"/>
    <w:rsid w:val="006A473F"/>
    <w:rsid w:val="006B515B"/>
    <w:rsid w:val="006C4F1C"/>
    <w:rsid w:val="006D3C8A"/>
    <w:rsid w:val="006D6092"/>
    <w:rsid w:val="0070552F"/>
    <w:rsid w:val="00711812"/>
    <w:rsid w:val="007123DD"/>
    <w:rsid w:val="007254BD"/>
    <w:rsid w:val="007269DC"/>
    <w:rsid w:val="007438A0"/>
    <w:rsid w:val="00745E04"/>
    <w:rsid w:val="00750B6D"/>
    <w:rsid w:val="00755FB9"/>
    <w:rsid w:val="00761B3E"/>
    <w:rsid w:val="00776EAB"/>
    <w:rsid w:val="00787C1E"/>
    <w:rsid w:val="00794302"/>
    <w:rsid w:val="007A01C5"/>
    <w:rsid w:val="007A3F7B"/>
    <w:rsid w:val="007B0E80"/>
    <w:rsid w:val="007B24E4"/>
    <w:rsid w:val="007B43B6"/>
    <w:rsid w:val="007C3DDA"/>
    <w:rsid w:val="007D3939"/>
    <w:rsid w:val="007E2001"/>
    <w:rsid w:val="007E314F"/>
    <w:rsid w:val="007F45B3"/>
    <w:rsid w:val="008015FC"/>
    <w:rsid w:val="008038EF"/>
    <w:rsid w:val="008078A1"/>
    <w:rsid w:val="00810AAC"/>
    <w:rsid w:val="008155E9"/>
    <w:rsid w:val="00815FFD"/>
    <w:rsid w:val="00816F80"/>
    <w:rsid w:val="008313E2"/>
    <w:rsid w:val="00831EA4"/>
    <w:rsid w:val="00836FD3"/>
    <w:rsid w:val="008447D9"/>
    <w:rsid w:val="008457A8"/>
    <w:rsid w:val="0085001C"/>
    <w:rsid w:val="00850D4E"/>
    <w:rsid w:val="00851192"/>
    <w:rsid w:val="008516A4"/>
    <w:rsid w:val="008517BC"/>
    <w:rsid w:val="00854C47"/>
    <w:rsid w:val="00856EE5"/>
    <w:rsid w:val="00862732"/>
    <w:rsid w:val="00863DF4"/>
    <w:rsid w:val="00866686"/>
    <w:rsid w:val="00874C9F"/>
    <w:rsid w:val="00884416"/>
    <w:rsid w:val="008B736E"/>
    <w:rsid w:val="008B7BA0"/>
    <w:rsid w:val="008E015C"/>
    <w:rsid w:val="008E425D"/>
    <w:rsid w:val="008E440E"/>
    <w:rsid w:val="008E6FF6"/>
    <w:rsid w:val="008F4106"/>
    <w:rsid w:val="008F4FFC"/>
    <w:rsid w:val="008F7C6B"/>
    <w:rsid w:val="009028ED"/>
    <w:rsid w:val="0090476F"/>
    <w:rsid w:val="0091201F"/>
    <w:rsid w:val="009120F6"/>
    <w:rsid w:val="00915F2F"/>
    <w:rsid w:val="00924385"/>
    <w:rsid w:val="0092478D"/>
    <w:rsid w:val="00924805"/>
    <w:rsid w:val="00926656"/>
    <w:rsid w:val="00926B3B"/>
    <w:rsid w:val="009304C1"/>
    <w:rsid w:val="009330A1"/>
    <w:rsid w:val="00934244"/>
    <w:rsid w:val="0093550E"/>
    <w:rsid w:val="00935C65"/>
    <w:rsid w:val="009519DD"/>
    <w:rsid w:val="00951C13"/>
    <w:rsid w:val="00955BC6"/>
    <w:rsid w:val="009561FB"/>
    <w:rsid w:val="00967CF2"/>
    <w:rsid w:val="00974BFA"/>
    <w:rsid w:val="00974E99"/>
    <w:rsid w:val="00976F67"/>
    <w:rsid w:val="009772CE"/>
    <w:rsid w:val="0098552D"/>
    <w:rsid w:val="00991CF4"/>
    <w:rsid w:val="009A1295"/>
    <w:rsid w:val="009B0EF3"/>
    <w:rsid w:val="009C44DB"/>
    <w:rsid w:val="009C5F9D"/>
    <w:rsid w:val="009C705E"/>
    <w:rsid w:val="009D0D91"/>
    <w:rsid w:val="009D55B1"/>
    <w:rsid w:val="009E2CD6"/>
    <w:rsid w:val="009E3FBA"/>
    <w:rsid w:val="009E76F2"/>
    <w:rsid w:val="009F3BC9"/>
    <w:rsid w:val="009F4BCF"/>
    <w:rsid w:val="00A02A09"/>
    <w:rsid w:val="00A177B0"/>
    <w:rsid w:val="00A20C5A"/>
    <w:rsid w:val="00A21C71"/>
    <w:rsid w:val="00A3037D"/>
    <w:rsid w:val="00A32393"/>
    <w:rsid w:val="00A46090"/>
    <w:rsid w:val="00A675CD"/>
    <w:rsid w:val="00A703DB"/>
    <w:rsid w:val="00A75BAE"/>
    <w:rsid w:val="00A82884"/>
    <w:rsid w:val="00A85F7B"/>
    <w:rsid w:val="00A87B4F"/>
    <w:rsid w:val="00A90CCC"/>
    <w:rsid w:val="00AA0D8A"/>
    <w:rsid w:val="00AA12C2"/>
    <w:rsid w:val="00AA701E"/>
    <w:rsid w:val="00AC0A23"/>
    <w:rsid w:val="00AC26A4"/>
    <w:rsid w:val="00AE56FC"/>
    <w:rsid w:val="00AE5C78"/>
    <w:rsid w:val="00AE62F7"/>
    <w:rsid w:val="00AF65B8"/>
    <w:rsid w:val="00B001C7"/>
    <w:rsid w:val="00B004E2"/>
    <w:rsid w:val="00B03395"/>
    <w:rsid w:val="00B10420"/>
    <w:rsid w:val="00B14473"/>
    <w:rsid w:val="00B16F38"/>
    <w:rsid w:val="00B247DD"/>
    <w:rsid w:val="00B32680"/>
    <w:rsid w:val="00B60011"/>
    <w:rsid w:val="00B60CF5"/>
    <w:rsid w:val="00B63A13"/>
    <w:rsid w:val="00B64128"/>
    <w:rsid w:val="00B67D6F"/>
    <w:rsid w:val="00B726D9"/>
    <w:rsid w:val="00B84247"/>
    <w:rsid w:val="00B91D4A"/>
    <w:rsid w:val="00B96B9B"/>
    <w:rsid w:val="00BA123F"/>
    <w:rsid w:val="00BA7B16"/>
    <w:rsid w:val="00BC4C88"/>
    <w:rsid w:val="00BC685A"/>
    <w:rsid w:val="00BC7795"/>
    <w:rsid w:val="00BD0062"/>
    <w:rsid w:val="00BD42E8"/>
    <w:rsid w:val="00BD7C57"/>
    <w:rsid w:val="00BE5FE9"/>
    <w:rsid w:val="00BF0683"/>
    <w:rsid w:val="00BF6839"/>
    <w:rsid w:val="00BF76A6"/>
    <w:rsid w:val="00C058D3"/>
    <w:rsid w:val="00C114D3"/>
    <w:rsid w:val="00C11687"/>
    <w:rsid w:val="00C11C65"/>
    <w:rsid w:val="00C15EB8"/>
    <w:rsid w:val="00C21226"/>
    <w:rsid w:val="00C27EB7"/>
    <w:rsid w:val="00C3309C"/>
    <w:rsid w:val="00C3671D"/>
    <w:rsid w:val="00C3783A"/>
    <w:rsid w:val="00C53FD6"/>
    <w:rsid w:val="00C6469D"/>
    <w:rsid w:val="00C66032"/>
    <w:rsid w:val="00C6764B"/>
    <w:rsid w:val="00C76892"/>
    <w:rsid w:val="00C77B39"/>
    <w:rsid w:val="00CA020C"/>
    <w:rsid w:val="00CA0929"/>
    <w:rsid w:val="00CA109C"/>
    <w:rsid w:val="00CB0BAA"/>
    <w:rsid w:val="00CB2DB0"/>
    <w:rsid w:val="00CB6AF1"/>
    <w:rsid w:val="00CC1105"/>
    <w:rsid w:val="00CC1E2D"/>
    <w:rsid w:val="00CD2357"/>
    <w:rsid w:val="00CD370B"/>
    <w:rsid w:val="00CE488B"/>
    <w:rsid w:val="00CF1C0D"/>
    <w:rsid w:val="00CF5BF9"/>
    <w:rsid w:val="00D03C7A"/>
    <w:rsid w:val="00D15C4F"/>
    <w:rsid w:val="00D33388"/>
    <w:rsid w:val="00D36662"/>
    <w:rsid w:val="00D42C35"/>
    <w:rsid w:val="00D57E70"/>
    <w:rsid w:val="00D653EB"/>
    <w:rsid w:val="00D71F95"/>
    <w:rsid w:val="00D752A7"/>
    <w:rsid w:val="00D76A6B"/>
    <w:rsid w:val="00D81EE7"/>
    <w:rsid w:val="00D84750"/>
    <w:rsid w:val="00D85B28"/>
    <w:rsid w:val="00D921E1"/>
    <w:rsid w:val="00D96F63"/>
    <w:rsid w:val="00DA099F"/>
    <w:rsid w:val="00DA7209"/>
    <w:rsid w:val="00DA7B26"/>
    <w:rsid w:val="00DA7E80"/>
    <w:rsid w:val="00DB0DE5"/>
    <w:rsid w:val="00DB130E"/>
    <w:rsid w:val="00DB3E64"/>
    <w:rsid w:val="00DC1E4F"/>
    <w:rsid w:val="00DC2EAF"/>
    <w:rsid w:val="00DC32FA"/>
    <w:rsid w:val="00DC6221"/>
    <w:rsid w:val="00DD646B"/>
    <w:rsid w:val="00DD758C"/>
    <w:rsid w:val="00DE0EF7"/>
    <w:rsid w:val="00DE6030"/>
    <w:rsid w:val="00E13588"/>
    <w:rsid w:val="00E16D0D"/>
    <w:rsid w:val="00E31FD1"/>
    <w:rsid w:val="00E37290"/>
    <w:rsid w:val="00E45B7C"/>
    <w:rsid w:val="00E67987"/>
    <w:rsid w:val="00E72448"/>
    <w:rsid w:val="00E747CA"/>
    <w:rsid w:val="00E76ABA"/>
    <w:rsid w:val="00E772D0"/>
    <w:rsid w:val="00E776EC"/>
    <w:rsid w:val="00E81FD4"/>
    <w:rsid w:val="00E8493C"/>
    <w:rsid w:val="00E9480E"/>
    <w:rsid w:val="00E956A0"/>
    <w:rsid w:val="00E956F1"/>
    <w:rsid w:val="00E96686"/>
    <w:rsid w:val="00E96F84"/>
    <w:rsid w:val="00EB046E"/>
    <w:rsid w:val="00EB4CD5"/>
    <w:rsid w:val="00EB5932"/>
    <w:rsid w:val="00ED06BA"/>
    <w:rsid w:val="00EE33A2"/>
    <w:rsid w:val="00EE3AD4"/>
    <w:rsid w:val="00EF0384"/>
    <w:rsid w:val="00EF594B"/>
    <w:rsid w:val="00F03D47"/>
    <w:rsid w:val="00F103E0"/>
    <w:rsid w:val="00F106CB"/>
    <w:rsid w:val="00F115A7"/>
    <w:rsid w:val="00F13BCA"/>
    <w:rsid w:val="00F168D9"/>
    <w:rsid w:val="00F25761"/>
    <w:rsid w:val="00F31CA9"/>
    <w:rsid w:val="00F34D61"/>
    <w:rsid w:val="00F350EC"/>
    <w:rsid w:val="00F46EAF"/>
    <w:rsid w:val="00F578FA"/>
    <w:rsid w:val="00F60B9D"/>
    <w:rsid w:val="00F61C83"/>
    <w:rsid w:val="00F664D4"/>
    <w:rsid w:val="00F72E44"/>
    <w:rsid w:val="00F762BD"/>
    <w:rsid w:val="00F824D7"/>
    <w:rsid w:val="00F83D4C"/>
    <w:rsid w:val="00F85842"/>
    <w:rsid w:val="00F85C97"/>
    <w:rsid w:val="00F94307"/>
    <w:rsid w:val="00F95BA2"/>
    <w:rsid w:val="00FA03BF"/>
    <w:rsid w:val="00FA7CBA"/>
    <w:rsid w:val="00FC6105"/>
    <w:rsid w:val="00FD04CD"/>
    <w:rsid w:val="00FD7D71"/>
    <w:rsid w:val="00FE0345"/>
    <w:rsid w:val="00FE202F"/>
    <w:rsid w:val="00FE41AE"/>
    <w:rsid w:val="00FE4396"/>
    <w:rsid w:val="00FF5AB2"/>
    <w:rsid w:val="00FF6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524B3"/>
  <w15:chartTrackingRefBased/>
  <w15:docId w15:val="{E9AE0EA9-F046-488F-B259-7E80C063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795"/>
    <w:pPr>
      <w:spacing w:after="0" w:line="240" w:lineRule="atLeast"/>
    </w:pPr>
    <w:rPr>
      <w:rFonts w:ascii="Verdana" w:hAnsi="Verdana"/>
      <w:sz w:val="18"/>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link w:val="GeenafstandChar"/>
    <w:uiPriority w:val="1"/>
    <w:qFormat/>
    <w:rsid w:val="000E4513"/>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951C13"/>
    <w:rPr>
      <w:sz w:val="16"/>
      <w:szCs w:val="16"/>
    </w:rPr>
  </w:style>
  <w:style w:type="paragraph" w:styleId="Tekstopmerking">
    <w:name w:val="annotation text"/>
    <w:basedOn w:val="Standaard"/>
    <w:link w:val="TekstopmerkingChar"/>
    <w:uiPriority w:val="99"/>
    <w:unhideWhenUsed/>
    <w:rsid w:val="00951C13"/>
    <w:pPr>
      <w:spacing w:line="240" w:lineRule="auto"/>
    </w:pPr>
    <w:rPr>
      <w:sz w:val="20"/>
      <w:szCs w:val="20"/>
    </w:rPr>
  </w:style>
  <w:style w:type="character" w:customStyle="1" w:styleId="TekstopmerkingChar">
    <w:name w:val="Tekst opmerking Char"/>
    <w:basedOn w:val="Standaardalinea-lettertype"/>
    <w:link w:val="Tekstopmerking"/>
    <w:uiPriority w:val="99"/>
    <w:rsid w:val="00951C13"/>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951C13"/>
    <w:rPr>
      <w:b/>
      <w:bCs/>
    </w:rPr>
  </w:style>
  <w:style w:type="character" w:customStyle="1" w:styleId="OnderwerpvanopmerkingChar">
    <w:name w:val="Onderwerp van opmerking Char"/>
    <w:basedOn w:val="TekstopmerkingChar"/>
    <w:link w:val="Onderwerpvanopmerking"/>
    <w:uiPriority w:val="99"/>
    <w:semiHidden/>
    <w:rsid w:val="00951C13"/>
    <w:rPr>
      <w:rFonts w:ascii="Verdana" w:hAnsi="Verdana"/>
      <w:b/>
      <w:bCs/>
      <w:sz w:val="20"/>
      <w:szCs w:val="20"/>
    </w:rPr>
  </w:style>
  <w:style w:type="paragraph" w:styleId="Ballontekst">
    <w:name w:val="Balloon Text"/>
    <w:basedOn w:val="Standaard"/>
    <w:link w:val="BallontekstChar"/>
    <w:uiPriority w:val="99"/>
    <w:semiHidden/>
    <w:unhideWhenUsed/>
    <w:rsid w:val="00951C13"/>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51C13"/>
    <w:rPr>
      <w:rFonts w:ascii="Segoe UI" w:hAnsi="Segoe UI" w:cs="Segoe UI"/>
      <w:sz w:val="18"/>
      <w:szCs w:val="18"/>
    </w:rPr>
  </w:style>
  <w:style w:type="paragraph" w:styleId="Voetnoottekst">
    <w:name w:val="footnote text"/>
    <w:basedOn w:val="Standaard"/>
    <w:link w:val="VoetnoottekstChar"/>
    <w:uiPriority w:val="99"/>
    <w:semiHidden/>
    <w:unhideWhenUsed/>
    <w:rsid w:val="00E8493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8493C"/>
    <w:rPr>
      <w:rFonts w:ascii="Verdana" w:hAnsi="Verdana"/>
      <w:sz w:val="20"/>
      <w:szCs w:val="20"/>
    </w:rPr>
  </w:style>
  <w:style w:type="character" w:styleId="Voetnootmarkering">
    <w:name w:val="footnote reference"/>
    <w:basedOn w:val="Standaardalinea-lettertype"/>
    <w:uiPriority w:val="99"/>
    <w:semiHidden/>
    <w:unhideWhenUsed/>
    <w:rsid w:val="00E8493C"/>
    <w:rPr>
      <w:vertAlign w:val="superscript"/>
    </w:rPr>
  </w:style>
  <w:style w:type="character" w:customStyle="1" w:styleId="GeenafstandChar">
    <w:name w:val="Geen afstand Char"/>
    <w:link w:val="Geenafstand"/>
    <w:uiPriority w:val="1"/>
    <w:rsid w:val="00866686"/>
    <w:rPr>
      <w:rFonts w:ascii="Verdana" w:hAnsi="Verdana"/>
      <w:sz w:val="18"/>
    </w:rPr>
  </w:style>
  <w:style w:type="table" w:styleId="Tabelraster">
    <w:name w:val="Table Grid"/>
    <w:basedOn w:val="Standaardtabel"/>
    <w:uiPriority w:val="39"/>
    <w:rsid w:val="00866686"/>
    <w:pPr>
      <w:spacing w:after="0" w:line="240" w:lineRule="auto"/>
    </w:pPr>
    <w:rPr>
      <w:rFonts w:ascii="Verdana" w:hAnsi="Verdana"/>
      <w:sz w:val="18"/>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A48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A480B"/>
    <w:rPr>
      <w:rFonts w:ascii="Verdana" w:hAnsi="Verdana"/>
      <w:sz w:val="18"/>
    </w:rPr>
  </w:style>
  <w:style w:type="paragraph" w:styleId="Voettekst">
    <w:name w:val="footer"/>
    <w:basedOn w:val="Standaard"/>
    <w:link w:val="VoettekstChar"/>
    <w:uiPriority w:val="99"/>
    <w:unhideWhenUsed/>
    <w:rsid w:val="004A48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A480B"/>
    <w:rPr>
      <w:rFonts w:ascii="Verdana" w:hAnsi="Verdana"/>
      <w:sz w:val="18"/>
    </w:rPr>
  </w:style>
  <w:style w:type="character" w:styleId="Hyperlink">
    <w:name w:val="Hyperlink"/>
    <w:basedOn w:val="Standaardalinea-lettertype"/>
    <w:uiPriority w:val="99"/>
    <w:unhideWhenUsed/>
    <w:rsid w:val="00BC685A"/>
    <w:rPr>
      <w:color w:val="0000FF" w:themeColor="hyperlink"/>
      <w:u w:val="single"/>
    </w:rPr>
  </w:style>
  <w:style w:type="character" w:customStyle="1" w:styleId="Onopgelostemelding1">
    <w:name w:val="Onopgeloste melding1"/>
    <w:basedOn w:val="Standaardalinea-lettertype"/>
    <w:uiPriority w:val="99"/>
    <w:semiHidden/>
    <w:unhideWhenUsed/>
    <w:rsid w:val="00BC685A"/>
    <w:rPr>
      <w:color w:val="605E5C"/>
      <w:shd w:val="clear" w:color="auto" w:fill="E1DFDD"/>
    </w:rPr>
  </w:style>
  <w:style w:type="character" w:styleId="GevolgdeHyperlink">
    <w:name w:val="FollowedHyperlink"/>
    <w:basedOn w:val="Standaardalinea-lettertype"/>
    <w:uiPriority w:val="99"/>
    <w:semiHidden/>
    <w:unhideWhenUsed/>
    <w:rsid w:val="00BC685A"/>
    <w:rPr>
      <w:color w:val="800080" w:themeColor="followedHyperlink"/>
      <w:u w:val="single"/>
    </w:rPr>
  </w:style>
  <w:style w:type="table" w:customStyle="1" w:styleId="AanvraagformulierICTmidelentabel">
    <w:name w:val="Aanvraagformulier ICT midelen tabel"/>
    <w:rsid w:val="00142C4A"/>
    <w:pPr>
      <w:autoSpaceDN w:val="0"/>
      <w:spacing w:after="0" w:line="240" w:lineRule="auto"/>
      <w:textAlignment w:val="baseline"/>
    </w:pPr>
    <w:rPr>
      <w:rFonts w:ascii="Verdana" w:eastAsia="DejaVu Sans" w:hAnsi="Verdana" w:cs="Lohit Hindi"/>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styleId="Revisie">
    <w:name w:val="Revision"/>
    <w:hidden/>
    <w:uiPriority w:val="99"/>
    <w:semiHidden/>
    <w:rsid w:val="00C3671D"/>
    <w:pPr>
      <w:spacing w:after="0" w:line="240" w:lineRule="auto"/>
    </w:pPr>
    <w:rPr>
      <w:rFonts w:ascii="Verdana" w:hAnsi="Verdana"/>
      <w:sz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rsid w:val="00686C6E"/>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6097">
      <w:bodyDiv w:val="1"/>
      <w:marLeft w:val="0"/>
      <w:marRight w:val="0"/>
      <w:marTop w:val="0"/>
      <w:marBottom w:val="0"/>
      <w:divBdr>
        <w:top w:val="none" w:sz="0" w:space="0" w:color="auto"/>
        <w:left w:val="none" w:sz="0" w:space="0" w:color="auto"/>
        <w:bottom w:val="none" w:sz="0" w:space="0" w:color="auto"/>
        <w:right w:val="none" w:sz="0" w:space="0" w:color="auto"/>
      </w:divBdr>
    </w:div>
    <w:div w:id="262153732">
      <w:bodyDiv w:val="1"/>
      <w:marLeft w:val="0"/>
      <w:marRight w:val="0"/>
      <w:marTop w:val="0"/>
      <w:marBottom w:val="0"/>
      <w:divBdr>
        <w:top w:val="none" w:sz="0" w:space="0" w:color="auto"/>
        <w:left w:val="none" w:sz="0" w:space="0" w:color="auto"/>
        <w:bottom w:val="none" w:sz="0" w:space="0" w:color="auto"/>
        <w:right w:val="none" w:sz="0" w:space="0" w:color="auto"/>
      </w:divBdr>
    </w:div>
    <w:div w:id="382603128">
      <w:bodyDiv w:val="1"/>
      <w:marLeft w:val="0"/>
      <w:marRight w:val="0"/>
      <w:marTop w:val="0"/>
      <w:marBottom w:val="0"/>
      <w:divBdr>
        <w:top w:val="none" w:sz="0" w:space="0" w:color="auto"/>
        <w:left w:val="none" w:sz="0" w:space="0" w:color="auto"/>
        <w:bottom w:val="none" w:sz="0" w:space="0" w:color="auto"/>
        <w:right w:val="none" w:sz="0" w:space="0" w:color="auto"/>
      </w:divBdr>
    </w:div>
    <w:div w:id="463041820">
      <w:bodyDiv w:val="1"/>
      <w:marLeft w:val="0"/>
      <w:marRight w:val="0"/>
      <w:marTop w:val="0"/>
      <w:marBottom w:val="0"/>
      <w:divBdr>
        <w:top w:val="none" w:sz="0" w:space="0" w:color="auto"/>
        <w:left w:val="none" w:sz="0" w:space="0" w:color="auto"/>
        <w:bottom w:val="none" w:sz="0" w:space="0" w:color="auto"/>
        <w:right w:val="none" w:sz="0" w:space="0" w:color="auto"/>
      </w:divBdr>
    </w:div>
    <w:div w:id="724262342">
      <w:bodyDiv w:val="1"/>
      <w:marLeft w:val="0"/>
      <w:marRight w:val="0"/>
      <w:marTop w:val="0"/>
      <w:marBottom w:val="0"/>
      <w:divBdr>
        <w:top w:val="none" w:sz="0" w:space="0" w:color="auto"/>
        <w:left w:val="none" w:sz="0" w:space="0" w:color="auto"/>
        <w:bottom w:val="none" w:sz="0" w:space="0" w:color="auto"/>
        <w:right w:val="none" w:sz="0" w:space="0" w:color="auto"/>
      </w:divBdr>
      <w:divsChild>
        <w:div w:id="199167391">
          <w:marLeft w:val="547"/>
          <w:marRight w:val="0"/>
          <w:marTop w:val="0"/>
          <w:marBottom w:val="0"/>
          <w:divBdr>
            <w:top w:val="none" w:sz="0" w:space="0" w:color="auto"/>
            <w:left w:val="none" w:sz="0" w:space="0" w:color="auto"/>
            <w:bottom w:val="none" w:sz="0" w:space="0" w:color="auto"/>
            <w:right w:val="none" w:sz="0" w:space="0" w:color="auto"/>
          </w:divBdr>
        </w:div>
      </w:divsChild>
    </w:div>
    <w:div w:id="808518259">
      <w:bodyDiv w:val="1"/>
      <w:marLeft w:val="0"/>
      <w:marRight w:val="0"/>
      <w:marTop w:val="0"/>
      <w:marBottom w:val="0"/>
      <w:divBdr>
        <w:top w:val="none" w:sz="0" w:space="0" w:color="auto"/>
        <w:left w:val="none" w:sz="0" w:space="0" w:color="auto"/>
        <w:bottom w:val="none" w:sz="0" w:space="0" w:color="auto"/>
        <w:right w:val="none" w:sz="0" w:space="0" w:color="auto"/>
      </w:divBdr>
      <w:divsChild>
        <w:div w:id="2042239446">
          <w:marLeft w:val="547"/>
          <w:marRight w:val="0"/>
          <w:marTop w:val="0"/>
          <w:marBottom w:val="0"/>
          <w:divBdr>
            <w:top w:val="none" w:sz="0" w:space="0" w:color="auto"/>
            <w:left w:val="none" w:sz="0" w:space="0" w:color="auto"/>
            <w:bottom w:val="none" w:sz="0" w:space="0" w:color="auto"/>
            <w:right w:val="none" w:sz="0" w:space="0" w:color="auto"/>
          </w:divBdr>
        </w:div>
      </w:divsChild>
    </w:div>
    <w:div w:id="1011421031">
      <w:bodyDiv w:val="1"/>
      <w:marLeft w:val="0"/>
      <w:marRight w:val="0"/>
      <w:marTop w:val="0"/>
      <w:marBottom w:val="0"/>
      <w:divBdr>
        <w:top w:val="none" w:sz="0" w:space="0" w:color="auto"/>
        <w:left w:val="none" w:sz="0" w:space="0" w:color="auto"/>
        <w:bottom w:val="none" w:sz="0" w:space="0" w:color="auto"/>
        <w:right w:val="none" w:sz="0" w:space="0" w:color="auto"/>
      </w:divBdr>
    </w:div>
    <w:div w:id="1040670057">
      <w:bodyDiv w:val="1"/>
      <w:marLeft w:val="0"/>
      <w:marRight w:val="0"/>
      <w:marTop w:val="0"/>
      <w:marBottom w:val="0"/>
      <w:divBdr>
        <w:top w:val="none" w:sz="0" w:space="0" w:color="auto"/>
        <w:left w:val="none" w:sz="0" w:space="0" w:color="auto"/>
        <w:bottom w:val="none" w:sz="0" w:space="0" w:color="auto"/>
        <w:right w:val="none" w:sz="0" w:space="0" w:color="auto"/>
      </w:divBdr>
    </w:div>
    <w:div w:id="1239318404">
      <w:bodyDiv w:val="1"/>
      <w:marLeft w:val="0"/>
      <w:marRight w:val="0"/>
      <w:marTop w:val="0"/>
      <w:marBottom w:val="0"/>
      <w:divBdr>
        <w:top w:val="none" w:sz="0" w:space="0" w:color="auto"/>
        <w:left w:val="none" w:sz="0" w:space="0" w:color="auto"/>
        <w:bottom w:val="none" w:sz="0" w:space="0" w:color="auto"/>
        <w:right w:val="none" w:sz="0" w:space="0" w:color="auto"/>
      </w:divBdr>
    </w:div>
    <w:div w:id="1440107188">
      <w:bodyDiv w:val="1"/>
      <w:marLeft w:val="0"/>
      <w:marRight w:val="0"/>
      <w:marTop w:val="0"/>
      <w:marBottom w:val="0"/>
      <w:divBdr>
        <w:top w:val="none" w:sz="0" w:space="0" w:color="auto"/>
        <w:left w:val="none" w:sz="0" w:space="0" w:color="auto"/>
        <w:bottom w:val="none" w:sz="0" w:space="0" w:color="auto"/>
        <w:right w:val="none" w:sz="0" w:space="0" w:color="auto"/>
      </w:divBdr>
    </w:div>
    <w:div w:id="1443576635">
      <w:bodyDiv w:val="1"/>
      <w:marLeft w:val="0"/>
      <w:marRight w:val="0"/>
      <w:marTop w:val="0"/>
      <w:marBottom w:val="0"/>
      <w:divBdr>
        <w:top w:val="none" w:sz="0" w:space="0" w:color="auto"/>
        <w:left w:val="none" w:sz="0" w:space="0" w:color="auto"/>
        <w:bottom w:val="none" w:sz="0" w:space="0" w:color="auto"/>
        <w:right w:val="none" w:sz="0" w:space="0" w:color="auto"/>
      </w:divBdr>
    </w:div>
    <w:div w:id="1461145638">
      <w:bodyDiv w:val="1"/>
      <w:marLeft w:val="0"/>
      <w:marRight w:val="0"/>
      <w:marTop w:val="0"/>
      <w:marBottom w:val="0"/>
      <w:divBdr>
        <w:top w:val="none" w:sz="0" w:space="0" w:color="auto"/>
        <w:left w:val="none" w:sz="0" w:space="0" w:color="auto"/>
        <w:bottom w:val="none" w:sz="0" w:space="0" w:color="auto"/>
        <w:right w:val="none" w:sz="0" w:space="0" w:color="auto"/>
      </w:divBdr>
    </w:div>
    <w:div w:id="1529413773">
      <w:bodyDiv w:val="1"/>
      <w:marLeft w:val="0"/>
      <w:marRight w:val="0"/>
      <w:marTop w:val="0"/>
      <w:marBottom w:val="0"/>
      <w:divBdr>
        <w:top w:val="none" w:sz="0" w:space="0" w:color="auto"/>
        <w:left w:val="none" w:sz="0" w:space="0" w:color="auto"/>
        <w:bottom w:val="none" w:sz="0" w:space="0" w:color="auto"/>
        <w:right w:val="none" w:sz="0" w:space="0" w:color="auto"/>
      </w:divBdr>
      <w:divsChild>
        <w:div w:id="1519538618">
          <w:marLeft w:val="446"/>
          <w:marRight w:val="0"/>
          <w:marTop w:val="0"/>
          <w:marBottom w:val="0"/>
          <w:divBdr>
            <w:top w:val="none" w:sz="0" w:space="0" w:color="auto"/>
            <w:left w:val="none" w:sz="0" w:space="0" w:color="auto"/>
            <w:bottom w:val="none" w:sz="0" w:space="0" w:color="auto"/>
            <w:right w:val="none" w:sz="0" w:space="0" w:color="auto"/>
          </w:divBdr>
        </w:div>
      </w:divsChild>
    </w:div>
    <w:div w:id="1569881497">
      <w:bodyDiv w:val="1"/>
      <w:marLeft w:val="0"/>
      <w:marRight w:val="0"/>
      <w:marTop w:val="0"/>
      <w:marBottom w:val="0"/>
      <w:divBdr>
        <w:top w:val="none" w:sz="0" w:space="0" w:color="auto"/>
        <w:left w:val="none" w:sz="0" w:space="0" w:color="auto"/>
        <w:bottom w:val="none" w:sz="0" w:space="0" w:color="auto"/>
        <w:right w:val="none" w:sz="0" w:space="0" w:color="auto"/>
      </w:divBdr>
    </w:div>
    <w:div w:id="1670055942">
      <w:bodyDiv w:val="1"/>
      <w:marLeft w:val="0"/>
      <w:marRight w:val="0"/>
      <w:marTop w:val="0"/>
      <w:marBottom w:val="0"/>
      <w:divBdr>
        <w:top w:val="none" w:sz="0" w:space="0" w:color="auto"/>
        <w:left w:val="none" w:sz="0" w:space="0" w:color="auto"/>
        <w:bottom w:val="none" w:sz="0" w:space="0" w:color="auto"/>
        <w:right w:val="none" w:sz="0" w:space="0" w:color="auto"/>
      </w:divBdr>
      <w:divsChild>
        <w:div w:id="763763193">
          <w:marLeft w:val="547"/>
          <w:marRight w:val="0"/>
          <w:marTop w:val="0"/>
          <w:marBottom w:val="0"/>
          <w:divBdr>
            <w:top w:val="none" w:sz="0" w:space="0" w:color="auto"/>
            <w:left w:val="none" w:sz="0" w:space="0" w:color="auto"/>
            <w:bottom w:val="none" w:sz="0" w:space="0" w:color="auto"/>
            <w:right w:val="none" w:sz="0" w:space="0" w:color="auto"/>
          </w:divBdr>
        </w:div>
      </w:divsChild>
    </w:div>
    <w:div w:id="1743020219">
      <w:bodyDiv w:val="1"/>
      <w:marLeft w:val="0"/>
      <w:marRight w:val="0"/>
      <w:marTop w:val="0"/>
      <w:marBottom w:val="0"/>
      <w:divBdr>
        <w:top w:val="none" w:sz="0" w:space="0" w:color="auto"/>
        <w:left w:val="none" w:sz="0" w:space="0" w:color="auto"/>
        <w:bottom w:val="none" w:sz="0" w:space="0" w:color="auto"/>
        <w:right w:val="none" w:sz="0" w:space="0" w:color="auto"/>
      </w:divBdr>
    </w:div>
    <w:div w:id="1755009456">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2012566448">
      <w:bodyDiv w:val="1"/>
      <w:marLeft w:val="0"/>
      <w:marRight w:val="0"/>
      <w:marTop w:val="0"/>
      <w:marBottom w:val="0"/>
      <w:divBdr>
        <w:top w:val="none" w:sz="0" w:space="0" w:color="auto"/>
        <w:left w:val="none" w:sz="0" w:space="0" w:color="auto"/>
        <w:bottom w:val="none" w:sz="0" w:space="0" w:color="auto"/>
        <w:right w:val="none" w:sz="0" w:space="0" w:color="auto"/>
      </w:divBdr>
    </w:div>
    <w:div w:id="212221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1581</ap:Words>
  <ap:Characters>8696</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2023-06-30T08:27:00.0000000Z</lastPrinted>
  <dcterms:created xsi:type="dcterms:W3CDTF">2025-12-18T09:15:00.0000000Z</dcterms:created>
  <dcterms:modified xsi:type="dcterms:W3CDTF">2025-12-18T09:15:00.0000000Z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2022-06-12T11:40:39Z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a42c2968-cc8e-4bc9-b35f-eeda2993e0a5</vt:lpwstr>
  </property>
  <property fmtid="{D5CDD505-2E9C-101B-9397-08002B2CF9AE}" pid="8" name="MSIP_Label_e00462cb-1b47-485e-830d-87ca0cc9766d_ContentBits">
    <vt:lpwstr>0</vt:lpwstr>
  </property>
</Properties>
</file>