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22807" w:rsidR="00622807" w:rsidP="0009648E" w:rsidRDefault="00622807" w14:paraId="75CAE9B5" w14:textId="7C6654A6">
      <w:pPr>
        <w:keepNext/>
        <w:keepLines/>
        <w:spacing w:line="276" w:lineRule="auto"/>
        <w:rPr>
          <w:szCs w:val="18"/>
        </w:rPr>
      </w:pPr>
      <w:bookmarkStart w:name="_GoBack" w:id="0"/>
      <w:bookmarkEnd w:id="0"/>
      <w:r w:rsidRPr="00622807">
        <w:rPr>
          <w:szCs w:val="18"/>
        </w:rPr>
        <w:t>Met deze brief informeer ik uw Kamer over de hoofdlijnen van het MIVD Jaarplan 202</w:t>
      </w:r>
      <w:r w:rsidR="00424DB3">
        <w:rPr>
          <w:szCs w:val="18"/>
        </w:rPr>
        <w:t>6</w:t>
      </w:r>
      <w:r w:rsidRPr="00622807">
        <w:rPr>
          <w:szCs w:val="18"/>
        </w:rPr>
        <w:t xml:space="preserve">. </w:t>
      </w:r>
      <w:r w:rsidRPr="006D23E1" w:rsidR="00B83891">
        <w:rPr>
          <w:rFonts w:eastAsiaTheme="minorHAnsi"/>
          <w:bCs/>
          <w:szCs w:val="18"/>
        </w:rPr>
        <w:t xml:space="preserve">Het Jaarplan 2026 van de MIVD geeft aan op welke onderzoeksopdrachten en veiligheidsbevorderende taken de dienst zich het komende jaar zal richten. Dit plan is gebaseerd op de meerjarige inlichtingenbehoefte zoals vastgelegd in de geactualiseerde Geïntegreerde Aanwijzing Inlichtingen en Veiligheid (GA I&amp;V) 2023-2026. </w:t>
      </w:r>
      <w:r w:rsidRPr="00622807">
        <w:rPr>
          <w:szCs w:val="18"/>
        </w:rPr>
        <w:t>Het gehele MIVD Jaarplan 202</w:t>
      </w:r>
      <w:r w:rsidR="00424DB3">
        <w:rPr>
          <w:szCs w:val="18"/>
        </w:rPr>
        <w:t>6</w:t>
      </w:r>
      <w:r w:rsidRPr="00622807">
        <w:rPr>
          <w:szCs w:val="18"/>
        </w:rPr>
        <w:t xml:space="preserve"> is een staatsgeheim gerubriceerd document en wordt met de Commissie voor de Inlichtingen- en Veiligheidsdiensten (CIVD) gedeeld. </w:t>
      </w:r>
    </w:p>
    <w:p w:rsidR="00622807" w:rsidP="0009648E" w:rsidRDefault="00622807" w14:paraId="6AAC807C" w14:textId="77777777">
      <w:pPr>
        <w:spacing w:line="276" w:lineRule="auto"/>
        <w:rPr>
          <w:szCs w:val="18"/>
        </w:rPr>
      </w:pPr>
    </w:p>
    <w:p w:rsidRPr="006D23E1" w:rsidR="00D4310E" w:rsidP="0009648E" w:rsidRDefault="00622807" w14:paraId="406DDFBD" w14:textId="5EB30168">
      <w:pPr>
        <w:spacing w:line="276" w:lineRule="auto"/>
        <w:rPr>
          <w:rFonts w:eastAsiaTheme="minorHAnsi"/>
          <w:bCs/>
          <w:szCs w:val="18"/>
        </w:rPr>
      </w:pPr>
      <w:r w:rsidRPr="00622807">
        <w:rPr>
          <w:rFonts w:eastAsiaTheme="minorHAnsi"/>
          <w:b/>
          <w:szCs w:val="18"/>
        </w:rPr>
        <w:t xml:space="preserve">Geïntegreerde </w:t>
      </w:r>
      <w:r w:rsidR="007B28EC">
        <w:rPr>
          <w:rFonts w:eastAsiaTheme="minorHAnsi"/>
          <w:b/>
          <w:szCs w:val="18"/>
        </w:rPr>
        <w:t>A</w:t>
      </w:r>
      <w:r w:rsidRPr="00622807">
        <w:rPr>
          <w:rFonts w:eastAsiaTheme="minorHAnsi"/>
          <w:b/>
          <w:szCs w:val="18"/>
        </w:rPr>
        <w:t>anwijzing</w:t>
      </w:r>
    </w:p>
    <w:p w:rsidR="00622807" w:rsidP="0009648E" w:rsidRDefault="00622807" w14:paraId="30E9E928" w14:textId="6078126D">
      <w:pPr>
        <w:spacing w:line="276" w:lineRule="auto"/>
        <w:rPr>
          <w:szCs w:val="18"/>
        </w:rPr>
      </w:pPr>
      <w:r w:rsidRPr="00622807">
        <w:rPr>
          <w:szCs w:val="18"/>
        </w:rPr>
        <w:t xml:space="preserve">Conform de in de Wet op de </w:t>
      </w:r>
      <w:r w:rsidR="007D29F7">
        <w:rPr>
          <w:szCs w:val="18"/>
        </w:rPr>
        <w:t>i</w:t>
      </w:r>
      <w:r w:rsidRPr="00622807">
        <w:rPr>
          <w:szCs w:val="18"/>
        </w:rPr>
        <w:t>nlichtingen</w:t>
      </w:r>
      <w:r w:rsidR="007D29F7">
        <w:rPr>
          <w:szCs w:val="18"/>
        </w:rPr>
        <w:t>-</w:t>
      </w:r>
      <w:r w:rsidRPr="00622807">
        <w:rPr>
          <w:szCs w:val="18"/>
        </w:rPr>
        <w:t xml:space="preserve"> en </w:t>
      </w:r>
      <w:r w:rsidR="007D29F7">
        <w:rPr>
          <w:szCs w:val="18"/>
        </w:rPr>
        <w:t>v</w:t>
      </w:r>
      <w:r w:rsidRPr="00622807">
        <w:rPr>
          <w:szCs w:val="18"/>
        </w:rPr>
        <w:t>eiligheidsdiensten 2017 (Wiv 2017) voorgeschreven werkwijze wordt de GA I&amp;V door middel van een vierjaarlijkse herziening opnieuw vastgesteld en vervolgens jaarlijks geactualiseerd. Voor 202</w:t>
      </w:r>
      <w:r w:rsidR="00424DB3">
        <w:rPr>
          <w:szCs w:val="18"/>
        </w:rPr>
        <w:t>6</w:t>
      </w:r>
      <w:r w:rsidRPr="00622807">
        <w:rPr>
          <w:szCs w:val="18"/>
        </w:rPr>
        <w:t xml:space="preserve"> </w:t>
      </w:r>
      <w:r w:rsidR="008B47FB">
        <w:rPr>
          <w:szCs w:val="18"/>
        </w:rPr>
        <w:t xml:space="preserve">hebben </w:t>
      </w:r>
      <w:r w:rsidRPr="008B47FB" w:rsidR="008B47FB">
        <w:rPr>
          <w:szCs w:val="18"/>
        </w:rPr>
        <w:t xml:space="preserve">de MIVD, de AIVD en de behoeftestellende departementen onder leiding van het ministerie van Algemene Zaken </w:t>
      </w:r>
      <w:r w:rsidRPr="00622807">
        <w:rPr>
          <w:szCs w:val="18"/>
        </w:rPr>
        <w:t xml:space="preserve">de GA I&amp;V 2023-2026 </w:t>
      </w:r>
      <w:r w:rsidR="008B47FB">
        <w:rPr>
          <w:szCs w:val="18"/>
        </w:rPr>
        <w:t xml:space="preserve">daarom geactualiseerd. </w:t>
      </w:r>
      <w:r w:rsidRPr="003C3B15" w:rsidR="00072698">
        <w:t xml:space="preserve">De </w:t>
      </w:r>
      <w:r w:rsidR="007B28EC">
        <w:t xml:space="preserve">geopolitieke ontwikkelingen in de wereld en de toenemende </w:t>
      </w:r>
      <w:r w:rsidRPr="003C3B15" w:rsidR="00072698">
        <w:t xml:space="preserve">vraag naar inlichtingen vanuit de afnemende departementen </w:t>
      </w:r>
      <w:r w:rsidR="007B28EC">
        <w:t>zijn</w:t>
      </w:r>
      <w:r w:rsidRPr="003C3B15" w:rsidR="007B28EC">
        <w:t xml:space="preserve"> </w:t>
      </w:r>
      <w:r w:rsidRPr="003C3B15" w:rsidR="00072698">
        <w:t xml:space="preserve">groot en divers. Daarmee wordt een </w:t>
      </w:r>
      <w:r w:rsidR="0040705D">
        <w:t>steeds groter</w:t>
      </w:r>
      <w:r w:rsidRPr="003C3B15" w:rsidR="0040705D">
        <w:t xml:space="preserve"> </w:t>
      </w:r>
      <w:r w:rsidRPr="003C3B15" w:rsidR="00072698">
        <w:t xml:space="preserve">beroep op de </w:t>
      </w:r>
      <w:r w:rsidR="008D1330">
        <w:t>MIVD</w:t>
      </w:r>
      <w:r w:rsidRPr="003C3B15" w:rsidR="008D1330">
        <w:t xml:space="preserve"> </w:t>
      </w:r>
      <w:r w:rsidRPr="003C3B15" w:rsidR="00072698">
        <w:t xml:space="preserve">gedaan. Dit vraagt </w:t>
      </w:r>
      <w:r w:rsidR="008B47FB">
        <w:t>daarom</w:t>
      </w:r>
      <w:r w:rsidR="0040705D">
        <w:t xml:space="preserve"> </w:t>
      </w:r>
      <w:r w:rsidRPr="003C3B15" w:rsidR="00072698">
        <w:t>om scherpe keuzes. Volgend jaar moet een nieuwe GA I&amp;V voor 2027-2030 worden opgesteld.</w:t>
      </w:r>
      <w:r w:rsidR="00072698">
        <w:t xml:space="preserve"> </w:t>
      </w:r>
      <w:r w:rsidRPr="00622807">
        <w:rPr>
          <w:szCs w:val="18"/>
        </w:rPr>
        <w:t xml:space="preserve">De GA I&amp;V geldt als richtlijn voor de </w:t>
      </w:r>
      <w:r w:rsidR="007B28EC">
        <w:rPr>
          <w:szCs w:val="18"/>
        </w:rPr>
        <w:t xml:space="preserve">inrichting van het inlichtingenonderzoek </w:t>
      </w:r>
      <w:r w:rsidRPr="00622807">
        <w:rPr>
          <w:szCs w:val="18"/>
        </w:rPr>
        <w:t xml:space="preserve">van de MIVD in de komende jaren. </w:t>
      </w:r>
    </w:p>
    <w:p w:rsidR="00622807" w:rsidP="0009648E" w:rsidRDefault="00622807" w14:paraId="3A1AA4DB" w14:textId="0F047928">
      <w:pPr>
        <w:spacing w:line="276" w:lineRule="auto"/>
        <w:rPr>
          <w:szCs w:val="18"/>
        </w:rPr>
      </w:pPr>
    </w:p>
    <w:p w:rsidRPr="00622807" w:rsidR="00622807" w:rsidP="0009648E" w:rsidRDefault="00622807" w14:paraId="4F4E64F3" w14:textId="071E52CA">
      <w:pPr>
        <w:spacing w:line="276" w:lineRule="auto"/>
        <w:rPr>
          <w:b/>
          <w:szCs w:val="18"/>
        </w:rPr>
      </w:pPr>
      <w:bookmarkStart w:name="_Hlk182415022" w:id="1"/>
      <w:r w:rsidRPr="00622807">
        <w:rPr>
          <w:b/>
          <w:szCs w:val="18"/>
        </w:rPr>
        <w:t>(Inter)Nationale veiligheid en de rol van de MIVD</w:t>
      </w:r>
    </w:p>
    <w:bookmarkEnd w:id="1"/>
    <w:p w:rsidRPr="00C629FE" w:rsidR="00F758BD" w:rsidP="0009648E" w:rsidRDefault="0040705D" w14:paraId="6BCFC370" w14:textId="5F73DCA3">
      <w:pPr>
        <w:spacing w:line="276" w:lineRule="auto"/>
      </w:pPr>
      <w:r w:rsidRPr="00C629FE">
        <w:t xml:space="preserve">Het huidige dreigingsbeeld is ongekend breed en ernstig. </w:t>
      </w:r>
      <w:r w:rsidRPr="003C3B15" w:rsidR="00072698">
        <w:t xml:space="preserve">De snelle ontwikkelingen in de wereld met (potentiële) impact op de veiligheid in Nederland en op Nederlandse belangen beheersen elke dag het nieuws. </w:t>
      </w:r>
      <w:r w:rsidRPr="00C629FE" w:rsidR="00F758BD">
        <w:t xml:space="preserve">De </w:t>
      </w:r>
      <w:r w:rsidR="00710F82">
        <w:t>grootste</w:t>
      </w:r>
      <w:r w:rsidRPr="00C629FE" w:rsidR="00F758BD">
        <w:t xml:space="preserve"> dreigingen komen nog steeds vanuit Rusland, China, jihadistisch terrorisme,</w:t>
      </w:r>
      <w:r w:rsidR="00414860">
        <w:t xml:space="preserve"> rechts- en </w:t>
      </w:r>
      <w:r w:rsidRPr="00C629FE" w:rsidR="00F758BD">
        <w:t xml:space="preserve">anti-institutioneel extremisme en vanuit de instabiliteit in het Midden-Oosten. Van deze dreigingen heeft Rusland het meeste dreigingspotentieel. </w:t>
      </w:r>
      <w:r w:rsidR="007B28EC">
        <w:t>D</w:t>
      </w:r>
      <w:r w:rsidRPr="00C629FE" w:rsidR="00F758BD">
        <w:t xml:space="preserve">e Russische dreiging </w:t>
      </w:r>
      <w:r w:rsidR="007B28EC">
        <w:t>kan</w:t>
      </w:r>
      <w:r w:rsidRPr="00C629FE" w:rsidR="007B28EC">
        <w:t xml:space="preserve"> </w:t>
      </w:r>
      <w:r w:rsidRPr="00C629FE" w:rsidR="00F758BD">
        <w:t>hoog oplopen</w:t>
      </w:r>
      <w:r w:rsidR="00487193">
        <w:t>.</w:t>
      </w:r>
      <w:r w:rsidRPr="00C629FE" w:rsidR="00F758BD">
        <w:t xml:space="preserve"> </w:t>
      </w:r>
      <w:r w:rsidR="00487193">
        <w:t>I</w:t>
      </w:r>
      <w:r w:rsidRPr="00C629FE" w:rsidR="00F758BD">
        <w:t xml:space="preserve">n het uiterste geval </w:t>
      </w:r>
      <w:r w:rsidR="00230409">
        <w:t xml:space="preserve">tot </w:t>
      </w:r>
      <w:r w:rsidRPr="00C629FE" w:rsidR="00F758BD">
        <w:t>een direct gewapend conflict waar de NAVO en Nederland bij betrokken ra</w:t>
      </w:r>
      <w:r w:rsidR="00441041">
        <w:t>ken</w:t>
      </w:r>
      <w:r w:rsidRPr="00C629FE" w:rsidR="00F758BD">
        <w:t xml:space="preserve">. Tegelijkertijd staan wereldwijd democratische waarden onder druk en blijven technologische ontwikkelingen de </w:t>
      </w:r>
      <w:r w:rsidRPr="00C629FE" w:rsidR="00F758BD">
        <w:lastRenderedPageBreak/>
        <w:t xml:space="preserve">mogelijkheden vergroten voor statelijke en niet-statelijke actoren om Nederland </w:t>
      </w:r>
      <w:r>
        <w:t>te raken</w:t>
      </w:r>
      <w:r w:rsidRPr="00C629FE" w:rsidR="00F758BD">
        <w:t xml:space="preserve">. Logischerwijs zijn er grote verschillen in de aard van al deze dreigingen en dus ook in de rol van de </w:t>
      </w:r>
      <w:r w:rsidR="007B28EC">
        <w:t>MIVD</w:t>
      </w:r>
      <w:r w:rsidRPr="00C629FE" w:rsidR="007B28EC">
        <w:t xml:space="preserve"> </w:t>
      </w:r>
      <w:r w:rsidRPr="00C629FE" w:rsidR="00F758BD">
        <w:t>bij het</w:t>
      </w:r>
      <w:r w:rsidR="00577037">
        <w:t xml:space="preserve"> onderkennen en</w:t>
      </w:r>
      <w:r w:rsidRPr="00C629FE" w:rsidR="00F758BD">
        <w:t xml:space="preserve"> tegengaan van deze dreigingen.</w:t>
      </w:r>
      <w:r w:rsidR="006E2E4A">
        <w:t xml:space="preserve"> </w:t>
      </w:r>
    </w:p>
    <w:p w:rsidRPr="00C629FE" w:rsidR="00F758BD" w:rsidP="0009648E" w:rsidRDefault="00F758BD" w14:paraId="1C8989F0" w14:textId="77777777">
      <w:pPr>
        <w:spacing w:line="276" w:lineRule="auto"/>
      </w:pPr>
    </w:p>
    <w:p w:rsidRPr="00F758BD" w:rsidR="00622807" w:rsidP="0009648E" w:rsidRDefault="00F758BD" w14:paraId="3D2D600C" w14:textId="03C2C22E">
      <w:pPr>
        <w:spacing w:line="276" w:lineRule="auto"/>
      </w:pPr>
      <w:r w:rsidRPr="00C629FE">
        <w:t>De onzekere veiligheidssituatie</w:t>
      </w:r>
      <w:r w:rsidR="00FE39A8">
        <w:t xml:space="preserve"> en onvoorziene ontwikkelingen</w:t>
      </w:r>
      <w:r w:rsidRPr="00C629FE">
        <w:t xml:space="preserve"> in de wereld doen een steeds groter beroep op de capaciteiten van de </w:t>
      </w:r>
      <w:r w:rsidR="009766AA">
        <w:t>MIVD en AIVD</w:t>
      </w:r>
      <w:r w:rsidRPr="00C629FE">
        <w:t xml:space="preserve">. De diensten moeten een veelheid aan bestaande en nieuwe dreigingen het hoofd weten te bieden. </w:t>
      </w:r>
      <w:r w:rsidR="007B28EC">
        <w:rPr>
          <w:szCs w:val="18"/>
        </w:rPr>
        <w:t>De</w:t>
      </w:r>
      <w:r w:rsidRPr="00072698" w:rsidR="00622807">
        <w:rPr>
          <w:szCs w:val="18"/>
        </w:rPr>
        <w:t xml:space="preserve"> MIVD </w:t>
      </w:r>
      <w:r w:rsidR="007B28EC">
        <w:rPr>
          <w:szCs w:val="18"/>
        </w:rPr>
        <w:t xml:space="preserve">moet </w:t>
      </w:r>
      <w:r w:rsidRPr="00072698" w:rsidR="00622807">
        <w:rPr>
          <w:szCs w:val="18"/>
        </w:rPr>
        <w:t xml:space="preserve">in deze </w:t>
      </w:r>
      <w:r w:rsidR="002A6043">
        <w:rPr>
          <w:szCs w:val="18"/>
        </w:rPr>
        <w:t xml:space="preserve">complexe omstandigheden </w:t>
      </w:r>
      <w:r w:rsidRPr="00072698" w:rsidR="00622807">
        <w:rPr>
          <w:szCs w:val="18"/>
        </w:rPr>
        <w:t xml:space="preserve">in staat zijn om snel te reageren op crises en tegelijkertijd duurzaam strategisch inlichtingenonderzoek kunnen verrichten naar bijvoorbeeld de dreigingen vanuit China en Rusland. </w:t>
      </w:r>
      <w:r w:rsidRPr="00072698" w:rsidR="00641E12">
        <w:rPr>
          <w:szCs w:val="18"/>
        </w:rPr>
        <w:t>De MIVD werkt hier</w:t>
      </w:r>
      <w:r w:rsidR="002A6043">
        <w:rPr>
          <w:szCs w:val="18"/>
        </w:rPr>
        <w:t>voor</w:t>
      </w:r>
      <w:r w:rsidRPr="00072698" w:rsidR="00641E12">
        <w:rPr>
          <w:szCs w:val="18"/>
        </w:rPr>
        <w:t xml:space="preserve"> nauw samen met</w:t>
      </w:r>
      <w:r w:rsidR="007B28EC">
        <w:rPr>
          <w:szCs w:val="18"/>
        </w:rPr>
        <w:t xml:space="preserve"> de AIVD en andere</w:t>
      </w:r>
      <w:r w:rsidRPr="00072698" w:rsidR="00641E12">
        <w:rPr>
          <w:szCs w:val="18"/>
        </w:rPr>
        <w:t xml:space="preserve"> (inter</w:t>
      </w:r>
      <w:r w:rsidR="007621E7">
        <w:rPr>
          <w:szCs w:val="18"/>
        </w:rPr>
        <w:t>-</w:t>
      </w:r>
      <w:r w:rsidRPr="00072698" w:rsidR="00641E12">
        <w:rPr>
          <w:szCs w:val="18"/>
        </w:rPr>
        <w:t>)nationale partners.</w:t>
      </w:r>
      <w:r w:rsidR="00641E12">
        <w:rPr>
          <w:szCs w:val="18"/>
        </w:rPr>
        <w:t xml:space="preserve"> </w:t>
      </w:r>
    </w:p>
    <w:p w:rsidR="00622807" w:rsidP="0009648E" w:rsidRDefault="00622807" w14:paraId="6910F258" w14:textId="7DEFCABF">
      <w:pPr>
        <w:spacing w:line="276" w:lineRule="auto"/>
        <w:rPr>
          <w:szCs w:val="18"/>
        </w:rPr>
      </w:pPr>
    </w:p>
    <w:p w:rsidRPr="00622807" w:rsidR="00622807" w:rsidP="0009648E" w:rsidRDefault="00622807" w14:paraId="049804BD" w14:textId="2F3ABBF3">
      <w:pPr>
        <w:spacing w:line="276" w:lineRule="auto"/>
        <w:rPr>
          <w:b/>
          <w:szCs w:val="18"/>
        </w:rPr>
      </w:pPr>
      <w:r w:rsidRPr="00622807">
        <w:rPr>
          <w:b/>
          <w:szCs w:val="18"/>
        </w:rPr>
        <w:t>Prioriteiten en accenten 202</w:t>
      </w:r>
      <w:r w:rsidR="00424DB3">
        <w:rPr>
          <w:b/>
          <w:szCs w:val="18"/>
        </w:rPr>
        <w:t>6</w:t>
      </w:r>
    </w:p>
    <w:p w:rsidRPr="00622807" w:rsidR="00622807" w:rsidP="0009648E" w:rsidRDefault="00C20317" w14:paraId="56FA70B2" w14:textId="54F98828">
      <w:pPr>
        <w:spacing w:line="276" w:lineRule="auto"/>
        <w:rPr>
          <w:i/>
          <w:szCs w:val="18"/>
        </w:rPr>
      </w:pPr>
      <w:r>
        <w:rPr>
          <w:i/>
          <w:szCs w:val="18"/>
        </w:rPr>
        <w:t>Gereedstelling voor</w:t>
      </w:r>
      <w:r w:rsidRPr="00622807" w:rsidR="00622807">
        <w:rPr>
          <w:i/>
          <w:szCs w:val="18"/>
        </w:rPr>
        <w:t xml:space="preserve"> </w:t>
      </w:r>
      <w:r w:rsidR="00C872DE">
        <w:rPr>
          <w:i/>
          <w:szCs w:val="18"/>
        </w:rPr>
        <w:t>H</w:t>
      </w:r>
      <w:r w:rsidRPr="00622807" w:rsidR="00622807">
        <w:rPr>
          <w:i/>
          <w:szCs w:val="18"/>
        </w:rPr>
        <w:t>oofdtaak</w:t>
      </w:r>
      <w:r w:rsidR="00C872DE">
        <w:rPr>
          <w:i/>
          <w:szCs w:val="18"/>
        </w:rPr>
        <w:t xml:space="preserve"> 1</w:t>
      </w:r>
    </w:p>
    <w:p w:rsidR="00E5248F" w:rsidP="0009648E" w:rsidRDefault="00E5248F" w14:paraId="4040DA1F" w14:textId="3CC363D4">
      <w:pPr>
        <w:spacing w:line="276" w:lineRule="auto"/>
      </w:pPr>
      <w:r>
        <w:t>De focus van Defensie op Hoofdtaak 1 (bescherming van het eigen en bondgenootschappelijk grondgebied, inclusief de Caribische delen van het Koninkrijk) weegt ook voor de MIVD zwaar mee in de prioriteiten voor 2026. D</w:t>
      </w:r>
      <w:r w:rsidR="00640637">
        <w:t>eze taak</w:t>
      </w:r>
      <w:r>
        <w:t xml:space="preserve"> vraagt van de MIVD om vergaande samenwerking met het </w:t>
      </w:r>
      <w:r w:rsidRPr="006D1EAA">
        <w:rPr>
          <w:i/>
          <w:iCs/>
        </w:rPr>
        <w:t>Netherlands</w:t>
      </w:r>
      <w:r>
        <w:t xml:space="preserve"> </w:t>
      </w:r>
      <w:r w:rsidRPr="00B559EC">
        <w:rPr>
          <w:i/>
          <w:iCs/>
        </w:rPr>
        <w:t>Joint Forces Command</w:t>
      </w:r>
      <w:r>
        <w:t xml:space="preserve"> (NLD JFC) en de </w:t>
      </w:r>
      <w:r w:rsidR="007B28EC">
        <w:t>d</w:t>
      </w:r>
      <w:r>
        <w:t xml:space="preserve">efensieonderdelen. Met </w:t>
      </w:r>
      <w:r w:rsidR="002757CD">
        <w:t xml:space="preserve">het voorstel </w:t>
      </w:r>
      <w:r w:rsidR="00327258">
        <w:t xml:space="preserve">(in voorbereiding) </w:t>
      </w:r>
      <w:r w:rsidR="002757CD">
        <w:t>van</w:t>
      </w:r>
      <w:r>
        <w:t xml:space="preserve"> de Wet op de Defensiegereedheid (WODG) </w:t>
      </w:r>
      <w:r w:rsidR="00CD57B2">
        <w:t>voorziet</w:t>
      </w:r>
      <w:r>
        <w:t xml:space="preserve"> de krijgsmacht mogelijkheden voor het optreden in het informatiedomein. Het is belangrijk dat de inzet van de MIVD goed aansluit bij de behoefte</w:t>
      </w:r>
      <w:r w:rsidR="007B28EC">
        <w:t xml:space="preserve"> en </w:t>
      </w:r>
      <w:r w:rsidR="001B218C">
        <w:t xml:space="preserve">het </w:t>
      </w:r>
      <w:r w:rsidR="007B28EC">
        <w:t>optreden</w:t>
      </w:r>
      <w:r>
        <w:t xml:space="preserve"> van de krijgsmacht</w:t>
      </w:r>
      <w:r w:rsidR="008D1330">
        <w:t xml:space="preserve"> en andere onderdelen van Defensie</w:t>
      </w:r>
      <w:r w:rsidR="00DC0C7E">
        <w:t xml:space="preserve">. </w:t>
      </w:r>
      <w:r>
        <w:t xml:space="preserve">De focus op Hoofdtaak 1 </w:t>
      </w:r>
      <w:r w:rsidR="00D71EC5">
        <w:t>en h</w:t>
      </w:r>
      <w:r>
        <w:t xml:space="preserve">et intensiveren van het onderzoek naar Rusland heeft </w:t>
      </w:r>
      <w:r w:rsidR="00D71EC5">
        <w:t xml:space="preserve">vanzelfsprekend </w:t>
      </w:r>
      <w:r>
        <w:t xml:space="preserve">invloed </w:t>
      </w:r>
      <w:r w:rsidR="00D71EC5">
        <w:t xml:space="preserve">op </w:t>
      </w:r>
      <w:r>
        <w:t xml:space="preserve">en gevolgen </w:t>
      </w:r>
      <w:r w:rsidR="00D71EC5">
        <w:t xml:space="preserve">voor </w:t>
      </w:r>
      <w:r>
        <w:t xml:space="preserve">de overige </w:t>
      </w:r>
      <w:r w:rsidR="00D71EC5">
        <w:t>onderzoeks</w:t>
      </w:r>
      <w:r>
        <w:t>doelstellingen</w:t>
      </w:r>
      <w:r w:rsidR="008A3781">
        <w:t xml:space="preserve"> van de MIVD</w:t>
      </w:r>
      <w:r>
        <w:t xml:space="preserve">. </w:t>
      </w:r>
    </w:p>
    <w:p w:rsidRPr="00622807" w:rsidR="00D96949" w:rsidP="0009648E" w:rsidRDefault="00D96949" w14:paraId="65615CD5" w14:textId="77777777">
      <w:pPr>
        <w:spacing w:line="276" w:lineRule="auto"/>
        <w:rPr>
          <w:i/>
          <w:szCs w:val="18"/>
        </w:rPr>
      </w:pPr>
    </w:p>
    <w:p w:rsidRPr="00622807" w:rsidR="00622807" w:rsidP="0009648E" w:rsidRDefault="00622807" w14:paraId="1965CD33" w14:textId="77777777">
      <w:pPr>
        <w:spacing w:line="276" w:lineRule="auto"/>
        <w:rPr>
          <w:i/>
          <w:szCs w:val="18"/>
        </w:rPr>
      </w:pPr>
      <w:r w:rsidRPr="00622807">
        <w:rPr>
          <w:i/>
          <w:szCs w:val="18"/>
        </w:rPr>
        <w:t>Rusland</w:t>
      </w:r>
    </w:p>
    <w:p w:rsidRPr="00050879" w:rsidR="00622807" w:rsidP="0009648E" w:rsidRDefault="00622807" w14:paraId="717DD233" w14:textId="55D16BF9">
      <w:pPr>
        <w:spacing w:line="276" w:lineRule="auto"/>
        <w:rPr>
          <w:szCs w:val="18"/>
        </w:rPr>
      </w:pPr>
      <w:r w:rsidRPr="00050879">
        <w:rPr>
          <w:szCs w:val="18"/>
        </w:rPr>
        <w:t xml:space="preserve">De oorlog in Oekraïne zal het komende jaar zeer waarschijnlijk voortduren en zelfs als de oorlog zou eindigen is het </w:t>
      </w:r>
      <w:r w:rsidR="007B28EC">
        <w:rPr>
          <w:szCs w:val="18"/>
        </w:rPr>
        <w:t>(</w:t>
      </w:r>
      <w:r w:rsidRPr="00050879">
        <w:rPr>
          <w:szCs w:val="18"/>
        </w:rPr>
        <w:t>vooralsnog</w:t>
      </w:r>
      <w:r w:rsidR="007B28EC">
        <w:rPr>
          <w:szCs w:val="18"/>
        </w:rPr>
        <w:t>)</w:t>
      </w:r>
      <w:r w:rsidRPr="00050879">
        <w:rPr>
          <w:szCs w:val="18"/>
        </w:rPr>
        <w:t xml:space="preserve"> onwaarschijnlijk dat Rusland zijn agressieve houding </w:t>
      </w:r>
      <w:r w:rsidR="00005014">
        <w:rPr>
          <w:szCs w:val="18"/>
        </w:rPr>
        <w:t xml:space="preserve">tegen </w:t>
      </w:r>
      <w:r w:rsidRPr="00050879">
        <w:rPr>
          <w:szCs w:val="18"/>
        </w:rPr>
        <w:t xml:space="preserve">het Westen zal opgeven. Deze houding manifesteert zich steeds </w:t>
      </w:r>
      <w:r w:rsidR="00050879">
        <w:rPr>
          <w:szCs w:val="18"/>
        </w:rPr>
        <w:t>openlijker</w:t>
      </w:r>
      <w:r w:rsidRPr="00050879">
        <w:rPr>
          <w:szCs w:val="18"/>
        </w:rPr>
        <w:t xml:space="preserve"> op een hybride wijze richting de NAVO, </w:t>
      </w:r>
      <w:r w:rsidR="001B3622">
        <w:rPr>
          <w:szCs w:val="18"/>
        </w:rPr>
        <w:t xml:space="preserve">de </w:t>
      </w:r>
      <w:r w:rsidRPr="00050879">
        <w:rPr>
          <w:szCs w:val="18"/>
        </w:rPr>
        <w:t>E</w:t>
      </w:r>
      <w:r w:rsidR="001B218C">
        <w:rPr>
          <w:szCs w:val="18"/>
        </w:rPr>
        <w:t>uropese Unie (</w:t>
      </w:r>
      <w:r w:rsidRPr="00050879">
        <w:rPr>
          <w:szCs w:val="18"/>
        </w:rPr>
        <w:t>EU</w:t>
      </w:r>
      <w:r w:rsidR="001B218C">
        <w:rPr>
          <w:szCs w:val="18"/>
        </w:rPr>
        <w:t>)</w:t>
      </w:r>
      <w:r w:rsidRPr="00050879">
        <w:rPr>
          <w:szCs w:val="18"/>
        </w:rPr>
        <w:t xml:space="preserve"> en Nederland. </w:t>
      </w:r>
      <w:r w:rsidRPr="00050879" w:rsidR="002E09CD">
        <w:rPr>
          <w:szCs w:val="18"/>
        </w:rPr>
        <w:t xml:space="preserve">Voor 2026 </w:t>
      </w:r>
      <w:r w:rsidR="00050879">
        <w:rPr>
          <w:szCs w:val="18"/>
        </w:rPr>
        <w:t>stellen de MIVD en de AIVD</w:t>
      </w:r>
      <w:r w:rsidRPr="00050879" w:rsidR="002E09CD">
        <w:rPr>
          <w:szCs w:val="18"/>
        </w:rPr>
        <w:t xml:space="preserve"> zich als doel</w:t>
      </w:r>
      <w:r w:rsidRPr="00050879">
        <w:rPr>
          <w:szCs w:val="18"/>
        </w:rPr>
        <w:t xml:space="preserve"> </w:t>
      </w:r>
      <w:r w:rsidR="00F47105">
        <w:rPr>
          <w:szCs w:val="18"/>
        </w:rPr>
        <w:t>hen</w:t>
      </w:r>
      <w:r w:rsidR="00050879">
        <w:rPr>
          <w:szCs w:val="18"/>
        </w:rPr>
        <w:t>zelf</w:t>
      </w:r>
      <w:r w:rsidRPr="00050879" w:rsidR="002E09CD">
        <w:rPr>
          <w:szCs w:val="18"/>
        </w:rPr>
        <w:t xml:space="preserve"> </w:t>
      </w:r>
      <w:r w:rsidR="00D71EC5">
        <w:rPr>
          <w:szCs w:val="18"/>
        </w:rPr>
        <w:t>e</w:t>
      </w:r>
      <w:r w:rsidRPr="00050879" w:rsidR="00D71EC5">
        <w:rPr>
          <w:szCs w:val="18"/>
        </w:rPr>
        <w:t xml:space="preserve">n </w:t>
      </w:r>
      <w:r w:rsidRPr="00050879" w:rsidR="002E09CD">
        <w:rPr>
          <w:szCs w:val="18"/>
        </w:rPr>
        <w:t xml:space="preserve">de </w:t>
      </w:r>
      <w:r w:rsidRPr="00050879">
        <w:rPr>
          <w:szCs w:val="18"/>
        </w:rPr>
        <w:t>ketenpartners</w:t>
      </w:r>
      <w:r w:rsidRPr="00050879" w:rsidR="002E09CD">
        <w:rPr>
          <w:szCs w:val="18"/>
        </w:rPr>
        <w:t xml:space="preserve"> </w:t>
      </w:r>
      <w:r w:rsidRPr="00050879">
        <w:rPr>
          <w:szCs w:val="18"/>
        </w:rPr>
        <w:t>in staat</w:t>
      </w:r>
      <w:r w:rsidRPr="00050879" w:rsidR="00112A41">
        <w:rPr>
          <w:szCs w:val="18"/>
        </w:rPr>
        <w:t xml:space="preserve"> te</w:t>
      </w:r>
      <w:r w:rsidRPr="00050879">
        <w:rPr>
          <w:szCs w:val="18"/>
        </w:rPr>
        <w:t xml:space="preserve"> stellen om de Russische dreiging te </w:t>
      </w:r>
      <w:r w:rsidRPr="00050879" w:rsidR="00050879">
        <w:rPr>
          <w:szCs w:val="18"/>
        </w:rPr>
        <w:t xml:space="preserve">adresseren, </w:t>
      </w:r>
      <w:r w:rsidRPr="00050879">
        <w:rPr>
          <w:szCs w:val="18"/>
        </w:rPr>
        <w:t>reduceren en mitigerende maatregelen te (laten) treffen.</w:t>
      </w:r>
    </w:p>
    <w:p w:rsidRPr="00622807" w:rsidR="00622807" w:rsidP="0009648E" w:rsidRDefault="00622807" w14:paraId="02F5E2F8" w14:textId="77777777">
      <w:pPr>
        <w:spacing w:line="276" w:lineRule="auto"/>
        <w:rPr>
          <w:szCs w:val="18"/>
        </w:rPr>
      </w:pPr>
    </w:p>
    <w:p w:rsidRPr="00622807" w:rsidR="00622807" w:rsidP="0009648E" w:rsidRDefault="00622807" w14:paraId="2E110210" w14:textId="77777777">
      <w:pPr>
        <w:spacing w:line="276" w:lineRule="auto"/>
        <w:rPr>
          <w:i/>
          <w:iCs/>
          <w:szCs w:val="18"/>
        </w:rPr>
      </w:pPr>
      <w:r w:rsidRPr="00622807">
        <w:rPr>
          <w:i/>
          <w:iCs/>
          <w:szCs w:val="18"/>
        </w:rPr>
        <w:t>China</w:t>
      </w:r>
    </w:p>
    <w:p w:rsidR="00622807" w:rsidP="0009648E" w:rsidRDefault="00A3636C" w14:paraId="665DB833" w14:textId="7967C8DE">
      <w:pPr>
        <w:spacing w:line="276" w:lineRule="auto"/>
        <w:rPr>
          <w:szCs w:val="18"/>
        </w:rPr>
      </w:pPr>
      <w:r w:rsidRPr="00157315">
        <w:t xml:space="preserve">China </w:t>
      </w:r>
      <w:r w:rsidR="007B28EC">
        <w:t>poogt</w:t>
      </w:r>
      <w:r w:rsidRPr="00157315" w:rsidR="007B28EC">
        <w:t xml:space="preserve"> </w:t>
      </w:r>
      <w:r w:rsidRPr="00157315">
        <w:t>de bestaande wereldorde</w:t>
      </w:r>
      <w:r w:rsidR="007B28EC">
        <w:t xml:space="preserve"> in </w:t>
      </w:r>
      <w:r w:rsidR="009007C7">
        <w:t>zijn</w:t>
      </w:r>
      <w:r w:rsidR="007B28EC">
        <w:t xml:space="preserve"> voordeel te veranderen</w:t>
      </w:r>
      <w:r w:rsidRPr="00157315">
        <w:t xml:space="preserve">. De gevolgen daarvan voor andere landen, ook Nederland, kunnen veelomvattend en ingrijpend zijn. Als tweede economie van de wereld heeft China het potentieel om economisch </w:t>
      </w:r>
      <w:r w:rsidR="007D29F7">
        <w:t>en technologisch</w:t>
      </w:r>
      <w:r w:rsidRPr="00157315">
        <w:t xml:space="preserve"> </w:t>
      </w:r>
      <w:r w:rsidR="007B28EC">
        <w:t xml:space="preserve">steeds meer </w:t>
      </w:r>
      <w:r w:rsidRPr="00157315">
        <w:t xml:space="preserve">zijn stempel op grote delen van de wereld te drukken. </w:t>
      </w:r>
      <w:r w:rsidRPr="00C75D4D" w:rsidR="00E31AA7">
        <w:t>China’s intenties</w:t>
      </w:r>
      <w:r w:rsidRPr="00157315" w:rsidR="00E31AA7">
        <w:t xml:space="preserve"> ten aanzien van </w:t>
      </w:r>
      <w:r w:rsidRPr="00C75D4D" w:rsidR="00E31AA7">
        <w:t xml:space="preserve">Rusland </w:t>
      </w:r>
      <w:r w:rsidRPr="00157315" w:rsidR="00E31AA7">
        <w:t xml:space="preserve">en </w:t>
      </w:r>
      <w:r w:rsidRPr="00C75D4D" w:rsidR="00E31AA7">
        <w:t>zijn</w:t>
      </w:r>
      <w:r w:rsidRPr="00157315" w:rsidR="00E31AA7">
        <w:t xml:space="preserve"> </w:t>
      </w:r>
      <w:r w:rsidR="00483E2C">
        <w:t>provocerende</w:t>
      </w:r>
      <w:r w:rsidRPr="00157315" w:rsidR="00483E2C">
        <w:t xml:space="preserve"> </w:t>
      </w:r>
      <w:r w:rsidRPr="00157315" w:rsidR="00E31AA7">
        <w:t xml:space="preserve">optreden </w:t>
      </w:r>
      <w:r w:rsidRPr="00C75D4D" w:rsidR="00E31AA7">
        <w:t xml:space="preserve">tegen Taiwan staan haaks op Nederlandse en Europese economische en veiligheidsbelangen. </w:t>
      </w:r>
      <w:r w:rsidR="00E31AA7">
        <w:t>China</w:t>
      </w:r>
      <w:r w:rsidRPr="00C75D4D" w:rsidR="00E31AA7">
        <w:t xml:space="preserve"> is vanwege zijn </w:t>
      </w:r>
      <w:r w:rsidR="00E31AA7">
        <w:t xml:space="preserve">gekozen positie in de wereldeconomie </w:t>
      </w:r>
      <w:r w:rsidRPr="00C75D4D" w:rsidR="00E31AA7">
        <w:t xml:space="preserve">naast een partner, ook een concurrent en systeemrivaal in zijn relaties met de </w:t>
      </w:r>
      <w:r w:rsidR="00E31AA7">
        <w:t>EU</w:t>
      </w:r>
      <w:r w:rsidR="00441041">
        <w:t>.</w:t>
      </w:r>
      <w:r w:rsidR="00C328E6">
        <w:rPr>
          <w:szCs w:val="18"/>
        </w:rPr>
        <w:t xml:space="preserve"> </w:t>
      </w:r>
      <w:r w:rsidRPr="00A3636C" w:rsidR="00622807">
        <w:rPr>
          <w:szCs w:val="18"/>
        </w:rPr>
        <w:t xml:space="preserve">De MIVD en </w:t>
      </w:r>
      <w:r w:rsidR="00441041">
        <w:rPr>
          <w:szCs w:val="18"/>
        </w:rPr>
        <w:t>de</w:t>
      </w:r>
      <w:r w:rsidRPr="00A3636C" w:rsidR="00622807">
        <w:rPr>
          <w:szCs w:val="18"/>
        </w:rPr>
        <w:t xml:space="preserve"> AIVD zien China </w:t>
      </w:r>
      <w:r w:rsidRPr="00A3636C">
        <w:rPr>
          <w:szCs w:val="18"/>
        </w:rPr>
        <w:t xml:space="preserve">mede daardoor </w:t>
      </w:r>
      <w:r w:rsidRPr="00A3636C" w:rsidR="00622807">
        <w:rPr>
          <w:szCs w:val="18"/>
        </w:rPr>
        <w:t xml:space="preserve">als een dreiging voor de nationale veiligheid en de westerse wereld in de komende decennia. </w:t>
      </w:r>
    </w:p>
    <w:p w:rsidR="0009648E" w:rsidP="0009648E" w:rsidRDefault="0009648E" w14:paraId="2B4C5824" w14:textId="6C6A7730">
      <w:pPr>
        <w:spacing w:line="276" w:lineRule="auto"/>
        <w:rPr>
          <w:szCs w:val="18"/>
        </w:rPr>
      </w:pPr>
      <w:r>
        <w:rPr>
          <w:szCs w:val="18"/>
        </w:rPr>
        <w:br w:type="page"/>
      </w:r>
    </w:p>
    <w:p w:rsidRPr="00622807" w:rsidR="00A3636C" w:rsidP="0009648E" w:rsidRDefault="00A3636C" w14:paraId="4B6B6825" w14:textId="77777777">
      <w:pPr>
        <w:spacing w:line="276" w:lineRule="auto"/>
        <w:rPr>
          <w:szCs w:val="18"/>
        </w:rPr>
      </w:pPr>
    </w:p>
    <w:p w:rsidRPr="00622807" w:rsidR="00622807" w:rsidP="0009648E" w:rsidRDefault="00622807" w14:paraId="5C8D2451" w14:textId="5E5E28A4">
      <w:pPr>
        <w:spacing w:line="276" w:lineRule="auto"/>
        <w:rPr>
          <w:i/>
          <w:iCs/>
          <w:szCs w:val="18"/>
        </w:rPr>
      </w:pPr>
      <w:r w:rsidRPr="00622807">
        <w:rPr>
          <w:i/>
          <w:iCs/>
          <w:szCs w:val="18"/>
        </w:rPr>
        <w:t>Midden</w:t>
      </w:r>
      <w:r w:rsidR="005F54E1">
        <w:rPr>
          <w:i/>
          <w:iCs/>
          <w:szCs w:val="18"/>
        </w:rPr>
        <w:t>-</w:t>
      </w:r>
      <w:r w:rsidRPr="00622807">
        <w:rPr>
          <w:i/>
          <w:iCs/>
          <w:szCs w:val="18"/>
        </w:rPr>
        <w:t>Oosten</w:t>
      </w:r>
    </w:p>
    <w:p w:rsidRPr="001259BE" w:rsidR="00A23F49" w:rsidP="0009648E" w:rsidRDefault="007B28EC" w14:paraId="70405EA9" w14:textId="18CD45F9">
      <w:pPr>
        <w:spacing w:line="276" w:lineRule="auto"/>
        <w:rPr>
          <w:szCs w:val="18"/>
        </w:rPr>
      </w:pPr>
      <w:r>
        <w:rPr>
          <w:szCs w:val="18"/>
        </w:rPr>
        <w:t>De</w:t>
      </w:r>
      <w:r w:rsidRPr="001259BE">
        <w:rPr>
          <w:szCs w:val="18"/>
        </w:rPr>
        <w:t xml:space="preserve"> </w:t>
      </w:r>
      <w:r>
        <w:rPr>
          <w:szCs w:val="18"/>
        </w:rPr>
        <w:t>situatie</w:t>
      </w:r>
      <w:r w:rsidRPr="001259BE">
        <w:rPr>
          <w:szCs w:val="18"/>
        </w:rPr>
        <w:t xml:space="preserve"> </w:t>
      </w:r>
      <w:r w:rsidRPr="001259BE" w:rsidR="00622807">
        <w:rPr>
          <w:szCs w:val="18"/>
        </w:rPr>
        <w:t>in het Midden</w:t>
      </w:r>
      <w:r w:rsidRPr="001259BE" w:rsidR="005F54E1">
        <w:rPr>
          <w:szCs w:val="18"/>
        </w:rPr>
        <w:t>-</w:t>
      </w:r>
      <w:r w:rsidRPr="001259BE" w:rsidR="00622807">
        <w:rPr>
          <w:szCs w:val="18"/>
        </w:rPr>
        <w:t xml:space="preserve">Oosten </w:t>
      </w:r>
      <w:r>
        <w:rPr>
          <w:szCs w:val="18"/>
        </w:rPr>
        <w:t>blijft</w:t>
      </w:r>
      <w:r w:rsidRPr="001259BE">
        <w:rPr>
          <w:szCs w:val="18"/>
        </w:rPr>
        <w:t xml:space="preserve"> </w:t>
      </w:r>
      <w:r w:rsidRPr="001259BE" w:rsidR="00622807">
        <w:rPr>
          <w:szCs w:val="18"/>
        </w:rPr>
        <w:t>in 202</w:t>
      </w:r>
      <w:r w:rsidRPr="001259BE" w:rsidR="001259BE">
        <w:rPr>
          <w:szCs w:val="18"/>
        </w:rPr>
        <w:t>6</w:t>
      </w:r>
      <w:r w:rsidRPr="001259BE" w:rsidR="00622807">
        <w:rPr>
          <w:szCs w:val="18"/>
        </w:rPr>
        <w:t xml:space="preserve"> een </w:t>
      </w:r>
      <w:r w:rsidRPr="001259BE" w:rsidR="001259BE">
        <w:rPr>
          <w:szCs w:val="18"/>
        </w:rPr>
        <w:t>aandachtsgebied</w:t>
      </w:r>
      <w:r w:rsidRPr="001259BE" w:rsidR="00622807">
        <w:rPr>
          <w:szCs w:val="18"/>
        </w:rPr>
        <w:t xml:space="preserve"> van de MIVD. De </w:t>
      </w:r>
      <w:r w:rsidRPr="001259BE" w:rsidR="001259BE">
        <w:rPr>
          <w:szCs w:val="18"/>
        </w:rPr>
        <w:t>aanhoudende</w:t>
      </w:r>
      <w:r w:rsidRPr="001259BE" w:rsidR="00622807">
        <w:rPr>
          <w:szCs w:val="18"/>
        </w:rPr>
        <w:t xml:space="preserve"> spanningen en de gevolgen hiervan voor de Nederlandse veiligheidsbelangen worden actief gemonitord. </w:t>
      </w:r>
      <w:r w:rsidR="00C41D55">
        <w:rPr>
          <w:szCs w:val="18"/>
        </w:rPr>
        <w:t>D</w:t>
      </w:r>
      <w:r w:rsidRPr="001259BE" w:rsidR="00622807">
        <w:rPr>
          <w:szCs w:val="18"/>
        </w:rPr>
        <w:t xml:space="preserve">e MIVD </w:t>
      </w:r>
      <w:r w:rsidR="00C41D55">
        <w:rPr>
          <w:szCs w:val="18"/>
        </w:rPr>
        <w:t xml:space="preserve">richt </w:t>
      </w:r>
      <w:r w:rsidRPr="001259BE" w:rsidR="00622807">
        <w:rPr>
          <w:szCs w:val="18"/>
        </w:rPr>
        <w:t>zich</w:t>
      </w:r>
      <w:r w:rsidR="00C41D55">
        <w:rPr>
          <w:szCs w:val="18"/>
        </w:rPr>
        <w:t xml:space="preserve"> hierbij</w:t>
      </w:r>
      <w:r w:rsidRPr="001259BE" w:rsidR="00622807">
        <w:rPr>
          <w:szCs w:val="18"/>
        </w:rPr>
        <w:t xml:space="preserve"> op de ontwikkelingen die de Nederlandse en bondgenootschappelijke belangen in de regio kunnen schaden.</w:t>
      </w:r>
    </w:p>
    <w:p w:rsidR="00A23F49" w:rsidP="0009648E" w:rsidRDefault="00A23F49" w14:paraId="045C1C8E" w14:textId="7B325760">
      <w:pPr>
        <w:spacing w:line="276" w:lineRule="auto"/>
        <w:rPr>
          <w:szCs w:val="18"/>
        </w:rPr>
      </w:pPr>
    </w:p>
    <w:p w:rsidR="00E44714" w:rsidP="0009648E" w:rsidRDefault="00E44714" w14:paraId="554EF95B" w14:textId="163556BA">
      <w:pPr>
        <w:spacing w:line="276" w:lineRule="auto"/>
        <w:rPr>
          <w:i/>
          <w:szCs w:val="18"/>
        </w:rPr>
      </w:pPr>
      <w:r w:rsidRPr="00D438C2">
        <w:rPr>
          <w:i/>
          <w:szCs w:val="18"/>
        </w:rPr>
        <w:t>Venezuela</w:t>
      </w:r>
    </w:p>
    <w:p w:rsidRPr="0059726A" w:rsidR="00E44714" w:rsidP="0009648E" w:rsidRDefault="005D6FE9" w14:paraId="174CE056" w14:textId="16022959">
      <w:pPr>
        <w:spacing w:line="276" w:lineRule="auto"/>
        <w:rPr>
          <w:szCs w:val="18"/>
        </w:rPr>
      </w:pPr>
      <w:r w:rsidRPr="001259BE">
        <w:rPr>
          <w:iCs/>
          <w:szCs w:val="18"/>
        </w:rPr>
        <w:t xml:space="preserve">In 2026 zetten de MIVD en de AIVD het gezamenlijk onderzoek </w:t>
      </w:r>
      <w:r w:rsidRPr="00157315" w:rsidR="00E44714">
        <w:t xml:space="preserve">voort naar </w:t>
      </w:r>
      <w:r w:rsidR="00E44714">
        <w:t>de ontwikkelingen in</w:t>
      </w:r>
      <w:r w:rsidRPr="00157315" w:rsidR="00E44714">
        <w:t xml:space="preserve"> Venez</w:t>
      </w:r>
      <w:r w:rsidR="00E44714">
        <w:t>uela</w:t>
      </w:r>
      <w:r w:rsidRPr="00157315" w:rsidR="00E44714">
        <w:t xml:space="preserve"> en de mogelijke gevolgen </w:t>
      </w:r>
      <w:r w:rsidR="001B218C">
        <w:t xml:space="preserve">hiervan </w:t>
      </w:r>
      <w:r w:rsidRPr="00157315" w:rsidR="00E44714">
        <w:t xml:space="preserve">voor de </w:t>
      </w:r>
      <w:r w:rsidRPr="000215D1" w:rsidR="001844C5">
        <w:rPr>
          <w:iCs/>
          <w:szCs w:val="18"/>
        </w:rPr>
        <w:t>defensie- en veiligheidsbelangen</w:t>
      </w:r>
      <w:r w:rsidRPr="00157315" w:rsidR="001844C5">
        <w:t xml:space="preserve"> </w:t>
      </w:r>
      <w:r w:rsidRPr="00157315" w:rsidR="00E44714">
        <w:t>van het Koninkrijk</w:t>
      </w:r>
      <w:r w:rsidRPr="00E557C4" w:rsidR="00E44714">
        <w:t>.</w:t>
      </w:r>
      <w:r w:rsidR="00E44714">
        <w:t xml:space="preserve"> </w:t>
      </w:r>
      <w:r w:rsidRPr="00763CA7" w:rsidR="00E44714">
        <w:t>Dit geldt in het bijzonder voor de dreiging tegen het Caribische deel van het Koninkrijk, waar de Venezolaanse dreiging het meest prominent is.</w:t>
      </w:r>
    </w:p>
    <w:p w:rsidR="005171BC" w:rsidP="0009648E" w:rsidRDefault="005171BC" w14:paraId="789452AB" w14:textId="766DBB43">
      <w:pPr>
        <w:spacing w:line="276" w:lineRule="auto"/>
        <w:rPr>
          <w:i/>
          <w:szCs w:val="18"/>
        </w:rPr>
      </w:pPr>
    </w:p>
    <w:p w:rsidRPr="0031716B" w:rsidR="00327258" w:rsidP="00327258" w:rsidRDefault="00327258" w14:paraId="6294D6D8" w14:textId="77777777">
      <w:pPr>
        <w:spacing w:line="276" w:lineRule="auto"/>
        <w:rPr>
          <w:i/>
          <w:szCs w:val="18"/>
        </w:rPr>
      </w:pPr>
      <w:r w:rsidRPr="0031716B">
        <w:rPr>
          <w:i/>
          <w:szCs w:val="18"/>
        </w:rPr>
        <w:t>Early Warning</w:t>
      </w:r>
    </w:p>
    <w:p w:rsidR="00327258" w:rsidP="00327258" w:rsidRDefault="00327258" w14:paraId="03030A2B" w14:textId="77777777">
      <w:pPr>
        <w:spacing w:line="276" w:lineRule="auto"/>
        <w:rPr>
          <w:iCs/>
          <w:szCs w:val="18"/>
        </w:rPr>
      </w:pPr>
      <w:r w:rsidRPr="0031716B">
        <w:rPr>
          <w:iCs/>
          <w:szCs w:val="18"/>
        </w:rPr>
        <w:t xml:space="preserve">De MIVD volgt in het kader van </w:t>
      </w:r>
      <w:r w:rsidRPr="00667CCA">
        <w:rPr>
          <w:i/>
          <w:szCs w:val="18"/>
        </w:rPr>
        <w:t>early warning</w:t>
      </w:r>
      <w:r w:rsidRPr="0031716B">
        <w:rPr>
          <w:iCs/>
          <w:szCs w:val="18"/>
        </w:rPr>
        <w:t xml:space="preserve"> de ontwikkelingen in een aantal landen of gebieden die in de toekomst een risico kunnen gaan vormen voor de Nederlandse veiligheidsbelangen. Denk hierbij aan de huidige ontwikkelingen in gebieden waar Nederland bijdragen levert aan missies of operaties, of in (Noord-) Afrika waar door instabiliteit, onrust en gewapende conflicten de Nederlandse veiligheidsbelangen in het gedrang kunnen komen.</w:t>
      </w:r>
    </w:p>
    <w:p w:rsidR="00327258" w:rsidP="0009648E" w:rsidRDefault="00327258" w14:paraId="6AB5FC16" w14:textId="77777777">
      <w:pPr>
        <w:spacing w:line="276" w:lineRule="auto"/>
        <w:rPr>
          <w:i/>
          <w:szCs w:val="18"/>
        </w:rPr>
      </w:pPr>
    </w:p>
    <w:p w:rsidRPr="001259BE" w:rsidR="00622807" w:rsidP="0009648E" w:rsidRDefault="00622807" w14:paraId="741AFFD1" w14:textId="7EC2E8D4">
      <w:pPr>
        <w:spacing w:line="276" w:lineRule="auto"/>
        <w:rPr>
          <w:i/>
          <w:szCs w:val="18"/>
        </w:rPr>
      </w:pPr>
      <w:r w:rsidRPr="001259BE">
        <w:rPr>
          <w:i/>
          <w:szCs w:val="18"/>
        </w:rPr>
        <w:t>Contraproliferatie</w:t>
      </w:r>
    </w:p>
    <w:p w:rsidRPr="001259BE" w:rsidR="00622807" w:rsidP="0009648E" w:rsidRDefault="00622807" w14:paraId="3514D733" w14:textId="3AFA5D26">
      <w:pPr>
        <w:spacing w:line="276" w:lineRule="auto"/>
        <w:rPr>
          <w:iCs/>
          <w:szCs w:val="18"/>
        </w:rPr>
      </w:pPr>
      <w:r w:rsidRPr="001259BE">
        <w:rPr>
          <w:iCs/>
          <w:szCs w:val="18"/>
        </w:rPr>
        <w:t>Massavernietigingswapens vormen een grote bedreiging voor de internationale vrede en veiligheid. Nederland heeft</w:t>
      </w:r>
      <w:r w:rsidR="00E03D2F">
        <w:rPr>
          <w:iCs/>
          <w:szCs w:val="18"/>
        </w:rPr>
        <w:t xml:space="preserve"> internationale</w:t>
      </w:r>
      <w:r w:rsidRPr="001259BE">
        <w:rPr>
          <w:iCs/>
          <w:szCs w:val="18"/>
        </w:rPr>
        <w:t xml:space="preserve"> verdragen ondertekend die erop gericht zijn de proliferatie van dergelijke wapens tegen te gaan. In 202</w:t>
      </w:r>
      <w:r w:rsidRPr="001259BE" w:rsidR="001259BE">
        <w:rPr>
          <w:iCs/>
          <w:szCs w:val="18"/>
        </w:rPr>
        <w:t>6</w:t>
      </w:r>
      <w:r w:rsidRPr="001259BE">
        <w:rPr>
          <w:iCs/>
          <w:szCs w:val="18"/>
        </w:rPr>
        <w:t xml:space="preserve"> zetten de MIVD en de AIVD het gezamenlijk onderzoek </w:t>
      </w:r>
      <w:r w:rsidR="00060576">
        <w:rPr>
          <w:iCs/>
          <w:szCs w:val="18"/>
        </w:rPr>
        <w:t xml:space="preserve">hiernaar </w:t>
      </w:r>
      <w:r w:rsidRPr="001259BE">
        <w:rPr>
          <w:iCs/>
          <w:szCs w:val="18"/>
        </w:rPr>
        <w:t>voort</w:t>
      </w:r>
      <w:r w:rsidR="00060576">
        <w:rPr>
          <w:iCs/>
          <w:szCs w:val="18"/>
        </w:rPr>
        <w:t xml:space="preserve">, gericht op </w:t>
      </w:r>
      <w:r w:rsidRPr="001259BE">
        <w:rPr>
          <w:iCs/>
          <w:szCs w:val="18"/>
        </w:rPr>
        <w:t xml:space="preserve">landen </w:t>
      </w:r>
      <w:r w:rsidRPr="001259BE" w:rsidR="001259BE">
        <w:rPr>
          <w:iCs/>
          <w:szCs w:val="18"/>
        </w:rPr>
        <w:t xml:space="preserve">van zorg, </w:t>
      </w:r>
      <w:r w:rsidRPr="001259BE">
        <w:rPr>
          <w:iCs/>
          <w:szCs w:val="18"/>
        </w:rPr>
        <w:t>zoals</w:t>
      </w:r>
      <w:r w:rsidRPr="001259BE" w:rsidR="001259BE">
        <w:rPr>
          <w:iCs/>
          <w:szCs w:val="18"/>
        </w:rPr>
        <w:t xml:space="preserve"> Rusland,</w:t>
      </w:r>
      <w:r w:rsidRPr="001259BE">
        <w:rPr>
          <w:iCs/>
          <w:szCs w:val="18"/>
        </w:rPr>
        <w:t xml:space="preserve"> Iran en Noord-Korea</w:t>
      </w:r>
      <w:r w:rsidR="00E03D2F">
        <w:rPr>
          <w:iCs/>
          <w:szCs w:val="18"/>
        </w:rPr>
        <w:t>.</w:t>
      </w:r>
      <w:r w:rsidRPr="001259BE">
        <w:rPr>
          <w:iCs/>
          <w:szCs w:val="18"/>
        </w:rPr>
        <w:t xml:space="preserve"> </w:t>
      </w:r>
      <w:r w:rsidR="002757CD">
        <w:rPr>
          <w:iCs/>
          <w:szCs w:val="18"/>
        </w:rPr>
        <w:t xml:space="preserve">Het </w:t>
      </w:r>
      <w:r w:rsidR="00E03D2F">
        <w:rPr>
          <w:iCs/>
          <w:szCs w:val="18"/>
        </w:rPr>
        <w:t xml:space="preserve">handelen </w:t>
      </w:r>
      <w:r w:rsidR="002757CD">
        <w:rPr>
          <w:iCs/>
          <w:szCs w:val="18"/>
        </w:rPr>
        <w:t>van deze landen staat</w:t>
      </w:r>
      <w:r w:rsidR="00E03D2F">
        <w:rPr>
          <w:iCs/>
          <w:szCs w:val="18"/>
        </w:rPr>
        <w:t xml:space="preserve"> op gespannen voet </w:t>
      </w:r>
      <w:r w:rsidRPr="001259BE">
        <w:rPr>
          <w:iCs/>
          <w:szCs w:val="18"/>
        </w:rPr>
        <w:t>met internationale verdragen</w:t>
      </w:r>
      <w:r w:rsidR="00E03D2F">
        <w:rPr>
          <w:iCs/>
          <w:szCs w:val="18"/>
        </w:rPr>
        <w:t xml:space="preserve"> </w:t>
      </w:r>
      <w:r w:rsidR="00873458">
        <w:rPr>
          <w:iCs/>
          <w:szCs w:val="18"/>
        </w:rPr>
        <w:t>door</w:t>
      </w:r>
      <w:r w:rsidRPr="001259BE" w:rsidR="00873458">
        <w:rPr>
          <w:iCs/>
          <w:szCs w:val="18"/>
        </w:rPr>
        <w:t xml:space="preserve"> </w:t>
      </w:r>
      <w:r w:rsidRPr="001259BE">
        <w:rPr>
          <w:iCs/>
          <w:szCs w:val="18"/>
        </w:rPr>
        <w:t>het ontwikkelen van massavernietigingswapens.</w:t>
      </w:r>
      <w:r w:rsidR="007B28EC">
        <w:rPr>
          <w:iCs/>
          <w:szCs w:val="18"/>
        </w:rPr>
        <w:t xml:space="preserve"> </w:t>
      </w:r>
      <w:r w:rsidRPr="001259BE" w:rsidR="001259BE">
        <w:rPr>
          <w:iCs/>
          <w:szCs w:val="18"/>
        </w:rPr>
        <w:t xml:space="preserve">Naast deze ontwikkelingen </w:t>
      </w:r>
      <w:r w:rsidRPr="001259BE">
        <w:rPr>
          <w:iCs/>
          <w:szCs w:val="18"/>
        </w:rPr>
        <w:t xml:space="preserve">wordt </w:t>
      </w:r>
      <w:r w:rsidRPr="001259BE" w:rsidR="001259BE">
        <w:rPr>
          <w:iCs/>
          <w:szCs w:val="18"/>
        </w:rPr>
        <w:t xml:space="preserve">breder </w:t>
      </w:r>
      <w:r w:rsidRPr="001259BE">
        <w:rPr>
          <w:iCs/>
          <w:szCs w:val="18"/>
        </w:rPr>
        <w:t xml:space="preserve">gekeken naar de overbrengingsmiddelen voor deze wapens en verwerving van kennis of goederen voor deze wapenprogramma’s. </w:t>
      </w:r>
    </w:p>
    <w:p w:rsidR="005171BC" w:rsidP="0009648E" w:rsidRDefault="005171BC" w14:paraId="111DADCE" w14:textId="77777777">
      <w:pPr>
        <w:spacing w:line="276" w:lineRule="auto"/>
        <w:rPr>
          <w:i/>
          <w:szCs w:val="18"/>
        </w:rPr>
      </w:pPr>
    </w:p>
    <w:p w:rsidRPr="00622807" w:rsidR="005171BC" w:rsidP="0009648E" w:rsidRDefault="005171BC" w14:paraId="688D0A2C" w14:textId="040363F0">
      <w:pPr>
        <w:spacing w:line="276" w:lineRule="auto"/>
        <w:rPr>
          <w:i/>
          <w:szCs w:val="18"/>
        </w:rPr>
      </w:pPr>
      <w:r>
        <w:rPr>
          <w:i/>
          <w:szCs w:val="18"/>
        </w:rPr>
        <w:t>E</w:t>
      </w:r>
      <w:r w:rsidRPr="00622807">
        <w:rPr>
          <w:i/>
          <w:szCs w:val="18"/>
        </w:rPr>
        <w:t>xtremisme</w:t>
      </w:r>
      <w:r>
        <w:rPr>
          <w:i/>
          <w:szCs w:val="18"/>
        </w:rPr>
        <w:t xml:space="preserve"> en</w:t>
      </w:r>
      <w:r w:rsidRPr="00622807">
        <w:rPr>
          <w:i/>
          <w:szCs w:val="18"/>
        </w:rPr>
        <w:t xml:space="preserve"> terrorisme </w:t>
      </w:r>
    </w:p>
    <w:p w:rsidRPr="00157315" w:rsidR="003D3EC7" w:rsidP="003D3EC7" w:rsidRDefault="00414860" w14:paraId="2C4AE123" w14:textId="3BB40910">
      <w:pPr>
        <w:spacing w:line="276" w:lineRule="auto"/>
      </w:pPr>
      <w:r>
        <w:t>Polarisering en radicalisering in de Nederlandse maatschappij zijn van negatieve invloed op de defensie- en veiligheidsbelangen.</w:t>
      </w:r>
      <w:r w:rsidRPr="000215D1" w:rsidR="005171BC">
        <w:rPr>
          <w:iCs/>
          <w:szCs w:val="18"/>
        </w:rPr>
        <w:t xml:space="preserve"> De MIVD verricht onderzoek naar extremisme en </w:t>
      </w:r>
      <w:r w:rsidR="00A24FEF">
        <w:rPr>
          <w:iCs/>
          <w:szCs w:val="18"/>
        </w:rPr>
        <w:t xml:space="preserve">(jihadistisch) </w:t>
      </w:r>
      <w:r w:rsidRPr="000215D1" w:rsidR="005171BC">
        <w:rPr>
          <w:iCs/>
          <w:szCs w:val="18"/>
        </w:rPr>
        <w:t xml:space="preserve">terrorisme in relatie tot de Nederlandse krijgsmacht. Doel van dit onderzoek is om (de verspreiding van) extremistisch gedachtegoed en gedrag vroegtijdig te signaleren. </w:t>
      </w:r>
      <w:r w:rsidRPr="00157315" w:rsidR="003D3EC7">
        <w:t xml:space="preserve">De MIVD werkt in </w:t>
      </w:r>
      <w:r w:rsidR="003D3EC7">
        <w:t>deze</w:t>
      </w:r>
      <w:r w:rsidRPr="00157315" w:rsidR="003D3EC7">
        <w:t xml:space="preserve"> onderzoeken nauw samen met de AIVD, waarbij de AIVD zich richt op de Nederlandse samenleving en de MIVD op Defensie</w:t>
      </w:r>
      <w:r w:rsidRPr="000A3C91" w:rsidR="003D3EC7">
        <w:rPr>
          <w:rFonts w:cs="RijksoverheidSansText"/>
        </w:rPr>
        <w:t xml:space="preserve">, zoals </w:t>
      </w:r>
      <w:r w:rsidR="003D3EC7">
        <w:rPr>
          <w:rFonts w:cs="RijksoverheidSansText"/>
        </w:rPr>
        <w:t>bij</w:t>
      </w:r>
      <w:r w:rsidRPr="000A3C91" w:rsidR="003D3EC7">
        <w:rPr>
          <w:rFonts w:cs="RijksoverheidSansText"/>
        </w:rPr>
        <w:t xml:space="preserve"> dreiging van terroristische bewegingen voor defensiebelangen </w:t>
      </w:r>
      <w:r w:rsidRPr="00157315" w:rsidR="003D3EC7">
        <w:t>in missiegebieden.</w:t>
      </w:r>
    </w:p>
    <w:p w:rsidRPr="00424DB3" w:rsidR="005D4BCF" w:rsidP="0009648E" w:rsidRDefault="005D4BCF" w14:paraId="6A313B2E" w14:textId="1F215B46">
      <w:pPr>
        <w:spacing w:line="276" w:lineRule="auto"/>
        <w:rPr>
          <w:iCs/>
          <w:szCs w:val="18"/>
        </w:rPr>
      </w:pPr>
    </w:p>
    <w:p w:rsidRPr="00622807" w:rsidR="00622807" w:rsidP="0009648E" w:rsidRDefault="00622807" w14:paraId="7621B3C4" w14:textId="51594ECF">
      <w:pPr>
        <w:spacing w:line="276" w:lineRule="auto"/>
        <w:rPr>
          <w:i/>
          <w:szCs w:val="18"/>
        </w:rPr>
      </w:pPr>
      <w:r w:rsidRPr="00622807">
        <w:rPr>
          <w:i/>
          <w:szCs w:val="18"/>
        </w:rPr>
        <w:t>Militaire technologie</w:t>
      </w:r>
    </w:p>
    <w:p w:rsidR="007B28EC" w:rsidP="0009648E" w:rsidRDefault="00622807" w14:paraId="0C73A37A" w14:textId="41648376">
      <w:pPr>
        <w:spacing w:line="276" w:lineRule="auto"/>
      </w:pPr>
      <w:r w:rsidRPr="000215D1">
        <w:rPr>
          <w:iCs/>
          <w:szCs w:val="18"/>
        </w:rPr>
        <w:t xml:space="preserve">De MIVD doet onderzoek naar militaire </w:t>
      </w:r>
      <w:r w:rsidRPr="000215D1" w:rsidR="000215D1">
        <w:rPr>
          <w:iCs/>
          <w:szCs w:val="18"/>
        </w:rPr>
        <w:t>technologie</w:t>
      </w:r>
      <w:r w:rsidRPr="000215D1">
        <w:rPr>
          <w:iCs/>
          <w:szCs w:val="18"/>
        </w:rPr>
        <w:t xml:space="preserve"> van landen met potentiële dreigende intenties richting de belangen van Nederland en </w:t>
      </w:r>
      <w:r w:rsidR="00A744B6">
        <w:rPr>
          <w:iCs/>
          <w:szCs w:val="18"/>
        </w:rPr>
        <w:t>zijn</w:t>
      </w:r>
      <w:r w:rsidRPr="000215D1">
        <w:rPr>
          <w:iCs/>
          <w:szCs w:val="18"/>
        </w:rPr>
        <w:t xml:space="preserve"> bondgenoten. </w:t>
      </w:r>
      <w:r w:rsidRPr="000215D1" w:rsidR="000215D1">
        <w:rPr>
          <w:iCs/>
          <w:szCs w:val="18"/>
        </w:rPr>
        <w:t>Hiermee</w:t>
      </w:r>
      <w:r w:rsidRPr="000215D1">
        <w:rPr>
          <w:iCs/>
          <w:szCs w:val="18"/>
        </w:rPr>
        <w:t xml:space="preserve"> </w:t>
      </w:r>
      <w:r w:rsidRPr="000215D1" w:rsidR="000215D1">
        <w:rPr>
          <w:iCs/>
          <w:szCs w:val="18"/>
        </w:rPr>
        <w:t>levert</w:t>
      </w:r>
      <w:r w:rsidRPr="000215D1">
        <w:rPr>
          <w:iCs/>
          <w:szCs w:val="18"/>
        </w:rPr>
        <w:t xml:space="preserve"> de MIVD </w:t>
      </w:r>
      <w:r w:rsidRPr="000215D1" w:rsidR="000215D1">
        <w:rPr>
          <w:iCs/>
          <w:szCs w:val="18"/>
        </w:rPr>
        <w:t xml:space="preserve">een bijdrage aan </w:t>
      </w:r>
      <w:r w:rsidRPr="000215D1">
        <w:rPr>
          <w:iCs/>
          <w:szCs w:val="18"/>
        </w:rPr>
        <w:t>de effectiviteit en weerbaarheid van de krijgsmacht</w:t>
      </w:r>
      <w:r w:rsidRPr="000215D1" w:rsidR="000215D1">
        <w:rPr>
          <w:iCs/>
          <w:szCs w:val="18"/>
        </w:rPr>
        <w:t xml:space="preserve"> en adviseert </w:t>
      </w:r>
      <w:r w:rsidR="008A4D0B">
        <w:rPr>
          <w:iCs/>
          <w:szCs w:val="18"/>
        </w:rPr>
        <w:t xml:space="preserve">de </w:t>
      </w:r>
      <w:r w:rsidR="00D94259">
        <w:rPr>
          <w:iCs/>
          <w:szCs w:val="18"/>
        </w:rPr>
        <w:t xml:space="preserve">MIVD </w:t>
      </w:r>
      <w:r w:rsidRPr="000215D1" w:rsidR="000215D1">
        <w:rPr>
          <w:iCs/>
          <w:szCs w:val="18"/>
        </w:rPr>
        <w:t xml:space="preserve">bij </w:t>
      </w:r>
      <w:r w:rsidRPr="000215D1">
        <w:rPr>
          <w:iCs/>
          <w:szCs w:val="18"/>
        </w:rPr>
        <w:t xml:space="preserve">interdepartementale besluitvorming. Zo ondersteunt de MIVD het ministerie van Buitenlandse Zaken in de exportcontroletaak en het toezicht op de naleving van embargo’s. </w:t>
      </w:r>
      <w:r w:rsidRPr="000215D1" w:rsidR="000215D1">
        <w:rPr>
          <w:iCs/>
          <w:szCs w:val="18"/>
        </w:rPr>
        <w:t xml:space="preserve">Naast onderzoek </w:t>
      </w:r>
      <w:r w:rsidRPr="000215D1" w:rsidR="000215D1">
        <w:rPr>
          <w:iCs/>
          <w:szCs w:val="18"/>
        </w:rPr>
        <w:lastRenderedPageBreak/>
        <w:t>naar</w:t>
      </w:r>
      <w:r w:rsidRPr="006C2413" w:rsidR="000215D1">
        <w:rPr>
          <w:iCs/>
          <w:szCs w:val="18"/>
        </w:rPr>
        <w:t xml:space="preserve"> conventionele en nieuwe (disruptieve) wapentechniek</w:t>
      </w:r>
      <w:r w:rsidRPr="006C2413" w:rsidR="00E03D2F">
        <w:rPr>
          <w:iCs/>
          <w:szCs w:val="18"/>
        </w:rPr>
        <w:t>en</w:t>
      </w:r>
      <w:r w:rsidRPr="006C2413" w:rsidR="000215D1">
        <w:rPr>
          <w:iCs/>
          <w:szCs w:val="18"/>
        </w:rPr>
        <w:t xml:space="preserve"> gaat de MIVD zich in 2026 ook </w:t>
      </w:r>
      <w:r w:rsidRPr="006C2413" w:rsidR="007B28EC">
        <w:rPr>
          <w:iCs/>
          <w:szCs w:val="18"/>
        </w:rPr>
        <w:t xml:space="preserve">meer </w:t>
      </w:r>
      <w:r w:rsidRPr="006C2413" w:rsidR="000215D1">
        <w:rPr>
          <w:iCs/>
          <w:szCs w:val="18"/>
        </w:rPr>
        <w:t xml:space="preserve">richten op ontwikkelingen in het ruimtedomein. Zo kunnen </w:t>
      </w:r>
      <w:r w:rsidR="00F67A28">
        <w:rPr>
          <w:iCs/>
          <w:szCs w:val="18"/>
        </w:rPr>
        <w:t xml:space="preserve">bijvoorbeeld </w:t>
      </w:r>
      <w:r w:rsidRPr="006C2413" w:rsidR="000215D1">
        <w:rPr>
          <w:i/>
        </w:rPr>
        <w:t xml:space="preserve">counter space </w:t>
      </w:r>
      <w:r w:rsidRPr="006C2413" w:rsidR="000215D1">
        <w:rPr>
          <w:iCs/>
          <w:szCs w:val="18"/>
        </w:rPr>
        <w:t xml:space="preserve">wapens in potentie op grote schaal </w:t>
      </w:r>
      <w:r w:rsidR="00461520">
        <w:rPr>
          <w:iCs/>
          <w:szCs w:val="18"/>
        </w:rPr>
        <w:t xml:space="preserve">in de </w:t>
      </w:r>
      <w:r w:rsidRPr="006C2413" w:rsidR="000215D1">
        <w:rPr>
          <w:iCs/>
          <w:szCs w:val="18"/>
        </w:rPr>
        <w:t xml:space="preserve">ruimte </w:t>
      </w:r>
      <w:r w:rsidR="00461520">
        <w:rPr>
          <w:iCs/>
          <w:szCs w:val="18"/>
        </w:rPr>
        <w:t>objecten</w:t>
      </w:r>
      <w:r w:rsidR="00250D6E">
        <w:rPr>
          <w:iCs/>
          <w:szCs w:val="18"/>
        </w:rPr>
        <w:t xml:space="preserve">, zoals bijvoorbeeld </w:t>
      </w:r>
      <w:r w:rsidR="00EF111D">
        <w:rPr>
          <w:iCs/>
          <w:szCs w:val="18"/>
        </w:rPr>
        <w:t>satellieten</w:t>
      </w:r>
      <w:r w:rsidRPr="006C2413" w:rsidR="00461520">
        <w:rPr>
          <w:iCs/>
          <w:szCs w:val="18"/>
        </w:rPr>
        <w:t xml:space="preserve"> </w:t>
      </w:r>
      <w:r w:rsidRPr="006C2413" w:rsidR="000215D1">
        <w:rPr>
          <w:iCs/>
          <w:szCs w:val="18"/>
        </w:rPr>
        <w:t>uitschakelen</w:t>
      </w:r>
      <w:r w:rsidR="00250D6E">
        <w:rPr>
          <w:iCs/>
          <w:szCs w:val="18"/>
        </w:rPr>
        <w:t xml:space="preserve">. Dat kan </w:t>
      </w:r>
      <w:r w:rsidRPr="006C2413" w:rsidR="000215D1">
        <w:rPr>
          <w:iCs/>
          <w:szCs w:val="18"/>
        </w:rPr>
        <w:t>zeer maatschappij-ontwrichtende gevolgen</w:t>
      </w:r>
      <w:r w:rsidR="00250D6E">
        <w:rPr>
          <w:iCs/>
          <w:szCs w:val="18"/>
        </w:rPr>
        <w:t xml:space="preserve"> hebben</w:t>
      </w:r>
      <w:r w:rsidRPr="006C2413" w:rsidR="000215D1">
        <w:rPr>
          <w:iCs/>
          <w:szCs w:val="18"/>
        </w:rPr>
        <w:t>.</w:t>
      </w:r>
    </w:p>
    <w:p w:rsidRPr="005B1771" w:rsidR="007B28EC" w:rsidP="0009648E" w:rsidRDefault="007B28EC" w14:paraId="506EFDB0" w14:textId="77777777">
      <w:pPr>
        <w:spacing w:line="276" w:lineRule="auto"/>
      </w:pPr>
    </w:p>
    <w:p w:rsidRPr="00622807" w:rsidR="00622807" w:rsidP="005B1771" w:rsidRDefault="00622807" w14:paraId="29D41A24" w14:textId="65F8F9E2">
      <w:pPr>
        <w:spacing w:line="276" w:lineRule="auto"/>
        <w:rPr>
          <w:i/>
          <w:iCs/>
          <w:szCs w:val="18"/>
        </w:rPr>
      </w:pPr>
      <w:r w:rsidRPr="00622807">
        <w:rPr>
          <w:i/>
          <w:iCs/>
          <w:szCs w:val="18"/>
        </w:rPr>
        <w:t>Economische veiligheid</w:t>
      </w:r>
    </w:p>
    <w:p w:rsidRPr="00D96949" w:rsidR="00622807" w:rsidP="0009648E" w:rsidRDefault="00622807" w14:paraId="4297B7E2" w14:textId="2966CA7E">
      <w:pPr>
        <w:spacing w:line="276" w:lineRule="auto"/>
        <w:rPr>
          <w:iCs/>
          <w:szCs w:val="18"/>
        </w:rPr>
      </w:pPr>
      <w:r w:rsidRPr="00D96949">
        <w:rPr>
          <w:szCs w:val="18"/>
        </w:rPr>
        <w:t>Verschillende MIVD- en AIVD-teams dragen vanuit de eigen wettelijke taken bij aan het beschermen van de Nederlandse overheid</w:t>
      </w:r>
      <w:r w:rsidRPr="00D96949">
        <w:rPr>
          <w:iCs/>
          <w:szCs w:val="18"/>
        </w:rPr>
        <w:t xml:space="preserve">, (defensie)industrie, vitale infrastructuur en kennisinstellingen tegen dreigingen die een risico vormen voor de Nederlandse economische- en veiligheidsbelangen. </w:t>
      </w:r>
      <w:r w:rsidRPr="00D96949" w:rsidR="00C20317">
        <w:rPr>
          <w:iCs/>
          <w:szCs w:val="18"/>
        </w:rPr>
        <w:t xml:space="preserve">De diensten werken hierbij nauw samen met </w:t>
      </w:r>
      <w:r w:rsidRPr="00D96949">
        <w:rPr>
          <w:iCs/>
          <w:szCs w:val="18"/>
        </w:rPr>
        <w:t xml:space="preserve">het Loket Kennisveiligheid van het </w:t>
      </w:r>
      <w:r w:rsidR="009C4E7C">
        <w:rPr>
          <w:iCs/>
          <w:szCs w:val="18"/>
        </w:rPr>
        <w:t>m</w:t>
      </w:r>
      <w:r w:rsidRPr="00D96949">
        <w:rPr>
          <w:iCs/>
          <w:szCs w:val="18"/>
        </w:rPr>
        <w:t xml:space="preserve">inisterie van </w:t>
      </w:r>
      <w:r w:rsidR="009C4E7C">
        <w:rPr>
          <w:iCs/>
          <w:szCs w:val="18"/>
        </w:rPr>
        <w:t>Onderwijs, Cultuur en Wetenschap (</w:t>
      </w:r>
      <w:r w:rsidRPr="00D96949">
        <w:rPr>
          <w:iCs/>
          <w:szCs w:val="18"/>
        </w:rPr>
        <w:t>OCW</w:t>
      </w:r>
      <w:r w:rsidR="009C4E7C">
        <w:rPr>
          <w:iCs/>
          <w:szCs w:val="18"/>
        </w:rPr>
        <w:t>)</w:t>
      </w:r>
      <w:r w:rsidRPr="00D96949">
        <w:rPr>
          <w:iCs/>
          <w:szCs w:val="18"/>
        </w:rPr>
        <w:t xml:space="preserve"> en het Ondernemersloket Economische Veiligheid.</w:t>
      </w:r>
    </w:p>
    <w:p w:rsidRPr="00622807" w:rsidR="00622807" w:rsidP="0009648E" w:rsidRDefault="00622807" w14:paraId="1AF18A75" w14:textId="77777777">
      <w:pPr>
        <w:spacing w:line="276" w:lineRule="auto"/>
        <w:rPr>
          <w:iCs/>
          <w:szCs w:val="18"/>
        </w:rPr>
      </w:pPr>
    </w:p>
    <w:p w:rsidRPr="00622807" w:rsidR="00622807" w:rsidP="0009648E" w:rsidRDefault="00622807" w14:paraId="3F596F83" w14:textId="77777777">
      <w:pPr>
        <w:spacing w:line="276" w:lineRule="auto"/>
        <w:rPr>
          <w:i/>
          <w:szCs w:val="18"/>
        </w:rPr>
      </w:pPr>
      <w:r w:rsidRPr="00622807">
        <w:rPr>
          <w:i/>
          <w:szCs w:val="18"/>
        </w:rPr>
        <w:t xml:space="preserve">Cyber </w:t>
      </w:r>
    </w:p>
    <w:p w:rsidRPr="005B1771" w:rsidR="00622807" w:rsidP="0009648E" w:rsidRDefault="00622807" w14:paraId="21FA78F4" w14:textId="1D91F4B8">
      <w:pPr>
        <w:spacing w:line="276" w:lineRule="auto"/>
      </w:pPr>
      <w:r w:rsidRPr="000215D1">
        <w:rPr>
          <w:iCs/>
          <w:szCs w:val="18"/>
        </w:rPr>
        <w:t xml:space="preserve">Verschillende statelijke </w:t>
      </w:r>
      <w:r w:rsidR="00352E6F">
        <w:rPr>
          <w:iCs/>
          <w:szCs w:val="18"/>
        </w:rPr>
        <w:t xml:space="preserve">en niet-statelijke </w:t>
      </w:r>
      <w:r w:rsidRPr="000215D1">
        <w:rPr>
          <w:iCs/>
          <w:szCs w:val="18"/>
        </w:rPr>
        <w:t xml:space="preserve">actoren bedreigen de Nederlandse nationale veiligheid door aanhoudende cyberaanvallen </w:t>
      </w:r>
      <w:r w:rsidR="00DE23D6">
        <w:rPr>
          <w:iCs/>
          <w:szCs w:val="18"/>
        </w:rPr>
        <w:t xml:space="preserve">die ze </w:t>
      </w:r>
      <w:r w:rsidRPr="000215D1">
        <w:rPr>
          <w:iCs/>
          <w:szCs w:val="18"/>
        </w:rPr>
        <w:t>richt</w:t>
      </w:r>
      <w:r w:rsidR="00DE23D6">
        <w:rPr>
          <w:iCs/>
          <w:szCs w:val="18"/>
        </w:rPr>
        <w:t>en</w:t>
      </w:r>
      <w:r w:rsidRPr="000215D1">
        <w:rPr>
          <w:iCs/>
          <w:szCs w:val="18"/>
        </w:rPr>
        <w:t xml:space="preserve"> op overheden, bedrijven en organisaties. </w:t>
      </w:r>
      <w:r w:rsidRPr="000215D1" w:rsidR="009007C7">
        <w:rPr>
          <w:iCs/>
          <w:szCs w:val="18"/>
        </w:rPr>
        <w:t>Nederland heeft doorlopend te maken met cyberdreiging vanuit landen als Rusland, China, Iran</w:t>
      </w:r>
      <w:r w:rsidR="009007C7">
        <w:rPr>
          <w:iCs/>
          <w:szCs w:val="18"/>
        </w:rPr>
        <w:t xml:space="preserve">, </w:t>
      </w:r>
      <w:r w:rsidRPr="000215D1" w:rsidR="009007C7">
        <w:rPr>
          <w:iCs/>
          <w:szCs w:val="18"/>
        </w:rPr>
        <w:t>Noord-Korea</w:t>
      </w:r>
      <w:r w:rsidR="009007C7">
        <w:rPr>
          <w:iCs/>
          <w:szCs w:val="18"/>
        </w:rPr>
        <w:t xml:space="preserve"> en niet- statelijke actoren</w:t>
      </w:r>
      <w:r w:rsidRPr="000215D1" w:rsidR="009007C7">
        <w:rPr>
          <w:iCs/>
          <w:szCs w:val="18"/>
        </w:rPr>
        <w:t>.</w:t>
      </w:r>
      <w:r w:rsidR="00EF111D">
        <w:rPr>
          <w:iCs/>
          <w:szCs w:val="18"/>
        </w:rPr>
        <w:t xml:space="preserve"> </w:t>
      </w:r>
      <w:r w:rsidR="00352E6F">
        <w:rPr>
          <w:iCs/>
          <w:szCs w:val="18"/>
        </w:rPr>
        <w:t>Statelijke en niet-statelijke actoren raken steeds verder verweven, daarnaast blijven c</w:t>
      </w:r>
      <w:r w:rsidRPr="000215D1">
        <w:rPr>
          <w:iCs/>
          <w:szCs w:val="18"/>
        </w:rPr>
        <w:t xml:space="preserve">yberaanvallen vaak onder de oppervlakte, maar vormen </w:t>
      </w:r>
      <w:r w:rsidR="007B28EC">
        <w:rPr>
          <w:iCs/>
          <w:szCs w:val="18"/>
        </w:rPr>
        <w:t>wel</w:t>
      </w:r>
      <w:r w:rsidR="00820CDC">
        <w:rPr>
          <w:iCs/>
          <w:szCs w:val="18"/>
        </w:rPr>
        <w:t xml:space="preserve"> </w:t>
      </w:r>
      <w:r w:rsidR="007B28EC">
        <w:rPr>
          <w:iCs/>
          <w:szCs w:val="18"/>
        </w:rPr>
        <w:t>degelijk</w:t>
      </w:r>
      <w:r w:rsidRPr="000215D1" w:rsidR="007B28EC">
        <w:rPr>
          <w:iCs/>
          <w:szCs w:val="18"/>
        </w:rPr>
        <w:t xml:space="preserve"> </w:t>
      </w:r>
      <w:r w:rsidRPr="000215D1">
        <w:rPr>
          <w:iCs/>
          <w:szCs w:val="18"/>
        </w:rPr>
        <w:t xml:space="preserve">een grote dreiging. Met name de moeilijke duiding en attributie maakt dit een veelgebruikt middel door </w:t>
      </w:r>
      <w:r w:rsidR="00DE23D6">
        <w:rPr>
          <w:iCs/>
          <w:szCs w:val="18"/>
        </w:rPr>
        <w:t xml:space="preserve">deze </w:t>
      </w:r>
      <w:r w:rsidRPr="000215D1">
        <w:rPr>
          <w:iCs/>
          <w:szCs w:val="18"/>
        </w:rPr>
        <w:t xml:space="preserve">actoren. Deze digitale dreiging levert dan ook een gevaar op voor de economische veiligheid van Nederland, </w:t>
      </w:r>
      <w:r w:rsidR="009007C7">
        <w:rPr>
          <w:iCs/>
          <w:szCs w:val="18"/>
        </w:rPr>
        <w:t>zijn</w:t>
      </w:r>
      <w:r w:rsidRPr="000215D1">
        <w:rPr>
          <w:iCs/>
          <w:szCs w:val="18"/>
        </w:rPr>
        <w:t xml:space="preserve"> sociale en politieke stabiliteit, </w:t>
      </w:r>
      <w:r w:rsidR="009007C7">
        <w:rPr>
          <w:iCs/>
          <w:szCs w:val="18"/>
        </w:rPr>
        <w:t>zijn</w:t>
      </w:r>
      <w:r w:rsidRPr="000215D1">
        <w:rPr>
          <w:iCs/>
          <w:szCs w:val="18"/>
        </w:rPr>
        <w:t xml:space="preserve"> fysieke veiligheid en de internationale rechtsorde. De MIVD richt zich in 202</w:t>
      </w:r>
      <w:r w:rsidRPr="000215D1" w:rsidR="000215D1">
        <w:rPr>
          <w:iCs/>
          <w:szCs w:val="18"/>
        </w:rPr>
        <w:t>6</w:t>
      </w:r>
      <w:r w:rsidRPr="000215D1">
        <w:rPr>
          <w:iCs/>
          <w:szCs w:val="18"/>
        </w:rPr>
        <w:t xml:space="preserve"> nadrukkelijk op het verstoren en openbaren van cyberoperaties van</w:t>
      </w:r>
      <w:r w:rsidR="00352E6F">
        <w:rPr>
          <w:iCs/>
          <w:szCs w:val="18"/>
        </w:rPr>
        <w:t xml:space="preserve"> </w:t>
      </w:r>
      <w:r w:rsidR="00F87166">
        <w:rPr>
          <w:iCs/>
          <w:szCs w:val="18"/>
        </w:rPr>
        <w:t>zowel de statelijke- als niet-statelijke actoren</w:t>
      </w:r>
      <w:r w:rsidRPr="000215D1">
        <w:rPr>
          <w:iCs/>
          <w:szCs w:val="18"/>
        </w:rPr>
        <w:t xml:space="preserve">. </w:t>
      </w:r>
      <w:r w:rsidRPr="00157315" w:rsidR="00C15EF9">
        <w:rPr>
          <w:color w:val="000000"/>
        </w:rPr>
        <w:t xml:space="preserve">Een belangrijk doel van de </w:t>
      </w:r>
      <w:r w:rsidR="00C328E6">
        <w:rPr>
          <w:color w:val="000000"/>
        </w:rPr>
        <w:t>cyber</w:t>
      </w:r>
      <w:r w:rsidRPr="00157315" w:rsidR="00C15EF9">
        <w:rPr>
          <w:color w:val="000000"/>
        </w:rPr>
        <w:t>onderzoeken</w:t>
      </w:r>
      <w:r w:rsidR="00C328E6">
        <w:rPr>
          <w:color w:val="000000"/>
        </w:rPr>
        <w:t xml:space="preserve"> van de MIVD</w:t>
      </w:r>
      <w:r w:rsidRPr="00157315" w:rsidR="00C15EF9">
        <w:rPr>
          <w:color w:val="000000"/>
        </w:rPr>
        <w:t xml:space="preserve"> is </w:t>
      </w:r>
      <w:r w:rsidR="00F87166">
        <w:rPr>
          <w:color w:val="000000"/>
        </w:rPr>
        <w:t xml:space="preserve">daarnaast </w:t>
      </w:r>
      <w:r w:rsidRPr="00157315" w:rsidR="00C15EF9">
        <w:rPr>
          <w:color w:val="000000"/>
        </w:rPr>
        <w:t>het in kennis stellen van (internationale) slachtoffers en voorzien in vormen van weerbaarheidsverhogende maatregelen.</w:t>
      </w:r>
    </w:p>
    <w:p w:rsidR="008541B6" w:rsidP="0009648E" w:rsidRDefault="008541B6" w14:paraId="5FCD888C" w14:textId="69D4DE64">
      <w:pPr>
        <w:spacing w:line="276" w:lineRule="auto"/>
        <w:rPr>
          <w:b/>
          <w:iCs/>
          <w:szCs w:val="18"/>
        </w:rPr>
      </w:pPr>
      <w:bookmarkStart w:name="_Hlk182415060" w:id="2"/>
    </w:p>
    <w:p w:rsidRPr="00622807" w:rsidR="00622807" w:rsidP="0009648E" w:rsidRDefault="00622807" w14:paraId="02BA93D9" w14:textId="1B81DB7A">
      <w:pPr>
        <w:spacing w:line="276" w:lineRule="auto"/>
        <w:rPr>
          <w:b/>
          <w:iCs/>
          <w:szCs w:val="18"/>
        </w:rPr>
      </w:pPr>
      <w:r w:rsidRPr="00622807">
        <w:rPr>
          <w:b/>
          <w:iCs/>
          <w:szCs w:val="18"/>
        </w:rPr>
        <w:t>Veiligheidsbevorderende taken en doelstellingen 202</w:t>
      </w:r>
      <w:r w:rsidR="004C6304">
        <w:rPr>
          <w:b/>
          <w:iCs/>
          <w:szCs w:val="18"/>
        </w:rPr>
        <w:t>6</w:t>
      </w:r>
      <w:r w:rsidRPr="00622807">
        <w:rPr>
          <w:b/>
          <w:iCs/>
          <w:szCs w:val="18"/>
        </w:rPr>
        <w:t xml:space="preserve"> </w:t>
      </w:r>
    </w:p>
    <w:bookmarkEnd w:id="2"/>
    <w:p w:rsidRPr="00622807" w:rsidR="00622807" w:rsidP="0009648E" w:rsidRDefault="00622807" w14:paraId="4AC69185" w14:textId="102AEDF4">
      <w:pPr>
        <w:spacing w:line="276" w:lineRule="auto"/>
        <w:rPr>
          <w:iCs/>
          <w:szCs w:val="18"/>
        </w:rPr>
      </w:pPr>
      <w:r w:rsidRPr="00622807">
        <w:rPr>
          <w:iCs/>
          <w:szCs w:val="18"/>
        </w:rPr>
        <w:t xml:space="preserve">Naast de hierboven beschreven </w:t>
      </w:r>
      <w:r w:rsidR="00AF559C">
        <w:rPr>
          <w:iCs/>
          <w:szCs w:val="18"/>
        </w:rPr>
        <w:t>inlichtingentaken</w:t>
      </w:r>
      <w:r w:rsidRPr="00622807">
        <w:rPr>
          <w:iCs/>
          <w:szCs w:val="18"/>
        </w:rPr>
        <w:t>, wordt hieronder inzicht gegeven in de veiligheidsbevorderende taken voor 202</w:t>
      </w:r>
      <w:r w:rsidR="004C6304">
        <w:rPr>
          <w:iCs/>
          <w:szCs w:val="18"/>
        </w:rPr>
        <w:t>6</w:t>
      </w:r>
      <w:r w:rsidRPr="00622807">
        <w:rPr>
          <w:iCs/>
          <w:szCs w:val="18"/>
        </w:rPr>
        <w:t xml:space="preserve">. </w:t>
      </w:r>
    </w:p>
    <w:p w:rsidRPr="00622807" w:rsidR="00C15EF9" w:rsidP="0009648E" w:rsidRDefault="00C15EF9" w14:paraId="68D9D542" w14:textId="77777777">
      <w:pPr>
        <w:spacing w:line="276" w:lineRule="auto"/>
        <w:rPr>
          <w:i/>
          <w:szCs w:val="18"/>
        </w:rPr>
      </w:pPr>
    </w:p>
    <w:p w:rsidRPr="00622807" w:rsidR="00622807" w:rsidP="0009648E" w:rsidRDefault="00622807" w14:paraId="7542924F" w14:textId="77777777">
      <w:pPr>
        <w:spacing w:line="276" w:lineRule="auto"/>
        <w:rPr>
          <w:i/>
          <w:szCs w:val="18"/>
        </w:rPr>
      </w:pPr>
      <w:r w:rsidRPr="00622807">
        <w:rPr>
          <w:i/>
          <w:szCs w:val="18"/>
        </w:rPr>
        <w:t xml:space="preserve">Veiligheidsonderzoeken </w:t>
      </w:r>
    </w:p>
    <w:p w:rsidRPr="00402EC1" w:rsidR="00C15EF9" w:rsidP="0009648E" w:rsidRDefault="00C15EF9" w14:paraId="370D2A94" w14:textId="1CD18348">
      <w:pPr>
        <w:spacing w:line="276" w:lineRule="auto"/>
      </w:pPr>
      <w:r w:rsidRPr="00402EC1">
        <w:t xml:space="preserve">Voorbereiding op een grootschalig conflict geeft een nieuwe dimensie aan de vorig jaar toegelichte trend van de steeds verder toenemende vraag naar veiligheidsonderzoeken. </w:t>
      </w:r>
      <w:r w:rsidR="00CF630F">
        <w:t>Zowel de u</w:t>
      </w:r>
      <w:r w:rsidRPr="00402EC1">
        <w:t>itbreidingsplannen binnen Defensie</w:t>
      </w:r>
      <w:r w:rsidR="00CF630F">
        <w:t xml:space="preserve"> en</w:t>
      </w:r>
      <w:r w:rsidRPr="00402EC1">
        <w:t xml:space="preserve"> </w:t>
      </w:r>
      <w:r w:rsidR="00CF630F">
        <w:t xml:space="preserve">de </w:t>
      </w:r>
      <w:r w:rsidRPr="00402EC1">
        <w:t>Rijksoverheid</w:t>
      </w:r>
      <w:r w:rsidR="00CF630F">
        <w:t xml:space="preserve"> als</w:t>
      </w:r>
      <w:r w:rsidRPr="00402EC1">
        <w:t xml:space="preserve"> de intensivering van de samenwerking met het bedrijfsleven en specifiek de defensie-industrie</w:t>
      </w:r>
      <w:r w:rsidR="00820CDC">
        <w:t>,</w:t>
      </w:r>
      <w:r w:rsidR="00CF630F">
        <w:t xml:space="preserve"> </w:t>
      </w:r>
      <w:r w:rsidRPr="00402EC1">
        <w:t>zullen naar verwachting leiden tot een forse stijging van personeel op vertrouwensfuncties. Hierdoor z</w:t>
      </w:r>
      <w:r w:rsidR="00873458">
        <w:t>ul</w:t>
      </w:r>
      <w:r w:rsidRPr="00402EC1">
        <w:t>l</w:t>
      </w:r>
      <w:r w:rsidR="00873458">
        <w:t>en</w:t>
      </w:r>
      <w:r w:rsidRPr="00402EC1">
        <w:t xml:space="preserve"> de </w:t>
      </w:r>
      <w:r w:rsidR="00873458">
        <w:t>diensten</w:t>
      </w:r>
      <w:r w:rsidRPr="00402EC1">
        <w:t xml:space="preserve"> </w:t>
      </w:r>
      <w:r w:rsidR="00796CB1">
        <w:t xml:space="preserve">in 2026 </w:t>
      </w:r>
      <w:r w:rsidRPr="00402EC1">
        <w:t>fors meer veiligheidsonderzoeken te verwerken krijgen.</w:t>
      </w:r>
      <w:r w:rsidRPr="004C6304" w:rsidR="00622807">
        <w:rPr>
          <w:iCs/>
          <w:color w:val="808080" w:themeColor="background1" w:themeShade="80"/>
          <w:szCs w:val="18"/>
        </w:rPr>
        <w:t xml:space="preserve"> </w:t>
      </w:r>
      <w:r w:rsidR="00796CB1">
        <w:t>D</w:t>
      </w:r>
      <w:r w:rsidRPr="00402EC1">
        <w:t xml:space="preserve">e </w:t>
      </w:r>
      <w:r w:rsidR="00873458">
        <w:t xml:space="preserve">diensten </w:t>
      </w:r>
      <w:r w:rsidR="00796CB1">
        <w:t>z</w:t>
      </w:r>
      <w:r w:rsidR="00873458">
        <w:t>ullen</w:t>
      </w:r>
      <w:r w:rsidR="00CF630F">
        <w:t xml:space="preserve"> in 2026</w:t>
      </w:r>
      <w:r w:rsidRPr="00402EC1">
        <w:t xml:space="preserve"> nog nauwer gaan samenwerken met de verschillende stakeholders binnen de</w:t>
      </w:r>
      <w:r w:rsidR="00CF630F">
        <w:t xml:space="preserve"> </w:t>
      </w:r>
      <w:r w:rsidR="00171B12">
        <w:t>veiligheids</w:t>
      </w:r>
      <w:r w:rsidR="00CF630F">
        <w:t>keten</w:t>
      </w:r>
      <w:r w:rsidRPr="00796CB1" w:rsidR="00796CB1">
        <w:t xml:space="preserve"> </w:t>
      </w:r>
      <w:r w:rsidR="00796CB1">
        <w:t>met als doel de</w:t>
      </w:r>
      <w:r w:rsidR="00171B12">
        <w:t>ze</w:t>
      </w:r>
      <w:r w:rsidR="00796CB1">
        <w:t xml:space="preserve"> verder te versterken</w:t>
      </w:r>
      <w:r w:rsidR="00CF630F">
        <w:t xml:space="preserve">. </w:t>
      </w:r>
    </w:p>
    <w:p w:rsidRPr="004C6304" w:rsidR="00622807" w:rsidP="0009648E" w:rsidRDefault="00622807" w14:paraId="7EDE5E1F" w14:textId="77777777">
      <w:pPr>
        <w:spacing w:line="276" w:lineRule="auto"/>
        <w:rPr>
          <w:iCs/>
          <w:color w:val="808080" w:themeColor="background1" w:themeShade="80"/>
          <w:szCs w:val="18"/>
        </w:rPr>
      </w:pPr>
    </w:p>
    <w:p w:rsidRPr="00402EC1" w:rsidR="00C15EF9" w:rsidP="0009648E" w:rsidRDefault="00C15EF9" w14:paraId="30D9845C" w14:textId="25AC3403">
      <w:pPr>
        <w:spacing w:line="276" w:lineRule="auto"/>
      </w:pPr>
      <w:r w:rsidRPr="00402EC1">
        <w:t xml:space="preserve">De </w:t>
      </w:r>
      <w:r w:rsidR="00005A9B">
        <w:t>gewijzigde</w:t>
      </w:r>
      <w:r w:rsidRPr="00402EC1" w:rsidR="00005A9B">
        <w:t xml:space="preserve"> </w:t>
      </w:r>
      <w:r w:rsidRPr="00402EC1">
        <w:t xml:space="preserve">Wet veiligheidsonderzoeken (Wvo) zal in 2026 in werking treden. </w:t>
      </w:r>
      <w:r w:rsidR="00717A52">
        <w:rPr>
          <w:rFonts w:cs="Verdana"/>
          <w:color w:val="000000"/>
        </w:rPr>
        <w:t xml:space="preserve">Het wordt daarmee onder meer mogelijk om </w:t>
      </w:r>
      <w:r w:rsidRPr="00402EC1">
        <w:rPr>
          <w:rFonts w:cs="Verdana"/>
          <w:color w:val="000000"/>
        </w:rPr>
        <w:t xml:space="preserve">een </w:t>
      </w:r>
      <w:r w:rsidRPr="00402EC1" w:rsidR="00CF630F">
        <w:rPr>
          <w:rFonts w:cs="Verdana"/>
          <w:color w:val="000000"/>
        </w:rPr>
        <w:t>locatie</w:t>
      </w:r>
      <w:r w:rsidR="00EF111D">
        <w:rPr>
          <w:rFonts w:cs="Verdana"/>
          <w:color w:val="000000"/>
        </w:rPr>
        <w:t>-</w:t>
      </w:r>
      <w:r w:rsidRPr="00402EC1" w:rsidR="00CF630F">
        <w:rPr>
          <w:rFonts w:cs="Verdana"/>
          <w:color w:val="000000"/>
        </w:rPr>
        <w:t>gebonden</w:t>
      </w:r>
      <w:r w:rsidRPr="00402EC1">
        <w:rPr>
          <w:rFonts w:cs="Verdana"/>
          <w:color w:val="000000"/>
        </w:rPr>
        <w:t xml:space="preserve"> vertrouwensfunctie </w:t>
      </w:r>
      <w:r w:rsidR="00717A52">
        <w:rPr>
          <w:rFonts w:cs="Verdana"/>
          <w:color w:val="000000"/>
        </w:rPr>
        <w:t>af te geven</w:t>
      </w:r>
      <w:r w:rsidRPr="00402EC1">
        <w:rPr>
          <w:rFonts w:cs="Verdana"/>
          <w:color w:val="000000"/>
        </w:rPr>
        <w:t>. Deze toevoeging bevordert de mobiliteit en flexibiliteit van personeel</w:t>
      </w:r>
      <w:r w:rsidR="00005A9B">
        <w:rPr>
          <w:rFonts w:cs="Verdana"/>
          <w:color w:val="000000"/>
        </w:rPr>
        <w:t xml:space="preserve"> dat werkzaam is</w:t>
      </w:r>
      <w:r w:rsidRPr="00402EC1">
        <w:rPr>
          <w:rFonts w:cs="Verdana"/>
          <w:color w:val="000000"/>
        </w:rPr>
        <w:t xml:space="preserve"> op </w:t>
      </w:r>
      <w:r w:rsidR="00005A9B">
        <w:rPr>
          <w:rFonts w:cs="Verdana"/>
          <w:color w:val="000000"/>
        </w:rPr>
        <w:t>specifieke locaties</w:t>
      </w:r>
      <w:r w:rsidRPr="00402EC1">
        <w:rPr>
          <w:rFonts w:cs="Verdana"/>
          <w:color w:val="000000"/>
        </w:rPr>
        <w:t xml:space="preserve">, </w:t>
      </w:r>
      <w:r w:rsidR="00005A9B">
        <w:rPr>
          <w:rFonts w:cs="Verdana"/>
          <w:color w:val="000000"/>
        </w:rPr>
        <w:t>zoals</w:t>
      </w:r>
      <w:r w:rsidRPr="00402EC1">
        <w:rPr>
          <w:rFonts w:cs="Verdana"/>
          <w:color w:val="000000"/>
        </w:rPr>
        <w:t xml:space="preserve"> bijvoorbeeld </w:t>
      </w:r>
      <w:r w:rsidRPr="00402EC1">
        <w:rPr>
          <w:rFonts w:cs="Verdana"/>
          <w:color w:val="000000"/>
        </w:rPr>
        <w:lastRenderedPageBreak/>
        <w:t>de burgerluchthavens.</w:t>
      </w:r>
      <w:r w:rsidR="00005A9B">
        <w:rPr>
          <w:rFonts w:cs="Verdana"/>
          <w:color w:val="000000"/>
        </w:rPr>
        <w:t xml:space="preserve"> Tevens zal een</w:t>
      </w:r>
      <w:r w:rsidRPr="00402EC1" w:rsidR="00005A9B">
        <w:t xml:space="preserve"> register van actieve vertrouwensfunctionarissen </w:t>
      </w:r>
      <w:r w:rsidR="00005A9B">
        <w:t xml:space="preserve">in gebruik </w:t>
      </w:r>
      <w:r w:rsidRPr="00402EC1" w:rsidR="00005A9B">
        <w:t>genomen worden.</w:t>
      </w:r>
    </w:p>
    <w:p w:rsidRPr="00622807" w:rsidR="00327258" w:rsidP="0009648E" w:rsidRDefault="00327258" w14:paraId="2BF36F8D" w14:textId="77777777">
      <w:pPr>
        <w:spacing w:line="276" w:lineRule="auto"/>
        <w:rPr>
          <w:i/>
          <w:szCs w:val="18"/>
        </w:rPr>
      </w:pPr>
    </w:p>
    <w:p w:rsidRPr="00622807" w:rsidR="00622807" w:rsidP="0009648E" w:rsidRDefault="00622807" w14:paraId="3E137651" w14:textId="77777777">
      <w:pPr>
        <w:spacing w:line="276" w:lineRule="auto"/>
        <w:rPr>
          <w:i/>
          <w:szCs w:val="18"/>
        </w:rPr>
      </w:pPr>
      <w:r w:rsidRPr="00622807">
        <w:rPr>
          <w:i/>
          <w:szCs w:val="18"/>
        </w:rPr>
        <w:t xml:space="preserve">Elektronische veiligheidsonderzoeken </w:t>
      </w:r>
    </w:p>
    <w:p w:rsidRPr="005B1771" w:rsidR="005171BC" w:rsidP="0009648E" w:rsidRDefault="00622807" w14:paraId="700BC726" w14:textId="5A541787">
      <w:pPr>
        <w:spacing w:line="276" w:lineRule="auto"/>
      </w:pPr>
      <w:r w:rsidRPr="00C15EF9">
        <w:rPr>
          <w:iCs/>
          <w:szCs w:val="18"/>
        </w:rPr>
        <w:t xml:space="preserve">Conform het Defensie Beveiligingsbeleid controleert de MIVD ruimtes, in binnen- en buitenland, waarin informatie met een rubricering van </w:t>
      </w:r>
      <w:r w:rsidR="0031586C">
        <w:rPr>
          <w:iCs/>
          <w:szCs w:val="18"/>
        </w:rPr>
        <w:t>Staatsgeheim</w:t>
      </w:r>
      <w:r w:rsidRPr="00C15EF9">
        <w:rPr>
          <w:iCs/>
          <w:szCs w:val="18"/>
        </w:rPr>
        <w:t xml:space="preserve"> GEHEIM of hoger besproken of verwerkt wordt, op het gebied van elektronische veiligheid. </w:t>
      </w:r>
      <w:r w:rsidRPr="00C15EF9" w:rsidR="00C15EF9">
        <w:t>Als gevolg van de internationale geopolitieke ontwikkelingen en de focus op Hoofdtaak 1 zal de</w:t>
      </w:r>
      <w:r w:rsidR="00046FE0">
        <w:t xml:space="preserve"> toenemende vraag naar elektronische veiligheidsonderzoeken </w:t>
      </w:r>
      <w:r w:rsidRPr="00C15EF9" w:rsidR="00C15EF9">
        <w:t xml:space="preserve">naar verwachting de komende jaren continueren. Ook de </w:t>
      </w:r>
      <w:r w:rsidRPr="00C15EF9" w:rsidR="00C6750A">
        <w:t>toe</w:t>
      </w:r>
      <w:r w:rsidR="00C6750A">
        <w:t>genomen</w:t>
      </w:r>
      <w:r w:rsidRPr="00C15EF9" w:rsidR="00C6750A">
        <w:t xml:space="preserve"> </w:t>
      </w:r>
      <w:r w:rsidRPr="00C15EF9" w:rsidR="00C15EF9">
        <w:t xml:space="preserve">investeringen in de defensieorganisatie resulteren in een grotere behoefte aan </w:t>
      </w:r>
      <w:r w:rsidR="00F37B28">
        <w:t>inzet van elektronische veiligheidsonderzoeken</w:t>
      </w:r>
      <w:r w:rsidR="00046FE0">
        <w:t xml:space="preserve"> voor 2026 en </w:t>
      </w:r>
      <w:r w:rsidR="00C6750A">
        <w:t>daarna</w:t>
      </w:r>
      <w:r w:rsidRPr="00C15EF9" w:rsidR="00C15EF9">
        <w:t>.</w:t>
      </w:r>
    </w:p>
    <w:p w:rsidRPr="005B1771" w:rsidR="005171BC" w:rsidP="0009648E" w:rsidRDefault="005171BC" w14:paraId="75D998BA" w14:textId="1B8DAF3B">
      <w:pPr>
        <w:spacing w:line="276" w:lineRule="auto"/>
      </w:pPr>
    </w:p>
    <w:p w:rsidRPr="00622807" w:rsidR="005171BC" w:rsidP="0009648E" w:rsidRDefault="005171BC" w14:paraId="0EE402A1" w14:textId="50D0D072">
      <w:pPr>
        <w:spacing w:line="276" w:lineRule="auto"/>
        <w:rPr>
          <w:i/>
          <w:szCs w:val="18"/>
        </w:rPr>
      </w:pPr>
      <w:r w:rsidRPr="00622807">
        <w:rPr>
          <w:i/>
          <w:szCs w:val="18"/>
        </w:rPr>
        <w:t>Industrieveiligheid</w:t>
      </w:r>
    </w:p>
    <w:p w:rsidRPr="00045EC1" w:rsidR="005171BC" w:rsidP="0009648E" w:rsidRDefault="005171BC" w14:paraId="5C459DD9" w14:textId="77777777">
      <w:pPr>
        <w:spacing w:line="276" w:lineRule="auto"/>
      </w:pPr>
      <w:r w:rsidRPr="00045EC1">
        <w:t xml:space="preserve">De doelstelling van het </w:t>
      </w:r>
      <w:r>
        <w:t xml:space="preserve">in 2025 opgerichte </w:t>
      </w:r>
      <w:r w:rsidRPr="00045EC1">
        <w:t>Nationaal Bureau Industrieveiligheid (NBIV) is het verhogen van de weerbaarheid van de toeleveranciers van het ministerie van Defensie</w:t>
      </w:r>
      <w:r>
        <w:t>,</w:t>
      </w:r>
      <w:r w:rsidRPr="00045EC1">
        <w:t xml:space="preserve"> de Rijksoverheid, de Politie en internationale partners. </w:t>
      </w:r>
      <w:r>
        <w:t xml:space="preserve">De diensten begeleiden </w:t>
      </w:r>
      <w:r w:rsidRPr="00045EC1">
        <w:t xml:space="preserve">toeleveranciers bij </w:t>
      </w:r>
      <w:r>
        <w:t>de opzet</w:t>
      </w:r>
      <w:r w:rsidRPr="00045EC1">
        <w:t xml:space="preserve"> van beveiligingsbevorderende maatregelen voor opdrachten die de nationale veiligheid raken</w:t>
      </w:r>
      <w:r>
        <w:t>. Daarnaast zien de diensten</w:t>
      </w:r>
      <w:r w:rsidRPr="00045EC1">
        <w:t xml:space="preserve"> toe op </w:t>
      </w:r>
      <w:r>
        <w:t>de uitvoering van de genomen maatregelen en de</w:t>
      </w:r>
      <w:r w:rsidRPr="00A812BE">
        <w:t xml:space="preserve"> </w:t>
      </w:r>
      <w:r w:rsidRPr="00045EC1">
        <w:t>beveiliging van gerubriceerde informatie en te beschermen belangen.</w:t>
      </w:r>
      <w:r w:rsidRPr="00045EC1" w:rsidDel="00A812BE">
        <w:t xml:space="preserve"> </w:t>
      </w:r>
    </w:p>
    <w:p w:rsidRPr="00045EC1" w:rsidR="005171BC" w:rsidP="0009648E" w:rsidRDefault="005171BC" w14:paraId="75C572FB" w14:textId="77777777">
      <w:pPr>
        <w:spacing w:line="276" w:lineRule="auto"/>
      </w:pPr>
    </w:p>
    <w:p w:rsidRPr="00157315" w:rsidR="005171BC" w:rsidP="0009648E" w:rsidRDefault="005171BC" w14:paraId="32D90FA1" w14:textId="77777777">
      <w:pPr>
        <w:spacing w:line="276" w:lineRule="auto"/>
      </w:pPr>
      <w:r w:rsidRPr="00157315">
        <w:t>Voor het jaar 202</w:t>
      </w:r>
      <w:r w:rsidRPr="00045EC1">
        <w:t>6</w:t>
      </w:r>
      <w:r w:rsidRPr="00157315">
        <w:t xml:space="preserve"> is de verwachting dat er wederom een toename zal zijn in de aanvraag voor industrieveiligheidsproducten en –diensten. </w:t>
      </w:r>
      <w:r w:rsidRPr="00045EC1">
        <w:t xml:space="preserve">Deze verwachtte </w:t>
      </w:r>
      <w:r w:rsidRPr="00157315">
        <w:t xml:space="preserve">toename </w:t>
      </w:r>
      <w:r w:rsidRPr="00045EC1">
        <w:t xml:space="preserve">wordt gemotiveerd door groeiende aantallen opdrachten aan defensieleveranciers, maar zeker ook door de introductie van </w:t>
      </w:r>
      <w:r>
        <w:t xml:space="preserve">de </w:t>
      </w:r>
      <w:r w:rsidRPr="00157315">
        <w:t>Algemene Beveiligingseisen voor Rijksoverheidsopdrachten</w:t>
      </w:r>
      <w:r w:rsidRPr="00045EC1">
        <w:t xml:space="preserve"> </w:t>
      </w:r>
      <w:r>
        <w:t>(</w:t>
      </w:r>
      <w:r w:rsidRPr="00045EC1">
        <w:t>ABRO</w:t>
      </w:r>
      <w:r>
        <w:t>)</w:t>
      </w:r>
      <w:r w:rsidRPr="00045EC1">
        <w:t xml:space="preserve"> bij leveranciers aan (Rijks)overheid en Politie. </w:t>
      </w:r>
    </w:p>
    <w:p w:rsidR="00C15EF9" w:rsidP="0009648E" w:rsidRDefault="00C15EF9" w14:paraId="4D6B4514" w14:textId="22E3ED6E">
      <w:pPr>
        <w:spacing w:line="276" w:lineRule="auto"/>
        <w:rPr>
          <w:b/>
          <w:iCs/>
          <w:szCs w:val="18"/>
        </w:rPr>
      </w:pPr>
    </w:p>
    <w:p w:rsidR="005F54E1" w:rsidP="0009648E" w:rsidRDefault="006E1C94" w14:paraId="30F5B78F" w14:textId="5E054BBA">
      <w:pPr>
        <w:spacing w:line="276" w:lineRule="auto"/>
        <w:rPr>
          <w:b/>
          <w:iCs/>
          <w:szCs w:val="18"/>
        </w:rPr>
      </w:pPr>
      <w:r>
        <w:rPr>
          <w:b/>
          <w:iCs/>
          <w:szCs w:val="18"/>
        </w:rPr>
        <w:t>Randvoorwaarde</w:t>
      </w:r>
      <w:r w:rsidR="009B4D31">
        <w:rPr>
          <w:b/>
          <w:iCs/>
          <w:szCs w:val="18"/>
        </w:rPr>
        <w:t>n</w:t>
      </w:r>
      <w:r w:rsidR="00AC69E3">
        <w:rPr>
          <w:b/>
          <w:iCs/>
          <w:szCs w:val="18"/>
        </w:rPr>
        <w:t xml:space="preserve"> </w:t>
      </w:r>
      <w:r w:rsidRPr="00622807" w:rsidR="00622807">
        <w:rPr>
          <w:b/>
          <w:iCs/>
          <w:szCs w:val="18"/>
        </w:rPr>
        <w:t>202</w:t>
      </w:r>
      <w:r w:rsidR="004C6304">
        <w:rPr>
          <w:b/>
          <w:iCs/>
          <w:szCs w:val="18"/>
        </w:rPr>
        <w:t>6</w:t>
      </w:r>
    </w:p>
    <w:p w:rsidRPr="00622807" w:rsidR="00AC69E3" w:rsidP="0009648E" w:rsidRDefault="00AC69E3" w14:paraId="2280A42E" w14:textId="344FE70A">
      <w:pPr>
        <w:spacing w:line="276" w:lineRule="auto"/>
        <w:rPr>
          <w:iCs/>
          <w:szCs w:val="18"/>
        </w:rPr>
      </w:pPr>
      <w:r w:rsidRPr="00622807">
        <w:rPr>
          <w:iCs/>
          <w:szCs w:val="18"/>
        </w:rPr>
        <w:t xml:space="preserve">Naast de hierboven beschreven </w:t>
      </w:r>
      <w:r>
        <w:rPr>
          <w:iCs/>
          <w:szCs w:val="18"/>
        </w:rPr>
        <w:t>taken</w:t>
      </w:r>
      <w:r w:rsidRPr="00622807">
        <w:rPr>
          <w:iCs/>
          <w:szCs w:val="18"/>
        </w:rPr>
        <w:t xml:space="preserve">, wordt hieronder inzicht gegeven in de </w:t>
      </w:r>
      <w:r>
        <w:rPr>
          <w:iCs/>
          <w:szCs w:val="18"/>
        </w:rPr>
        <w:t>randvoorwaarden</w:t>
      </w:r>
      <w:r w:rsidRPr="00622807">
        <w:rPr>
          <w:iCs/>
          <w:szCs w:val="18"/>
        </w:rPr>
        <w:t xml:space="preserve"> voor 202</w:t>
      </w:r>
      <w:r>
        <w:rPr>
          <w:iCs/>
          <w:szCs w:val="18"/>
        </w:rPr>
        <w:t>6</w:t>
      </w:r>
      <w:r w:rsidRPr="00622807">
        <w:rPr>
          <w:iCs/>
          <w:szCs w:val="18"/>
        </w:rPr>
        <w:t xml:space="preserve">. </w:t>
      </w:r>
    </w:p>
    <w:p w:rsidR="00AC69E3" w:rsidP="0009648E" w:rsidRDefault="00AC69E3" w14:paraId="0C3706A6" w14:textId="77777777">
      <w:pPr>
        <w:spacing w:line="276" w:lineRule="auto"/>
        <w:rPr>
          <w:i/>
          <w:szCs w:val="18"/>
        </w:rPr>
      </w:pPr>
    </w:p>
    <w:p w:rsidRPr="00622807" w:rsidR="00622807" w:rsidP="0009648E" w:rsidRDefault="00622807" w14:paraId="71E76312" w14:textId="15BF086A">
      <w:pPr>
        <w:spacing w:line="276" w:lineRule="auto"/>
        <w:rPr>
          <w:i/>
          <w:szCs w:val="18"/>
        </w:rPr>
      </w:pPr>
      <w:r w:rsidRPr="00622807">
        <w:rPr>
          <w:i/>
          <w:szCs w:val="18"/>
        </w:rPr>
        <w:t>Juridische ontwikkelingen</w:t>
      </w:r>
    </w:p>
    <w:p w:rsidRPr="00BE247B" w:rsidR="00F35369" w:rsidP="0009648E" w:rsidRDefault="00F35369" w14:paraId="111A9A87" w14:textId="6D37AD71">
      <w:pPr>
        <w:spacing w:line="276" w:lineRule="auto"/>
        <w:rPr>
          <w:rFonts w:cs="Calibri"/>
          <w:lang w:eastAsia="en-US"/>
        </w:rPr>
      </w:pPr>
      <w:r w:rsidRPr="00BE247B">
        <w:rPr>
          <w:rFonts w:cs="Calibri"/>
          <w:lang w:eastAsia="en-US"/>
        </w:rPr>
        <w:t xml:space="preserve">Nederland wordt steeds vaker geconfronteerd met dreigingen voor de nationale veiligheid. De inlichtingen- en veiligheidsdiensten hebben een belangrijke taak om ons land tegen deze dreigingen te beschermen. Daartoe hebben zij een werkbare wet nodig die voorziet in de benodigde operationele slagkracht en wendbaarheid om te reageren op technologische of geopolitieke ontwikkelingen, zonder afbreuk te doen aan fundamentele waarborgen zoals onafhankelijk toezicht. Om dit te bereiken </w:t>
      </w:r>
      <w:r w:rsidR="009B4D31">
        <w:rPr>
          <w:rFonts w:cs="Calibri"/>
          <w:lang w:eastAsia="en-US"/>
        </w:rPr>
        <w:t>wordt</w:t>
      </w:r>
      <w:r w:rsidRPr="00BE247B" w:rsidR="009B4D31">
        <w:rPr>
          <w:rFonts w:cs="Calibri"/>
          <w:lang w:eastAsia="en-US"/>
        </w:rPr>
        <w:t xml:space="preserve"> </w:t>
      </w:r>
      <w:r w:rsidRPr="00BE247B">
        <w:rPr>
          <w:rFonts w:cs="Calibri"/>
          <w:lang w:eastAsia="en-US"/>
        </w:rPr>
        <w:t>de W</w:t>
      </w:r>
      <w:r w:rsidR="00FC2795">
        <w:rPr>
          <w:rFonts w:cs="Calibri"/>
          <w:lang w:eastAsia="en-US"/>
        </w:rPr>
        <w:t>iv</w:t>
      </w:r>
      <w:r w:rsidRPr="00BE247B">
        <w:rPr>
          <w:rFonts w:cs="Calibri"/>
          <w:lang w:eastAsia="en-US"/>
        </w:rPr>
        <w:t xml:space="preserve"> 2017 herzien. Bij deze herziening worden de ervaringen die zijn opgedaan met de Tijdelijke wet meegenomen. Gelet op de termijn van de werking van de Tijdelijke wet is het van belang van de herziening van de Wiv 2017 binnen </w:t>
      </w:r>
      <w:r w:rsidR="0031586C">
        <w:rPr>
          <w:rFonts w:cs="Calibri"/>
          <w:lang w:eastAsia="en-US"/>
        </w:rPr>
        <w:t>vier</w:t>
      </w:r>
      <w:r w:rsidRPr="00BE247B">
        <w:rPr>
          <w:rFonts w:cs="Calibri"/>
          <w:lang w:eastAsia="en-US"/>
        </w:rPr>
        <w:t xml:space="preserve"> jaar </w:t>
      </w:r>
      <w:r w:rsidR="002C6B07">
        <w:rPr>
          <w:rFonts w:cs="Calibri"/>
          <w:lang w:eastAsia="en-US"/>
        </w:rPr>
        <w:t xml:space="preserve">na inwerkingtreding van de Tijdelijke wet </w:t>
      </w:r>
      <w:r w:rsidRPr="00BE247B">
        <w:rPr>
          <w:rFonts w:cs="Calibri"/>
          <w:lang w:eastAsia="en-US"/>
        </w:rPr>
        <w:t xml:space="preserve">af te ronden. </w:t>
      </w:r>
    </w:p>
    <w:p w:rsidRPr="00BE247B" w:rsidR="00F35369" w:rsidP="0009648E" w:rsidRDefault="00F35369" w14:paraId="44A6E89C" w14:textId="77777777">
      <w:pPr>
        <w:spacing w:line="276" w:lineRule="auto"/>
        <w:rPr>
          <w:rFonts w:cs="Calibri"/>
          <w:lang w:eastAsia="en-US"/>
        </w:rPr>
      </w:pPr>
    </w:p>
    <w:p w:rsidRPr="00F35369" w:rsidR="00F35369" w:rsidP="0009648E" w:rsidRDefault="00F35369" w14:paraId="52369205" w14:textId="0A6274CF">
      <w:pPr>
        <w:spacing w:line="276" w:lineRule="auto"/>
        <w:rPr>
          <w:rFonts w:cs="Calibri"/>
          <w:lang w:eastAsia="en-US"/>
        </w:rPr>
      </w:pPr>
      <w:r w:rsidRPr="00BE247B">
        <w:rPr>
          <w:rFonts w:cs="Calibri"/>
          <w:lang w:eastAsia="en-US"/>
        </w:rPr>
        <w:t xml:space="preserve">Bij de herziening van de Wiv 2017 wordt </w:t>
      </w:r>
      <w:r w:rsidR="00D46C14">
        <w:rPr>
          <w:rFonts w:cs="Calibri"/>
          <w:lang w:eastAsia="en-US"/>
        </w:rPr>
        <w:t xml:space="preserve">gewerkt aan een </w:t>
      </w:r>
      <w:r w:rsidRPr="00D46C14" w:rsidR="00D46C14">
        <w:rPr>
          <w:rFonts w:cs="Calibri"/>
          <w:lang w:eastAsia="en-US"/>
        </w:rPr>
        <w:t xml:space="preserve">dreigingsgericht stelsel voor de inzet van bevoegdheden </w:t>
      </w:r>
      <w:r w:rsidR="00D46C14">
        <w:rPr>
          <w:rFonts w:cs="Calibri"/>
          <w:lang w:eastAsia="en-US"/>
        </w:rPr>
        <w:t xml:space="preserve">waarbij </w:t>
      </w:r>
      <w:r w:rsidRPr="00BE247B">
        <w:rPr>
          <w:rFonts w:cs="Calibri"/>
          <w:lang w:eastAsia="en-US"/>
        </w:rPr>
        <w:t xml:space="preserve">onder andere rekening </w:t>
      </w:r>
      <w:r w:rsidR="00D46C14">
        <w:rPr>
          <w:rFonts w:cs="Calibri"/>
          <w:lang w:eastAsia="en-US"/>
        </w:rPr>
        <w:t xml:space="preserve">wordt </w:t>
      </w:r>
      <w:r w:rsidRPr="00BE247B">
        <w:rPr>
          <w:rFonts w:cs="Calibri"/>
          <w:lang w:eastAsia="en-US"/>
        </w:rPr>
        <w:t xml:space="preserve">gehouden met de huidige en toekomstige technologische </w:t>
      </w:r>
      <w:r w:rsidR="00FC2795">
        <w:rPr>
          <w:rFonts w:cs="Calibri"/>
          <w:lang w:eastAsia="en-US"/>
        </w:rPr>
        <w:t>ontwikkelingen</w:t>
      </w:r>
      <w:r w:rsidRPr="00BE247B" w:rsidR="00FC2795">
        <w:rPr>
          <w:rFonts w:cs="Calibri"/>
          <w:lang w:eastAsia="en-US"/>
        </w:rPr>
        <w:t xml:space="preserve"> </w:t>
      </w:r>
      <w:r w:rsidRPr="00BE247B">
        <w:rPr>
          <w:rFonts w:cs="Calibri"/>
          <w:lang w:eastAsia="en-US"/>
        </w:rPr>
        <w:t xml:space="preserve">en op welke manier deze zo effectief </w:t>
      </w:r>
      <w:r w:rsidRPr="00BE247B" w:rsidR="00D46C14">
        <w:rPr>
          <w:rFonts w:cs="Calibri"/>
          <w:lang w:eastAsia="en-US"/>
        </w:rPr>
        <w:t xml:space="preserve">mogelijk </w:t>
      </w:r>
      <w:r w:rsidRPr="00BE247B">
        <w:rPr>
          <w:rFonts w:cs="Calibri"/>
          <w:lang w:eastAsia="en-US"/>
        </w:rPr>
        <w:t xml:space="preserve">en rechtmatig kunnen worden ingezet. Daarnaast wordt onderzocht op welke wijze de </w:t>
      </w:r>
      <w:r w:rsidRPr="00F35369">
        <w:rPr>
          <w:rFonts w:cs="Calibri"/>
          <w:lang w:eastAsia="en-US"/>
        </w:rPr>
        <w:t xml:space="preserve">diensten, de militaire, politieke en ambtelijke top tijdig </w:t>
      </w:r>
      <w:r w:rsidR="00CF389E">
        <w:rPr>
          <w:rFonts w:cs="Calibri"/>
          <w:lang w:eastAsia="en-US"/>
        </w:rPr>
        <w:t>van</w:t>
      </w:r>
      <w:r w:rsidRPr="00F35369">
        <w:rPr>
          <w:rFonts w:cs="Calibri"/>
          <w:lang w:eastAsia="en-US"/>
        </w:rPr>
        <w:t xml:space="preserve"> relevante en betrouwbare informatie kunnen voorzien, en hoe het stelsel </w:t>
      </w:r>
      <w:r w:rsidRPr="00F35369">
        <w:rPr>
          <w:rFonts w:cs="Calibri"/>
          <w:lang w:eastAsia="en-US"/>
        </w:rPr>
        <w:lastRenderedPageBreak/>
        <w:t xml:space="preserve">van toezicht, toetsing en beroep </w:t>
      </w:r>
      <w:r w:rsidRPr="00F35369" w:rsidR="00D46C14">
        <w:rPr>
          <w:rFonts w:cs="Calibri"/>
          <w:lang w:eastAsia="en-US"/>
        </w:rPr>
        <w:t xml:space="preserve">hierbij </w:t>
      </w:r>
      <w:r w:rsidRPr="00F35369">
        <w:rPr>
          <w:rFonts w:cs="Calibri"/>
          <w:lang w:eastAsia="en-US"/>
        </w:rPr>
        <w:t>het beste aansluit.</w:t>
      </w:r>
      <w:r w:rsidRPr="00F35369">
        <w:rPr>
          <w:iCs/>
          <w:szCs w:val="18"/>
        </w:rPr>
        <w:t xml:space="preserve"> Een specifiek aandachtspunt daarbij is een versteviging van het wettelijk kader voor samenwerking tussen de MIVD en de krijgsmacht, zowel in vredestijd als daarbuiten. </w:t>
      </w:r>
      <w:r w:rsidRPr="00F35369">
        <w:rPr>
          <w:rFonts w:cs="Calibri"/>
          <w:lang w:eastAsia="en-US"/>
        </w:rPr>
        <w:t xml:space="preserve">Naar verwachting </w:t>
      </w:r>
      <w:r w:rsidR="00D46C14">
        <w:rPr>
          <w:rFonts w:cs="Calibri"/>
          <w:lang w:eastAsia="en-US"/>
        </w:rPr>
        <w:t>worden</w:t>
      </w:r>
      <w:r w:rsidRPr="00F35369" w:rsidR="00D46C14">
        <w:rPr>
          <w:rFonts w:cs="Calibri"/>
          <w:lang w:eastAsia="en-US"/>
        </w:rPr>
        <w:t xml:space="preserve"> </w:t>
      </w:r>
      <w:r w:rsidRPr="00F35369">
        <w:rPr>
          <w:rFonts w:cs="Calibri"/>
          <w:lang w:eastAsia="en-US"/>
        </w:rPr>
        <w:t xml:space="preserve">geen nieuwe bevoegdheden geïntroduceerd. </w:t>
      </w:r>
    </w:p>
    <w:p w:rsidR="005D4BCF" w:rsidP="0009648E" w:rsidRDefault="005D4BCF" w14:paraId="5BDA2108" w14:textId="3FF0DAD2">
      <w:pPr>
        <w:spacing w:line="276" w:lineRule="auto"/>
        <w:rPr>
          <w:i/>
          <w:szCs w:val="18"/>
        </w:rPr>
      </w:pPr>
    </w:p>
    <w:p w:rsidRPr="00622807" w:rsidR="00622807" w:rsidP="0009648E" w:rsidRDefault="00622807" w14:paraId="18F243C5" w14:textId="77777777">
      <w:pPr>
        <w:spacing w:line="276" w:lineRule="auto"/>
        <w:rPr>
          <w:i/>
          <w:szCs w:val="18"/>
        </w:rPr>
      </w:pPr>
      <w:r w:rsidRPr="00622807">
        <w:rPr>
          <w:i/>
          <w:szCs w:val="18"/>
        </w:rPr>
        <w:t>Personeel</w:t>
      </w:r>
    </w:p>
    <w:p w:rsidRPr="00F35369" w:rsidR="00F35369" w:rsidP="0009648E" w:rsidRDefault="003E2A17" w14:paraId="3FEB83D3" w14:textId="7CF8BB20">
      <w:pPr>
        <w:pStyle w:val="Pa5"/>
        <w:spacing w:line="276" w:lineRule="auto"/>
        <w:jc w:val="both"/>
        <w:rPr>
          <w:rFonts w:ascii="Verdana" w:hAnsi="Verdana" w:eastAsia="Times New Roman"/>
          <w:iCs/>
          <w:sz w:val="18"/>
          <w:szCs w:val="18"/>
          <w:lang w:eastAsia="bg-BG"/>
        </w:rPr>
      </w:pPr>
      <w:r w:rsidRPr="00F35369">
        <w:rPr>
          <w:rFonts w:ascii="Verdana" w:hAnsi="Verdana" w:eastAsia="Times New Roman"/>
          <w:iCs/>
          <w:sz w:val="18"/>
          <w:szCs w:val="18"/>
          <w:lang w:eastAsia="bg-BG"/>
        </w:rPr>
        <w:t>Goed personeelsmanagement is essentieel voor de noodzakelijke groei en doorontwikkeling van de dienst.</w:t>
      </w:r>
      <w:r w:rsidRPr="00F35369">
        <w:rPr>
          <w:iCs/>
          <w:szCs w:val="18"/>
        </w:rPr>
        <w:t xml:space="preserve"> </w:t>
      </w:r>
      <w:r w:rsidRPr="00F35369">
        <w:rPr>
          <w:rFonts w:ascii="Verdana" w:hAnsi="Verdana"/>
          <w:sz w:val="18"/>
          <w:szCs w:val="18"/>
        </w:rPr>
        <w:t>De MIVD optimaliseert</w:t>
      </w:r>
      <w:r w:rsidR="009201B4">
        <w:rPr>
          <w:rFonts w:ascii="Verdana" w:hAnsi="Verdana"/>
          <w:sz w:val="18"/>
          <w:szCs w:val="18"/>
        </w:rPr>
        <w:t xml:space="preserve"> daarom</w:t>
      </w:r>
      <w:r w:rsidRPr="00F35369">
        <w:rPr>
          <w:rFonts w:ascii="Verdana" w:hAnsi="Verdana"/>
          <w:sz w:val="18"/>
          <w:szCs w:val="18"/>
        </w:rPr>
        <w:t xml:space="preserve"> de instroomketen verder in 2026. De MIVD investeert</w:t>
      </w:r>
      <w:r w:rsidR="009201B4">
        <w:rPr>
          <w:rFonts w:ascii="Verdana" w:hAnsi="Verdana"/>
          <w:sz w:val="18"/>
          <w:szCs w:val="18"/>
        </w:rPr>
        <w:t xml:space="preserve"> ook</w:t>
      </w:r>
      <w:r w:rsidRPr="00F35369">
        <w:rPr>
          <w:rFonts w:ascii="Verdana" w:hAnsi="Verdana"/>
          <w:sz w:val="18"/>
          <w:szCs w:val="18"/>
        </w:rPr>
        <w:t xml:space="preserve"> in arbeidsmarktcommunicatie en wervingsactiviteiten voor specialistische functies. Op het gebied van werving van schaarse expertise zet de MIVD </w:t>
      </w:r>
      <w:r w:rsidRPr="00F35369">
        <w:rPr>
          <w:rFonts w:ascii="Verdana" w:hAnsi="Verdana"/>
          <w:i/>
          <w:iCs/>
          <w:sz w:val="18"/>
          <w:szCs w:val="18"/>
        </w:rPr>
        <w:t>dedicated recruiters</w:t>
      </w:r>
      <w:r w:rsidRPr="00F35369">
        <w:rPr>
          <w:rFonts w:ascii="Verdana" w:hAnsi="Verdana"/>
          <w:sz w:val="18"/>
          <w:szCs w:val="18"/>
        </w:rPr>
        <w:t xml:space="preserve"> in en wordt er </w:t>
      </w:r>
      <w:r w:rsidR="00DE6716">
        <w:rPr>
          <w:rFonts w:ascii="Verdana" w:hAnsi="Verdana"/>
          <w:sz w:val="18"/>
          <w:szCs w:val="18"/>
        </w:rPr>
        <w:t>D</w:t>
      </w:r>
      <w:r w:rsidRPr="00F35369" w:rsidR="00DE6716">
        <w:rPr>
          <w:rFonts w:ascii="Verdana" w:hAnsi="Verdana"/>
          <w:sz w:val="18"/>
          <w:szCs w:val="18"/>
        </w:rPr>
        <w:t>efensie</w:t>
      </w:r>
      <w:r w:rsidRPr="00F35369" w:rsidR="00FF6C46">
        <w:rPr>
          <w:rFonts w:ascii="Verdana" w:hAnsi="Verdana"/>
          <w:sz w:val="18"/>
          <w:szCs w:val="18"/>
        </w:rPr>
        <w:t>breed</w:t>
      </w:r>
      <w:r w:rsidRPr="00F35369">
        <w:rPr>
          <w:rFonts w:ascii="Verdana" w:hAnsi="Verdana"/>
          <w:sz w:val="18"/>
          <w:szCs w:val="18"/>
        </w:rPr>
        <w:t xml:space="preserve"> en met de AIVD samengewerkt. Naast werving zal ook in 2026 inhuur plaatsvinden.</w:t>
      </w:r>
      <w:r w:rsidRPr="00F35369" w:rsidR="00F35369">
        <w:rPr>
          <w:rFonts w:ascii="Verdana" w:hAnsi="Verdana" w:eastAsia="Times New Roman"/>
          <w:iCs/>
          <w:sz w:val="18"/>
          <w:szCs w:val="18"/>
          <w:lang w:eastAsia="bg-BG"/>
        </w:rPr>
        <w:t xml:space="preserve"> </w:t>
      </w:r>
    </w:p>
    <w:p w:rsidRPr="00622807" w:rsidR="003E2A17" w:rsidP="00811ECF" w:rsidRDefault="003E2A17" w14:paraId="54607EAB" w14:textId="77777777">
      <w:pPr>
        <w:spacing w:line="276" w:lineRule="auto"/>
        <w:rPr>
          <w:i/>
          <w:szCs w:val="18"/>
        </w:rPr>
      </w:pPr>
    </w:p>
    <w:p w:rsidRPr="00622807" w:rsidR="00622807" w:rsidP="00811ECF" w:rsidRDefault="00622807" w14:paraId="3B9BB7B0" w14:textId="77777777">
      <w:pPr>
        <w:spacing w:line="276" w:lineRule="auto"/>
        <w:rPr>
          <w:i/>
          <w:szCs w:val="18"/>
        </w:rPr>
      </w:pPr>
      <w:r w:rsidRPr="00622807">
        <w:rPr>
          <w:i/>
          <w:szCs w:val="18"/>
        </w:rPr>
        <w:t>Huisvesting</w:t>
      </w:r>
    </w:p>
    <w:p w:rsidRPr="004C6304" w:rsidR="0049658E" w:rsidP="00811ECF" w:rsidRDefault="009B4D31" w14:paraId="11244EFE" w14:textId="6288306C">
      <w:pPr>
        <w:spacing w:line="276" w:lineRule="auto"/>
        <w:rPr>
          <w:iCs/>
          <w:color w:val="808080" w:themeColor="background1" w:themeShade="80"/>
          <w:szCs w:val="18"/>
        </w:rPr>
      </w:pPr>
      <w:r w:rsidRPr="009B4D31">
        <w:rPr>
          <w:iCs/>
        </w:rPr>
        <w:t xml:space="preserve">Om de personele groei van de MIVD te kunnen accommoderen tot aan de oplevering van de </w:t>
      </w:r>
      <w:r>
        <w:rPr>
          <w:iCs/>
        </w:rPr>
        <w:t>nieuwbouw</w:t>
      </w:r>
      <w:r w:rsidR="00717A52">
        <w:rPr>
          <w:iCs/>
        </w:rPr>
        <w:t>,</w:t>
      </w:r>
      <w:r w:rsidR="00F97D95">
        <w:rPr>
          <w:iCs/>
        </w:rPr>
        <w:t xml:space="preserve"> wordt gewerkt aan de modernisering van de </w:t>
      </w:r>
      <w:r w:rsidRPr="009B4D31">
        <w:rPr>
          <w:iCs/>
        </w:rPr>
        <w:t>huisvesting op de Frederikkazerne</w:t>
      </w:r>
      <w:r w:rsidR="00F97D95">
        <w:rPr>
          <w:iCs/>
        </w:rPr>
        <w:t xml:space="preserve"> om</w:t>
      </w:r>
      <w:r w:rsidRPr="009B4D31">
        <w:rPr>
          <w:iCs/>
        </w:rPr>
        <w:t xml:space="preserve"> een ongestoorde bedrijfsvoering en een veilige werkomgeving te borgen.</w:t>
      </w:r>
      <w:r w:rsidR="00AC69E3">
        <w:rPr>
          <w:iCs/>
        </w:rPr>
        <w:t xml:space="preserve"> </w:t>
      </w:r>
      <w:r w:rsidR="00F97D95">
        <w:t>De gezamenlijke</w:t>
      </w:r>
      <w:r w:rsidRPr="003E2A17" w:rsidR="0049658E">
        <w:rPr>
          <w:iCs/>
          <w:szCs w:val="18"/>
        </w:rPr>
        <w:t xml:space="preserve"> huisvesting</w:t>
      </w:r>
      <w:r w:rsidR="00F97D95">
        <w:rPr>
          <w:iCs/>
          <w:szCs w:val="18"/>
        </w:rPr>
        <w:t xml:space="preserve"> met de AIVD</w:t>
      </w:r>
      <w:r w:rsidRPr="003E2A17" w:rsidR="0049658E">
        <w:rPr>
          <w:iCs/>
          <w:szCs w:val="18"/>
        </w:rPr>
        <w:t xml:space="preserve"> zal plaatsvinden op drie locaties; </w:t>
      </w:r>
      <w:r w:rsidRPr="003E2A17" w:rsidR="00087888">
        <w:rPr>
          <w:iCs/>
          <w:szCs w:val="18"/>
        </w:rPr>
        <w:t>op de Frederikkazerne</w:t>
      </w:r>
      <w:r w:rsidR="00087888">
        <w:rPr>
          <w:iCs/>
          <w:szCs w:val="18"/>
        </w:rPr>
        <w:t>, alwaar ook</w:t>
      </w:r>
      <w:r w:rsidRPr="003E2A17" w:rsidR="00087888">
        <w:rPr>
          <w:iCs/>
          <w:szCs w:val="18"/>
        </w:rPr>
        <w:t xml:space="preserve"> nieuwbouw</w:t>
      </w:r>
      <w:r w:rsidR="00087888">
        <w:rPr>
          <w:iCs/>
          <w:szCs w:val="18"/>
        </w:rPr>
        <w:t xml:space="preserve"> wordt gerealiseerd</w:t>
      </w:r>
      <w:r w:rsidR="00F8651E">
        <w:rPr>
          <w:rStyle w:val="Voetnootmarkering"/>
          <w:iCs/>
          <w:szCs w:val="18"/>
        </w:rPr>
        <w:footnoteReference w:id="2"/>
      </w:r>
      <w:r w:rsidR="00087888">
        <w:rPr>
          <w:iCs/>
          <w:szCs w:val="18"/>
        </w:rPr>
        <w:t xml:space="preserve">, </w:t>
      </w:r>
      <w:r w:rsidRPr="003E2A17" w:rsidR="0049658E">
        <w:rPr>
          <w:iCs/>
          <w:szCs w:val="18"/>
        </w:rPr>
        <w:t>de locatie Zoetermeer</w:t>
      </w:r>
      <w:r w:rsidR="00E846D9">
        <w:rPr>
          <w:iCs/>
          <w:szCs w:val="18"/>
        </w:rPr>
        <w:t xml:space="preserve"> en</w:t>
      </w:r>
      <w:r w:rsidRPr="003E2A17" w:rsidR="0049658E">
        <w:rPr>
          <w:iCs/>
          <w:szCs w:val="18"/>
        </w:rPr>
        <w:t xml:space="preserve"> de te verbouwen locatie Leidschendam. </w:t>
      </w:r>
    </w:p>
    <w:p w:rsidR="008F197E" w:rsidP="00811ECF" w:rsidRDefault="008F197E" w14:paraId="2DB15227" w14:textId="5908E359">
      <w:pPr>
        <w:spacing w:line="276" w:lineRule="auto"/>
        <w:rPr>
          <w:b/>
          <w:bCs/>
          <w:szCs w:val="18"/>
        </w:rPr>
      </w:pPr>
    </w:p>
    <w:p w:rsidRPr="0049658E" w:rsidR="0049658E" w:rsidP="00811ECF" w:rsidRDefault="0049658E" w14:paraId="7C838C46" w14:textId="5A2A8EB3">
      <w:pPr>
        <w:spacing w:line="276" w:lineRule="auto"/>
        <w:rPr>
          <w:b/>
          <w:bCs/>
          <w:szCs w:val="18"/>
        </w:rPr>
      </w:pPr>
      <w:r w:rsidRPr="0049658E">
        <w:rPr>
          <w:b/>
          <w:bCs/>
          <w:szCs w:val="18"/>
        </w:rPr>
        <w:t>Verantwoording</w:t>
      </w:r>
    </w:p>
    <w:p w:rsidR="00992702" w:rsidP="00811ECF" w:rsidRDefault="0049658E" w14:paraId="6985052D" w14:textId="731260A9">
      <w:pPr>
        <w:spacing w:line="276" w:lineRule="auto"/>
        <w:rPr>
          <w:szCs w:val="18"/>
          <w:highlight w:val="yellow"/>
        </w:rPr>
      </w:pPr>
      <w:r w:rsidRPr="0049658E">
        <w:rPr>
          <w:szCs w:val="18"/>
        </w:rPr>
        <w:t xml:space="preserve">Met deze Jaarplanbrief geef ik u inzicht in de </w:t>
      </w:r>
      <w:r w:rsidR="00D96949">
        <w:rPr>
          <w:szCs w:val="18"/>
        </w:rPr>
        <w:t>doelstellingen</w:t>
      </w:r>
      <w:r w:rsidRPr="0049658E" w:rsidR="00D96949">
        <w:rPr>
          <w:szCs w:val="18"/>
        </w:rPr>
        <w:t xml:space="preserve"> </w:t>
      </w:r>
      <w:r w:rsidR="00D96949">
        <w:rPr>
          <w:szCs w:val="18"/>
        </w:rPr>
        <w:t xml:space="preserve">en </w:t>
      </w:r>
      <w:r w:rsidRPr="0049658E">
        <w:rPr>
          <w:szCs w:val="18"/>
        </w:rPr>
        <w:t>prioriteiten voor de MIVD in 202</w:t>
      </w:r>
      <w:r w:rsidR="00D96949">
        <w:rPr>
          <w:szCs w:val="18"/>
        </w:rPr>
        <w:t>6</w:t>
      </w:r>
      <w:r w:rsidRPr="0049658E">
        <w:rPr>
          <w:szCs w:val="18"/>
        </w:rPr>
        <w:t>. Verantwoording over de uitvoering van het jaarplan wordt in het openbaar door middel van het openbaar jaarverslag van de MIVD gegeven. Tussentijds wordt gerapporteerd over de voortgang via periodieke voortgangsrapportages. Deze voortgangsrapportages worden gedeeld en besproken met de CIVD.</w:t>
      </w:r>
    </w:p>
    <w:p w:rsidR="00B74A4D" w:rsidP="004E2F43" w:rsidRDefault="00B74A4D" w14:paraId="5F498F9E" w14:textId="77777777">
      <w:pPr>
        <w:rPr>
          <w:szCs w:val="18"/>
        </w:rPr>
      </w:pPr>
    </w:p>
    <w:p w:rsidR="003B52DA" w:rsidP="004E2F43" w:rsidRDefault="003B52DA" w14:paraId="385239C2" w14:textId="77777777">
      <w:pPr>
        <w:rPr>
          <w:szCs w:val="18"/>
        </w:rPr>
      </w:pPr>
    </w:p>
    <w:p w:rsidR="005B3083" w:rsidP="004E2F43" w:rsidRDefault="005B3083" w14:paraId="4F676220" w14:textId="77777777">
      <w:pPr>
        <w:rPr>
          <w:i/>
          <w:szCs w:val="18"/>
        </w:rPr>
      </w:pPr>
    </w:p>
    <w:p w:rsidRPr="007D4DCC" w:rsidR="004E2F43" w:rsidP="004E2F43" w:rsidRDefault="004E2F43" w14:paraId="40D5BF68" w14:textId="37E460EE">
      <w:pPr>
        <w:rPr>
          <w:i/>
          <w:szCs w:val="18"/>
        </w:rPr>
      </w:pPr>
      <w:r w:rsidRPr="007D4DCC">
        <w:rPr>
          <w:i/>
          <w:szCs w:val="18"/>
        </w:rPr>
        <w:t xml:space="preserve">DE MINISTER VAN DEFENSIE </w:t>
      </w:r>
      <w:r w:rsidRPr="007D4DCC">
        <w:rPr>
          <w:i/>
          <w:szCs w:val="18"/>
        </w:rPr>
        <w:tab/>
      </w:r>
      <w:r w:rsidRPr="007D4DCC">
        <w:rPr>
          <w:i/>
          <w:szCs w:val="18"/>
        </w:rPr>
        <w:tab/>
      </w:r>
    </w:p>
    <w:p w:rsidRPr="004E2F43" w:rsidR="004E2F43" w:rsidP="004E2F43" w:rsidRDefault="004E2F43" w14:paraId="631CD8FD" w14:textId="77777777">
      <w:pPr>
        <w:rPr>
          <w:szCs w:val="18"/>
        </w:rPr>
      </w:pPr>
    </w:p>
    <w:p w:rsidR="005B3083" w:rsidP="004E2F43" w:rsidRDefault="005B3083" w14:paraId="2F402A84" w14:textId="77777777">
      <w:pPr>
        <w:rPr>
          <w:szCs w:val="18"/>
        </w:rPr>
      </w:pPr>
    </w:p>
    <w:p w:rsidR="005B3083" w:rsidP="004E2F43" w:rsidRDefault="005B3083" w14:paraId="7308B3CD" w14:textId="77777777">
      <w:pPr>
        <w:rPr>
          <w:szCs w:val="18"/>
        </w:rPr>
      </w:pPr>
    </w:p>
    <w:p w:rsidR="004E2F43" w:rsidP="004E2F43" w:rsidRDefault="00622807" w14:paraId="6261BDDF" w14:textId="0CE2C769">
      <w:pPr>
        <w:rPr>
          <w:szCs w:val="18"/>
        </w:rPr>
      </w:pPr>
      <w:r>
        <w:rPr>
          <w:szCs w:val="18"/>
        </w:rPr>
        <w:t>Ruben Brekelmans</w:t>
      </w:r>
      <w:r w:rsidRPr="004E2F43" w:rsidR="004E2F43">
        <w:rPr>
          <w:szCs w:val="18"/>
        </w:rPr>
        <w:t xml:space="preserve"> </w:t>
      </w:r>
      <w:r w:rsidRPr="004E2F43" w:rsidR="004E2F43">
        <w:rPr>
          <w:szCs w:val="18"/>
        </w:rPr>
        <w:tab/>
      </w:r>
    </w:p>
    <w:sectPr w:rsidR="004E2F43" w:rsidSect="002154BF">
      <w:headerReference w:type="even" r:id="rId7"/>
      <w:headerReference w:type="default" r:id="rId8"/>
      <w:footerReference w:type="even" r:id="rId9"/>
      <w:footerReference w:type="default" r:id="rId10"/>
      <w:headerReference w:type="first" r:id="rId11"/>
      <w:footerReference w:type="first" r:id="rId12"/>
      <w:pgSz w:w="11906" w:h="16838" w:code="9"/>
      <w:pgMar w:top="2696" w:right="2835" w:bottom="1190" w:left="1588" w:header="270" w:footer="22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1745D" w14:textId="77777777" w:rsidR="00550EC2" w:rsidRDefault="00550EC2" w:rsidP="0056305F">
      <w:pPr>
        <w:spacing w:line="240" w:lineRule="auto"/>
      </w:pPr>
      <w:r>
        <w:separator/>
      </w:r>
    </w:p>
  </w:endnote>
  <w:endnote w:type="continuationSeparator" w:id="0">
    <w:p w14:paraId="4A0E3791" w14:textId="77777777" w:rsidR="00550EC2" w:rsidRDefault="00550EC2" w:rsidP="0056305F">
      <w:pPr>
        <w:spacing w:line="240" w:lineRule="auto"/>
      </w:pPr>
      <w:r>
        <w:continuationSeparator/>
      </w:r>
    </w:p>
  </w:endnote>
  <w:endnote w:type="continuationNotice" w:id="1">
    <w:p w14:paraId="43EB5DF4" w14:textId="77777777" w:rsidR="00550EC2" w:rsidRDefault="00550E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ijksoverheidSansText">
    <w:panose1 w:val="020B0503040202060203"/>
    <w:charset w:val="00"/>
    <w:family w:val="swiss"/>
    <w:pitch w:val="variable"/>
    <w:sig w:usb0="00000087" w:usb1="00000001"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C7524" w14:textId="77777777" w:rsidR="0044172A" w:rsidRDefault="004417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1E0" w:firstRow="1" w:lastRow="1" w:firstColumn="1" w:lastColumn="1" w:noHBand="0" w:noVBand="0"/>
    </w:tblPr>
    <w:tblGrid>
      <w:gridCol w:w="7560"/>
      <w:gridCol w:w="2340"/>
    </w:tblGrid>
    <w:tr w:rsidR="00F21101" w:rsidRPr="00D06087" w14:paraId="2AD52979" w14:textId="77777777" w:rsidTr="002154BF">
      <w:trPr>
        <w:trHeight w:val="180"/>
      </w:trPr>
      <w:tc>
        <w:tcPr>
          <w:tcW w:w="7560" w:type="dxa"/>
          <w:vAlign w:val="bottom"/>
        </w:tcPr>
        <w:p w14:paraId="46779B88" w14:textId="0AF819D3" w:rsidR="00F21101" w:rsidRPr="00093942" w:rsidRDefault="00F21101" w:rsidP="002154BF">
          <w:pPr>
            <w:pStyle w:val="Voettekst"/>
            <w:spacing w:line="180" w:lineRule="atLeast"/>
            <w:rPr>
              <w:sz w:val="13"/>
            </w:rPr>
          </w:pPr>
          <w:r w:rsidRPr="00093942">
            <w:rPr>
              <w:sz w:val="13"/>
            </w:rPr>
            <w:t xml:space="preserve"> </w:t>
          </w:r>
          <w:bookmarkStart w:id="5" w:name="lpage_next"/>
          <w:r w:rsidRPr="00093942">
            <w:rPr>
              <w:sz w:val="13"/>
            </w:rPr>
            <w:t>Pagina</w:t>
          </w:r>
          <w:bookmarkEnd w:id="5"/>
          <w:r w:rsidRPr="00093942">
            <w:rPr>
              <w:sz w:val="13"/>
            </w:rPr>
            <w:t xml:space="preserve"> </w:t>
          </w:r>
          <w:r w:rsidRPr="00093942">
            <w:rPr>
              <w:sz w:val="13"/>
            </w:rPr>
            <w:fldChar w:fldCharType="begin"/>
          </w:r>
          <w:r w:rsidRPr="00093942">
            <w:rPr>
              <w:sz w:val="13"/>
            </w:rPr>
            <w:instrText xml:space="preserve"> PAGE   \* MERGEFORMAT </w:instrText>
          </w:r>
          <w:r w:rsidRPr="00093942">
            <w:rPr>
              <w:sz w:val="13"/>
            </w:rPr>
            <w:fldChar w:fldCharType="separate"/>
          </w:r>
          <w:r w:rsidR="003A3446">
            <w:rPr>
              <w:noProof/>
              <w:sz w:val="13"/>
            </w:rPr>
            <w:t>4</w:t>
          </w:r>
          <w:r w:rsidRPr="00093942">
            <w:rPr>
              <w:sz w:val="13"/>
            </w:rPr>
            <w:fldChar w:fldCharType="end"/>
          </w:r>
          <w:r w:rsidRPr="00093942">
            <w:rPr>
              <w:sz w:val="13"/>
            </w:rPr>
            <w:t xml:space="preserve"> </w:t>
          </w:r>
          <w:bookmarkStart w:id="6" w:name="lof_next"/>
          <w:r w:rsidRPr="00093942">
            <w:rPr>
              <w:sz w:val="13"/>
            </w:rPr>
            <w:t>van</w:t>
          </w:r>
          <w:bookmarkEnd w:id="6"/>
          <w:r w:rsidRPr="0009394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3A3446" w:rsidRPr="003A3446">
            <w:rPr>
              <w:noProof/>
              <w:sz w:val="13"/>
              <w:szCs w:val="22"/>
            </w:rPr>
            <w:t>6</w:t>
          </w:r>
          <w:r>
            <w:rPr>
              <w:noProof/>
              <w:sz w:val="13"/>
            </w:rPr>
            <w:fldChar w:fldCharType="end"/>
          </w:r>
        </w:p>
      </w:tc>
      <w:tc>
        <w:tcPr>
          <w:tcW w:w="2340" w:type="dxa"/>
          <w:tcMar>
            <w:left w:w="240" w:type="dxa"/>
          </w:tcMar>
        </w:tcPr>
        <w:p w14:paraId="75968765" w14:textId="77777777" w:rsidR="00F21101" w:rsidRPr="00093942" w:rsidRDefault="00F21101" w:rsidP="002154BF">
          <w:pPr>
            <w:pStyle w:val="Voettekst"/>
            <w:spacing w:line="180" w:lineRule="atLeast"/>
            <w:rPr>
              <w:b/>
              <w:smallCaps/>
              <w:sz w:val="16"/>
            </w:rPr>
          </w:pPr>
          <w:bookmarkStart w:id="7" w:name="classif_type_next1"/>
          <w:bookmarkEnd w:id="7"/>
        </w:p>
      </w:tc>
    </w:tr>
  </w:tbl>
  <w:p w14:paraId="4EA4E37E" w14:textId="77777777" w:rsidR="00F21101" w:rsidRPr="00D06087" w:rsidRDefault="00F21101" w:rsidP="002154BF">
    <w:pPr>
      <w:pStyle w:val="Voettekst"/>
      <w:spacing w:line="180" w:lineRule="exact"/>
    </w:pPr>
  </w:p>
  <w:p w14:paraId="26B83F21" w14:textId="77777777" w:rsidR="00F21101" w:rsidRPr="00D06087" w:rsidRDefault="00F21101" w:rsidP="002154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1E0" w:firstRow="1" w:lastRow="1" w:firstColumn="1" w:lastColumn="1" w:noHBand="0" w:noVBand="0"/>
    </w:tblPr>
    <w:tblGrid>
      <w:gridCol w:w="7484"/>
      <w:gridCol w:w="2268"/>
    </w:tblGrid>
    <w:tr w:rsidR="00F21101" w:rsidRPr="00D06087" w14:paraId="10EF9F34" w14:textId="77777777" w:rsidTr="002154BF">
      <w:trPr>
        <w:trHeight w:val="180"/>
      </w:trPr>
      <w:tc>
        <w:tcPr>
          <w:tcW w:w="7484" w:type="dxa"/>
          <w:vAlign w:val="bottom"/>
        </w:tcPr>
        <w:p w14:paraId="67B972AA" w14:textId="2B266CB8" w:rsidR="00F21101" w:rsidRPr="00093942" w:rsidRDefault="00F21101" w:rsidP="002154BF">
          <w:pPr>
            <w:pStyle w:val="Voettekst"/>
            <w:spacing w:line="180" w:lineRule="atLeast"/>
            <w:rPr>
              <w:sz w:val="13"/>
            </w:rPr>
          </w:pPr>
          <w:r w:rsidRPr="00093942">
            <w:rPr>
              <w:sz w:val="13"/>
            </w:rPr>
            <w:t xml:space="preserve"> </w:t>
          </w:r>
          <w:bookmarkStart w:id="33" w:name="lpage"/>
          <w:r w:rsidRPr="00093942">
            <w:rPr>
              <w:sz w:val="13"/>
            </w:rPr>
            <w:t>Pagina</w:t>
          </w:r>
          <w:bookmarkEnd w:id="33"/>
          <w:r w:rsidRPr="00093942">
            <w:rPr>
              <w:sz w:val="13"/>
            </w:rPr>
            <w:t xml:space="preserve"> </w:t>
          </w:r>
          <w:r w:rsidRPr="00093942">
            <w:rPr>
              <w:sz w:val="13"/>
            </w:rPr>
            <w:fldChar w:fldCharType="begin"/>
          </w:r>
          <w:r w:rsidRPr="00093942">
            <w:rPr>
              <w:sz w:val="13"/>
            </w:rPr>
            <w:instrText xml:space="preserve"> PAGE   \* MERGEFORMAT </w:instrText>
          </w:r>
          <w:r w:rsidRPr="00093942">
            <w:rPr>
              <w:sz w:val="13"/>
            </w:rPr>
            <w:fldChar w:fldCharType="separate"/>
          </w:r>
          <w:r w:rsidR="003A3446">
            <w:rPr>
              <w:noProof/>
              <w:sz w:val="13"/>
            </w:rPr>
            <w:t>1</w:t>
          </w:r>
          <w:r w:rsidRPr="00093942">
            <w:rPr>
              <w:sz w:val="13"/>
            </w:rPr>
            <w:fldChar w:fldCharType="end"/>
          </w:r>
          <w:r w:rsidRPr="00093942">
            <w:rPr>
              <w:sz w:val="13"/>
            </w:rPr>
            <w:t xml:space="preserve"> </w:t>
          </w:r>
          <w:bookmarkStart w:id="34" w:name="lof"/>
          <w:r w:rsidRPr="00093942">
            <w:rPr>
              <w:sz w:val="13"/>
            </w:rPr>
            <w:t>van</w:t>
          </w:r>
          <w:bookmarkEnd w:id="34"/>
          <w:r w:rsidRPr="0009394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3A3446" w:rsidRPr="003A3446">
            <w:rPr>
              <w:noProof/>
              <w:sz w:val="13"/>
              <w:szCs w:val="22"/>
            </w:rPr>
            <w:t>6</w:t>
          </w:r>
          <w:r>
            <w:rPr>
              <w:noProof/>
              <w:sz w:val="13"/>
            </w:rPr>
            <w:fldChar w:fldCharType="end"/>
          </w:r>
        </w:p>
      </w:tc>
      <w:tc>
        <w:tcPr>
          <w:tcW w:w="2268" w:type="dxa"/>
          <w:tcMar>
            <w:left w:w="255" w:type="dxa"/>
          </w:tcMar>
        </w:tcPr>
        <w:p w14:paraId="5070C2D7" w14:textId="77777777" w:rsidR="00F21101" w:rsidRPr="00093942" w:rsidRDefault="00F21101" w:rsidP="002154BF">
          <w:pPr>
            <w:pStyle w:val="Voettekst"/>
            <w:spacing w:line="180" w:lineRule="atLeast"/>
            <w:rPr>
              <w:b/>
              <w:smallCaps/>
              <w:sz w:val="16"/>
            </w:rPr>
          </w:pPr>
          <w:bookmarkStart w:id="35" w:name="classif_type1"/>
          <w:bookmarkEnd w:id="35"/>
        </w:p>
      </w:tc>
    </w:tr>
  </w:tbl>
  <w:p w14:paraId="53BB5359" w14:textId="77777777" w:rsidR="00F21101" w:rsidRPr="00D06087" w:rsidRDefault="00F21101" w:rsidP="002154BF">
    <w:pPr>
      <w:pStyle w:val="Voettekst"/>
      <w:spacing w:line="180" w:lineRule="exact"/>
    </w:pPr>
  </w:p>
  <w:p w14:paraId="547965C8" w14:textId="77777777" w:rsidR="00F21101" w:rsidRPr="00D06087" w:rsidRDefault="00F21101" w:rsidP="002154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47B0A" w14:textId="77777777" w:rsidR="00550EC2" w:rsidRDefault="00550EC2" w:rsidP="0056305F">
      <w:pPr>
        <w:spacing w:line="240" w:lineRule="auto"/>
      </w:pPr>
      <w:r>
        <w:separator/>
      </w:r>
    </w:p>
  </w:footnote>
  <w:footnote w:type="continuationSeparator" w:id="0">
    <w:p w14:paraId="35668CE3" w14:textId="77777777" w:rsidR="00550EC2" w:rsidRDefault="00550EC2" w:rsidP="0056305F">
      <w:pPr>
        <w:spacing w:line="240" w:lineRule="auto"/>
      </w:pPr>
      <w:r>
        <w:continuationSeparator/>
      </w:r>
    </w:p>
  </w:footnote>
  <w:footnote w:type="continuationNotice" w:id="1">
    <w:p w14:paraId="0577A515" w14:textId="77777777" w:rsidR="00550EC2" w:rsidRDefault="00550EC2">
      <w:pPr>
        <w:spacing w:line="240" w:lineRule="auto"/>
      </w:pPr>
    </w:p>
  </w:footnote>
  <w:footnote w:id="2">
    <w:p w14:paraId="1DB67DDF" w14:textId="57192A85" w:rsidR="00F8651E" w:rsidRPr="00667CCA" w:rsidRDefault="00F8651E">
      <w:pPr>
        <w:pStyle w:val="Voetnoottekst"/>
        <w:rPr>
          <w:sz w:val="16"/>
          <w:szCs w:val="16"/>
        </w:rPr>
      </w:pPr>
      <w:r>
        <w:rPr>
          <w:rStyle w:val="Voetnootmarkering"/>
        </w:rPr>
        <w:footnoteRef/>
      </w:r>
      <w:r>
        <w:t xml:space="preserve"> </w:t>
      </w:r>
      <w:r w:rsidRPr="00667CCA">
        <w:rPr>
          <w:sz w:val="16"/>
          <w:szCs w:val="16"/>
        </w:rPr>
        <w:t>Uw Kamer is hier op 28 oktober 2024 door de staatssecretaris van Defensie over geïnformeerd (Kamerstuk 36592, nr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58661" w14:textId="77777777" w:rsidR="0044172A" w:rsidRDefault="004417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2013"/>
    </w:tblGrid>
    <w:tr w:rsidR="00F21101" w:rsidRPr="00D06087" w14:paraId="078580C1" w14:textId="77777777" w:rsidTr="002154BF">
      <w:trPr>
        <w:trHeight w:val="793"/>
      </w:trPr>
      <w:tc>
        <w:tcPr>
          <w:tcW w:w="2013" w:type="dxa"/>
          <w:vAlign w:val="bottom"/>
        </w:tcPr>
        <w:p w14:paraId="17829471" w14:textId="77777777" w:rsidR="00F21101" w:rsidRPr="00093942" w:rsidRDefault="00F21101" w:rsidP="002154BF">
          <w:pPr>
            <w:framePr w:hSpace="180" w:wrap="around" w:vAnchor="text" w:hAnchor="page" w:x="9328" w:y="1"/>
            <w:spacing w:line="180" w:lineRule="atLeast"/>
            <w:rPr>
              <w:b/>
              <w:smallCaps/>
              <w:sz w:val="16"/>
            </w:rPr>
          </w:pPr>
          <w:bookmarkStart w:id="3" w:name="classif_type_next"/>
          <w:bookmarkEnd w:id="3"/>
        </w:p>
      </w:tc>
    </w:tr>
    <w:tr w:rsidR="00F21101" w:rsidRPr="00D06087" w14:paraId="20417D9B" w14:textId="77777777" w:rsidTr="002154BF">
      <w:trPr>
        <w:trHeight w:val="2000"/>
      </w:trPr>
      <w:tc>
        <w:tcPr>
          <w:tcW w:w="2013" w:type="dxa"/>
          <w:vAlign w:val="bottom"/>
        </w:tcPr>
        <w:p w14:paraId="27A92D74" w14:textId="77777777" w:rsidR="00F21101" w:rsidRPr="00093942" w:rsidRDefault="00F21101" w:rsidP="002154BF">
          <w:pPr>
            <w:framePr w:hSpace="180" w:wrap="around" w:vAnchor="text" w:hAnchor="page" w:x="9328" w:y="1"/>
            <w:spacing w:line="180" w:lineRule="atLeast"/>
            <w:rPr>
              <w:b/>
              <w:caps/>
              <w:sz w:val="16"/>
              <w:u w:val="single"/>
            </w:rPr>
          </w:pPr>
        </w:p>
      </w:tc>
    </w:tr>
    <w:tr w:rsidR="00F21101" w:rsidRPr="00D06087" w14:paraId="3CC3C710" w14:textId="77777777" w:rsidTr="002154BF">
      <w:trPr>
        <w:trHeight w:val="180"/>
      </w:trPr>
      <w:tc>
        <w:tcPr>
          <w:tcW w:w="2013" w:type="dxa"/>
        </w:tcPr>
        <w:p w14:paraId="0B7C5B35" w14:textId="77777777" w:rsidR="00F21101" w:rsidRPr="00093942" w:rsidRDefault="00F21101" w:rsidP="002154BF">
          <w:pPr>
            <w:framePr w:hSpace="180" w:wrap="around" w:vAnchor="text" w:hAnchor="page" w:x="9328" w:y="1"/>
            <w:spacing w:line="180" w:lineRule="atLeast"/>
            <w:rPr>
              <w:b/>
              <w:sz w:val="13"/>
            </w:rPr>
          </w:pPr>
        </w:p>
      </w:tc>
    </w:tr>
    <w:tr w:rsidR="00F21101" w:rsidRPr="00D06087" w14:paraId="69A9717D" w14:textId="77777777" w:rsidTr="002154BF">
      <w:trPr>
        <w:trHeight w:val="270"/>
      </w:trPr>
      <w:tc>
        <w:tcPr>
          <w:tcW w:w="2013" w:type="dxa"/>
        </w:tcPr>
        <w:p w14:paraId="3DB87D3D" w14:textId="77777777" w:rsidR="00F21101" w:rsidRPr="00093942" w:rsidRDefault="00F21101" w:rsidP="002154BF">
          <w:pPr>
            <w:framePr w:hSpace="180" w:wrap="around" w:vAnchor="text" w:hAnchor="page" w:x="9328" w:y="1"/>
            <w:spacing w:line="180" w:lineRule="atLeast"/>
            <w:rPr>
              <w:sz w:val="13"/>
            </w:rPr>
          </w:pPr>
        </w:p>
      </w:tc>
    </w:tr>
    <w:tr w:rsidR="00F21101" w:rsidRPr="00D06087" w14:paraId="04635492" w14:textId="77777777" w:rsidTr="002154BF">
      <w:trPr>
        <w:trHeight w:val="450"/>
      </w:trPr>
      <w:tc>
        <w:tcPr>
          <w:tcW w:w="2013" w:type="dxa"/>
        </w:tcPr>
        <w:p w14:paraId="2473AA91" w14:textId="77777777" w:rsidR="00F21101" w:rsidRPr="00093942" w:rsidRDefault="00F21101" w:rsidP="002154BF">
          <w:pPr>
            <w:framePr w:hSpace="180" w:wrap="around" w:vAnchor="text" w:hAnchor="page" w:x="9328" w:y="1"/>
            <w:spacing w:line="180" w:lineRule="atLeast"/>
            <w:rPr>
              <w:sz w:val="13"/>
            </w:rPr>
          </w:pPr>
          <w:bookmarkStart w:id="4" w:name="date_next"/>
          <w:bookmarkEnd w:id="4"/>
        </w:p>
      </w:tc>
    </w:tr>
    <w:tr w:rsidR="00F21101" w:rsidRPr="00D06087" w14:paraId="0C082D5C" w14:textId="77777777" w:rsidTr="002154BF">
      <w:trPr>
        <w:trHeight w:val="450"/>
      </w:trPr>
      <w:tc>
        <w:tcPr>
          <w:tcW w:w="2013" w:type="dxa"/>
        </w:tcPr>
        <w:p w14:paraId="71B01AFC" w14:textId="77777777" w:rsidR="00F21101" w:rsidRPr="00093942" w:rsidRDefault="00F21101" w:rsidP="002154BF">
          <w:pPr>
            <w:framePr w:hSpace="180" w:wrap="around" w:vAnchor="text" w:hAnchor="page" w:x="9328" w:y="1"/>
            <w:spacing w:line="180" w:lineRule="atLeast"/>
            <w:rPr>
              <w:sz w:val="13"/>
            </w:rPr>
          </w:pPr>
        </w:p>
      </w:tc>
    </w:tr>
  </w:tbl>
  <w:p w14:paraId="30C0E6FC" w14:textId="77777777" w:rsidR="00F21101" w:rsidRPr="00D06087" w:rsidRDefault="00F21101" w:rsidP="002154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2013"/>
    </w:tblGrid>
    <w:tr w:rsidR="00F21101" w:rsidRPr="00D06087" w14:paraId="39803287" w14:textId="77777777" w:rsidTr="002154BF">
      <w:trPr>
        <w:trHeight w:val="793"/>
      </w:trPr>
      <w:tc>
        <w:tcPr>
          <w:tcW w:w="2013" w:type="dxa"/>
          <w:vAlign w:val="bottom"/>
        </w:tcPr>
        <w:p w14:paraId="7DE446E1" w14:textId="77777777" w:rsidR="00F21101" w:rsidRPr="00093942" w:rsidRDefault="00F21101" w:rsidP="002154BF">
          <w:pPr>
            <w:framePr w:hSpace="180" w:wrap="around" w:vAnchor="text" w:hAnchor="page" w:x="9328" w:y="1"/>
            <w:spacing w:line="180" w:lineRule="atLeast"/>
            <w:rPr>
              <w:b/>
              <w:smallCaps/>
              <w:sz w:val="16"/>
            </w:rPr>
          </w:pPr>
          <w:bookmarkStart w:id="8" w:name="classif_type"/>
          <w:bookmarkEnd w:id="8"/>
        </w:p>
      </w:tc>
    </w:tr>
    <w:tr w:rsidR="00F21101" w:rsidRPr="00D06087" w14:paraId="797CA198" w14:textId="77777777" w:rsidTr="002154BF">
      <w:trPr>
        <w:trHeight w:val="2000"/>
      </w:trPr>
      <w:tc>
        <w:tcPr>
          <w:tcW w:w="2013" w:type="dxa"/>
          <w:vAlign w:val="bottom"/>
        </w:tcPr>
        <w:p w14:paraId="061F4A93" w14:textId="77777777" w:rsidR="00F21101" w:rsidRPr="00093942" w:rsidRDefault="00F21101" w:rsidP="002154BF">
          <w:pPr>
            <w:framePr w:hSpace="180" w:wrap="around" w:vAnchor="text" w:hAnchor="page" w:x="9328" w:y="1"/>
            <w:spacing w:line="180" w:lineRule="atLeast"/>
            <w:rPr>
              <w:b/>
              <w:caps/>
              <w:sz w:val="16"/>
              <w:u w:val="single"/>
            </w:rPr>
          </w:pPr>
        </w:p>
      </w:tc>
    </w:tr>
    <w:tr w:rsidR="00F21101" w:rsidRPr="00D06087" w14:paraId="4CB0E5B8" w14:textId="77777777" w:rsidTr="002154BF">
      <w:trPr>
        <w:trHeight w:val="180"/>
      </w:trPr>
      <w:tc>
        <w:tcPr>
          <w:tcW w:w="2013" w:type="dxa"/>
        </w:tcPr>
        <w:p w14:paraId="3D504D43" w14:textId="77777777" w:rsidR="00F21101" w:rsidRPr="00093942" w:rsidRDefault="00F21101" w:rsidP="002154BF">
          <w:pPr>
            <w:framePr w:hSpace="180" w:wrap="around" w:vAnchor="text" w:hAnchor="page" w:x="9328" w:y="1"/>
            <w:spacing w:line="180" w:lineRule="atLeast"/>
            <w:rPr>
              <w:b/>
              <w:sz w:val="13"/>
            </w:rPr>
          </w:pPr>
          <w:bookmarkStart w:id="9" w:name="division"/>
          <w:r w:rsidRPr="00093942">
            <w:rPr>
              <w:b/>
              <w:sz w:val="13"/>
            </w:rPr>
            <w:t>Ministerie van Defensie</w:t>
          </w:r>
          <w:bookmarkEnd w:id="9"/>
        </w:p>
      </w:tc>
    </w:tr>
    <w:tr w:rsidR="00F21101" w:rsidRPr="00D06087" w14:paraId="26AA5387" w14:textId="77777777" w:rsidTr="002154BF">
      <w:trPr>
        <w:trHeight w:hRule="exact" w:val="90"/>
      </w:trPr>
      <w:tc>
        <w:tcPr>
          <w:tcW w:w="2013" w:type="dxa"/>
        </w:tcPr>
        <w:p w14:paraId="3969B0A4" w14:textId="77777777" w:rsidR="00F21101" w:rsidRPr="00093942" w:rsidRDefault="00F21101" w:rsidP="002154BF">
          <w:pPr>
            <w:framePr w:hSpace="180" w:wrap="around" w:vAnchor="text" w:hAnchor="page" w:x="9328" w:y="1"/>
            <w:spacing w:line="180" w:lineRule="atLeast"/>
            <w:rPr>
              <w:sz w:val="13"/>
            </w:rPr>
          </w:pPr>
        </w:p>
      </w:tc>
    </w:tr>
    <w:tr w:rsidR="00F21101" w:rsidRPr="00D06087" w14:paraId="66164B51" w14:textId="77777777" w:rsidTr="002154BF">
      <w:trPr>
        <w:trHeight w:val="180"/>
      </w:trPr>
      <w:tc>
        <w:tcPr>
          <w:tcW w:w="2013" w:type="dxa"/>
        </w:tcPr>
        <w:p w14:paraId="6F53349D" w14:textId="77777777" w:rsidR="00F21101" w:rsidRPr="00093942" w:rsidRDefault="00F21101" w:rsidP="002154BF">
          <w:pPr>
            <w:framePr w:hSpace="180" w:wrap="around" w:vAnchor="text" w:hAnchor="page" w:x="9328" w:y="1"/>
            <w:spacing w:line="180" w:lineRule="atLeast"/>
            <w:rPr>
              <w:sz w:val="13"/>
            </w:rPr>
          </w:pPr>
          <w:bookmarkStart w:id="10" w:name="visit_address"/>
          <w:r w:rsidRPr="00093942">
            <w:rPr>
              <w:sz w:val="13"/>
            </w:rPr>
            <w:t>Plein 4</w:t>
          </w:r>
          <w:bookmarkEnd w:id="10"/>
        </w:p>
      </w:tc>
    </w:tr>
    <w:tr w:rsidR="00F21101" w:rsidRPr="00D06087" w14:paraId="3CF47338" w14:textId="77777777" w:rsidTr="002154BF">
      <w:trPr>
        <w:trHeight w:val="180"/>
      </w:trPr>
      <w:tc>
        <w:tcPr>
          <w:tcW w:w="2013" w:type="dxa"/>
        </w:tcPr>
        <w:p w14:paraId="00544C01" w14:textId="77777777" w:rsidR="00F21101" w:rsidRPr="00093942" w:rsidRDefault="00F21101" w:rsidP="002154BF">
          <w:pPr>
            <w:framePr w:hSpace="180" w:wrap="around" w:vAnchor="text" w:hAnchor="page" w:x="9328" w:y="1"/>
            <w:spacing w:line="180" w:lineRule="atLeast"/>
            <w:rPr>
              <w:sz w:val="13"/>
            </w:rPr>
          </w:pPr>
          <w:bookmarkStart w:id="11" w:name="mpc"/>
          <w:r w:rsidRPr="00093942">
            <w:rPr>
              <w:sz w:val="13"/>
            </w:rPr>
            <w:t>MPC 58 B</w:t>
          </w:r>
          <w:bookmarkEnd w:id="11"/>
        </w:p>
      </w:tc>
    </w:tr>
    <w:tr w:rsidR="00F21101" w:rsidRPr="00D06087" w14:paraId="378D61E5" w14:textId="77777777" w:rsidTr="002154BF">
      <w:trPr>
        <w:trHeight w:val="180"/>
      </w:trPr>
      <w:tc>
        <w:tcPr>
          <w:tcW w:w="2013" w:type="dxa"/>
        </w:tcPr>
        <w:p w14:paraId="08F4EF4F" w14:textId="77777777" w:rsidR="00F21101" w:rsidRPr="00093942" w:rsidRDefault="00F21101" w:rsidP="002154BF">
          <w:pPr>
            <w:framePr w:hSpace="180" w:wrap="around" w:vAnchor="text" w:hAnchor="page" w:x="9328" w:y="1"/>
            <w:spacing w:line="180" w:lineRule="atLeast"/>
            <w:rPr>
              <w:sz w:val="13"/>
            </w:rPr>
          </w:pPr>
          <w:bookmarkStart w:id="12" w:name="postal_address"/>
          <w:r w:rsidRPr="00093942">
            <w:rPr>
              <w:sz w:val="13"/>
            </w:rPr>
            <w:t>Postbus 20701</w:t>
          </w:r>
          <w:bookmarkEnd w:id="12"/>
        </w:p>
      </w:tc>
    </w:tr>
    <w:tr w:rsidR="00F21101" w:rsidRPr="00D06087" w14:paraId="5A83FD51" w14:textId="77777777" w:rsidTr="002154BF">
      <w:trPr>
        <w:trHeight w:val="180"/>
      </w:trPr>
      <w:tc>
        <w:tcPr>
          <w:tcW w:w="2013" w:type="dxa"/>
        </w:tcPr>
        <w:p w14:paraId="45F170DF" w14:textId="77777777" w:rsidR="00F21101" w:rsidRPr="00093942" w:rsidRDefault="00F21101" w:rsidP="002154BF">
          <w:pPr>
            <w:framePr w:hSpace="180" w:wrap="around" w:vAnchor="text" w:hAnchor="page" w:x="9328" w:y="1"/>
            <w:spacing w:line="180" w:lineRule="atLeast"/>
            <w:rPr>
              <w:sz w:val="13"/>
            </w:rPr>
          </w:pPr>
          <w:bookmarkStart w:id="13" w:name="postcode"/>
          <w:r w:rsidRPr="00093942">
            <w:rPr>
              <w:sz w:val="13"/>
            </w:rPr>
            <w:t>2500 ES</w:t>
          </w:r>
          <w:bookmarkEnd w:id="13"/>
          <w:r w:rsidRPr="00093942">
            <w:rPr>
              <w:sz w:val="13"/>
            </w:rPr>
            <w:t xml:space="preserve"> </w:t>
          </w:r>
          <w:bookmarkStart w:id="14" w:name="place"/>
          <w:r w:rsidRPr="00093942">
            <w:rPr>
              <w:sz w:val="13"/>
            </w:rPr>
            <w:t>Den Haag</w:t>
          </w:r>
          <w:bookmarkEnd w:id="14"/>
        </w:p>
      </w:tc>
    </w:tr>
    <w:tr w:rsidR="00F21101" w:rsidRPr="00D06087" w14:paraId="70EF7BAE" w14:textId="77777777" w:rsidTr="002154BF">
      <w:trPr>
        <w:trHeight w:val="180"/>
      </w:trPr>
      <w:tc>
        <w:tcPr>
          <w:tcW w:w="2013" w:type="dxa"/>
        </w:tcPr>
        <w:p w14:paraId="1499F242" w14:textId="77777777" w:rsidR="00F21101" w:rsidRPr="00093942" w:rsidRDefault="00F21101" w:rsidP="002154BF">
          <w:pPr>
            <w:framePr w:hSpace="180" w:wrap="around" w:vAnchor="text" w:hAnchor="page" w:x="9328" w:y="1"/>
            <w:spacing w:line="180" w:lineRule="atLeast"/>
            <w:rPr>
              <w:sz w:val="13"/>
            </w:rPr>
          </w:pPr>
          <w:bookmarkStart w:id="15" w:name="www"/>
          <w:r w:rsidRPr="00093942">
            <w:rPr>
              <w:sz w:val="13"/>
            </w:rPr>
            <w:t>www.defensie.nl</w:t>
          </w:r>
          <w:bookmarkEnd w:id="15"/>
        </w:p>
      </w:tc>
    </w:tr>
    <w:tr w:rsidR="00F21101" w:rsidRPr="00D06087" w14:paraId="02D1FB73" w14:textId="77777777" w:rsidTr="002154BF">
      <w:trPr>
        <w:trHeight w:hRule="exact" w:val="90"/>
      </w:trPr>
      <w:tc>
        <w:tcPr>
          <w:tcW w:w="2013" w:type="dxa"/>
        </w:tcPr>
        <w:p w14:paraId="2E68BAC6" w14:textId="77777777" w:rsidR="00F21101" w:rsidRPr="00093942" w:rsidRDefault="00F21101" w:rsidP="002154BF">
          <w:pPr>
            <w:framePr w:hSpace="180" w:wrap="around" w:vAnchor="text" w:hAnchor="page" w:x="9328" w:y="1"/>
            <w:spacing w:line="180" w:lineRule="atLeast"/>
            <w:rPr>
              <w:sz w:val="13"/>
            </w:rPr>
          </w:pPr>
        </w:p>
      </w:tc>
    </w:tr>
    <w:tr w:rsidR="00F21101" w:rsidRPr="00D06087" w14:paraId="69584CE1" w14:textId="77777777" w:rsidTr="002154BF">
      <w:trPr>
        <w:trHeight w:val="180"/>
      </w:trPr>
      <w:tc>
        <w:tcPr>
          <w:tcW w:w="2013" w:type="dxa"/>
        </w:tcPr>
        <w:p w14:paraId="4CA8231F" w14:textId="77777777" w:rsidR="00F21101" w:rsidRPr="00093942" w:rsidRDefault="00F21101" w:rsidP="002154BF">
          <w:pPr>
            <w:framePr w:hSpace="180" w:wrap="around" w:vAnchor="text" w:hAnchor="page" w:x="9328" w:y="1"/>
            <w:spacing w:line="180" w:lineRule="atLeast"/>
            <w:rPr>
              <w:b/>
              <w:sz w:val="13"/>
            </w:rPr>
          </w:pPr>
        </w:p>
      </w:tc>
    </w:tr>
    <w:tr w:rsidR="00F21101" w:rsidRPr="00D06087" w14:paraId="027E705A" w14:textId="77777777" w:rsidTr="002154BF">
      <w:trPr>
        <w:trHeight w:val="180"/>
      </w:trPr>
      <w:tc>
        <w:tcPr>
          <w:tcW w:w="2013" w:type="dxa"/>
        </w:tcPr>
        <w:p w14:paraId="7B8A44CD" w14:textId="77777777" w:rsidR="00F21101" w:rsidRPr="00093942" w:rsidRDefault="00F21101" w:rsidP="002154BF">
          <w:pPr>
            <w:framePr w:hSpace="180" w:wrap="around" w:vAnchor="text" w:hAnchor="page" w:x="9328" w:y="1"/>
            <w:spacing w:line="90" w:lineRule="exact"/>
            <w:rPr>
              <w:sz w:val="13"/>
            </w:rPr>
          </w:pPr>
        </w:p>
      </w:tc>
    </w:tr>
    <w:tr w:rsidR="00F21101" w:rsidRPr="00D06087" w14:paraId="32E0DE5A" w14:textId="77777777" w:rsidTr="002154BF">
      <w:trPr>
        <w:trHeight w:val="180"/>
      </w:trPr>
      <w:tc>
        <w:tcPr>
          <w:tcW w:w="2013" w:type="dxa"/>
        </w:tcPr>
        <w:p w14:paraId="47A8D42F" w14:textId="77777777" w:rsidR="00F21101" w:rsidRPr="00093942" w:rsidRDefault="00F21101" w:rsidP="002154BF">
          <w:pPr>
            <w:framePr w:hSpace="180" w:wrap="around" w:vAnchor="text" w:hAnchor="page" w:x="9328" w:y="1"/>
            <w:spacing w:line="180" w:lineRule="atLeast"/>
            <w:rPr>
              <w:sz w:val="13"/>
            </w:rPr>
          </w:pPr>
        </w:p>
      </w:tc>
    </w:tr>
    <w:tr w:rsidR="00F21101" w:rsidRPr="00D06087" w14:paraId="73A05450" w14:textId="77777777" w:rsidTr="002154BF">
      <w:trPr>
        <w:trHeight w:val="180"/>
      </w:trPr>
      <w:tc>
        <w:tcPr>
          <w:tcW w:w="2013" w:type="dxa"/>
        </w:tcPr>
        <w:p w14:paraId="77BEF3EA" w14:textId="77777777" w:rsidR="00F21101" w:rsidRPr="00093942" w:rsidRDefault="00F21101" w:rsidP="002154BF">
          <w:pPr>
            <w:framePr w:hSpace="180" w:wrap="around" w:vAnchor="text" w:hAnchor="page" w:x="9328" w:y="1"/>
            <w:spacing w:line="180" w:lineRule="atLeast"/>
            <w:rPr>
              <w:sz w:val="13"/>
            </w:rPr>
          </w:pPr>
        </w:p>
      </w:tc>
    </w:tr>
    <w:tr w:rsidR="00F21101" w:rsidRPr="00D06087" w14:paraId="77D90AE6" w14:textId="77777777" w:rsidTr="002154BF">
      <w:trPr>
        <w:trHeight w:val="180"/>
      </w:trPr>
      <w:tc>
        <w:tcPr>
          <w:tcW w:w="2013" w:type="dxa"/>
        </w:tcPr>
        <w:p w14:paraId="68CF6816" w14:textId="77777777" w:rsidR="00F21101" w:rsidRPr="00093942" w:rsidRDefault="00F21101" w:rsidP="002154BF">
          <w:pPr>
            <w:framePr w:hSpace="180" w:wrap="around" w:vAnchor="text" w:hAnchor="page" w:x="9328" w:y="1"/>
            <w:spacing w:line="180" w:lineRule="atLeast"/>
            <w:rPr>
              <w:sz w:val="13"/>
            </w:rPr>
          </w:pPr>
          <w:bookmarkStart w:id="16" w:name="lmobile"/>
          <w:bookmarkEnd w:id="16"/>
        </w:p>
      </w:tc>
    </w:tr>
    <w:tr w:rsidR="00F21101" w:rsidRPr="00D06087" w14:paraId="546107D7" w14:textId="77777777" w:rsidTr="002154BF">
      <w:trPr>
        <w:trHeight w:hRule="exact" w:val="270"/>
      </w:trPr>
      <w:tc>
        <w:tcPr>
          <w:tcW w:w="2013" w:type="dxa"/>
        </w:tcPr>
        <w:p w14:paraId="5C8423DF" w14:textId="77777777" w:rsidR="00F21101" w:rsidRPr="00093942" w:rsidRDefault="00F21101" w:rsidP="002154BF">
          <w:pPr>
            <w:framePr w:hSpace="180" w:wrap="around" w:vAnchor="text" w:hAnchor="page" w:x="9328" w:y="1"/>
            <w:spacing w:line="180" w:lineRule="atLeast"/>
            <w:rPr>
              <w:b/>
              <w:sz w:val="13"/>
            </w:rPr>
          </w:pPr>
        </w:p>
      </w:tc>
    </w:tr>
    <w:tr w:rsidR="00F21101" w:rsidRPr="00D06087" w14:paraId="1D34974E" w14:textId="77777777" w:rsidTr="002154BF">
      <w:trPr>
        <w:trHeight w:val="450"/>
      </w:trPr>
      <w:tc>
        <w:tcPr>
          <w:tcW w:w="2013" w:type="dxa"/>
        </w:tcPr>
        <w:p w14:paraId="2976972D" w14:textId="77777777" w:rsidR="00F21101" w:rsidRPr="00093942" w:rsidRDefault="00F21101" w:rsidP="002154BF">
          <w:pPr>
            <w:framePr w:hSpace="180" w:wrap="around" w:vAnchor="text" w:hAnchor="page" w:x="9328" w:y="1"/>
            <w:spacing w:line="180" w:lineRule="atLeast"/>
            <w:rPr>
              <w:b/>
              <w:sz w:val="13"/>
            </w:rPr>
          </w:pPr>
          <w:bookmarkStart w:id="17" w:name="lour_ref"/>
          <w:r w:rsidRPr="00093942">
            <w:rPr>
              <w:b/>
              <w:sz w:val="13"/>
            </w:rPr>
            <w:t>Onze referentie</w:t>
          </w:r>
          <w:bookmarkEnd w:id="17"/>
        </w:p>
        <w:p w14:paraId="45926B8B" w14:textId="350C1126" w:rsidR="00F21101" w:rsidRPr="00093942" w:rsidRDefault="003B52DA" w:rsidP="0092054A">
          <w:pPr>
            <w:framePr w:hSpace="180" w:wrap="around" w:vAnchor="text" w:hAnchor="page" w:x="9328" w:y="1"/>
            <w:spacing w:line="180" w:lineRule="atLeast"/>
            <w:rPr>
              <w:sz w:val="13"/>
            </w:rPr>
          </w:pPr>
          <w:r>
            <w:rPr>
              <w:sz w:val="13"/>
            </w:rPr>
            <w:t>MINDEF2025004453</w:t>
          </w:r>
        </w:p>
      </w:tc>
    </w:tr>
    <w:tr w:rsidR="00F21101" w:rsidRPr="00D06087" w14:paraId="3326D940" w14:textId="77777777" w:rsidTr="002154BF">
      <w:trPr>
        <w:trHeight w:val="450"/>
      </w:trPr>
      <w:tc>
        <w:tcPr>
          <w:tcW w:w="2013" w:type="dxa"/>
        </w:tcPr>
        <w:p w14:paraId="059D3CB8" w14:textId="77777777" w:rsidR="00F21101" w:rsidRDefault="00F21101" w:rsidP="002154BF">
          <w:pPr>
            <w:framePr w:hSpace="180" w:wrap="around" w:vAnchor="text" w:hAnchor="page" w:x="9328" w:y="1"/>
            <w:spacing w:line="180" w:lineRule="atLeast"/>
            <w:rPr>
              <w:b/>
              <w:sz w:val="13"/>
            </w:rPr>
          </w:pPr>
          <w:bookmarkStart w:id="18" w:name="lyour_ref"/>
          <w:bookmarkStart w:id="19" w:name="lby_intervention"/>
          <w:bookmarkStart w:id="20" w:name="lcopyto"/>
          <w:bookmarkEnd w:id="18"/>
          <w:bookmarkEnd w:id="19"/>
        </w:p>
        <w:bookmarkEnd w:id="20"/>
        <w:p w14:paraId="7C2F06DA" w14:textId="77777777" w:rsidR="00F21101" w:rsidRPr="00093942" w:rsidRDefault="00F21101" w:rsidP="002154BF">
          <w:pPr>
            <w:framePr w:hSpace="180" w:wrap="around" w:vAnchor="text" w:hAnchor="page" w:x="9328" w:y="1"/>
            <w:spacing w:line="180" w:lineRule="atLeast"/>
            <w:rPr>
              <w:sz w:val="13"/>
            </w:rPr>
          </w:pPr>
        </w:p>
      </w:tc>
    </w:tr>
    <w:tr w:rsidR="00F21101" w:rsidRPr="00D06087" w14:paraId="0265980E" w14:textId="77777777" w:rsidTr="002154BF">
      <w:trPr>
        <w:trHeight w:val="450"/>
      </w:trPr>
      <w:tc>
        <w:tcPr>
          <w:tcW w:w="2013" w:type="dxa"/>
        </w:tcPr>
        <w:p w14:paraId="7469300F" w14:textId="77777777" w:rsidR="00F21101" w:rsidRPr="00093942" w:rsidRDefault="00F21101" w:rsidP="007D4DCC">
          <w:pPr>
            <w:framePr w:hSpace="180" w:wrap="around" w:vAnchor="text" w:hAnchor="page" w:x="9328" w:y="1"/>
            <w:spacing w:line="180" w:lineRule="atLeast"/>
            <w:rPr>
              <w:i/>
              <w:sz w:val="13"/>
            </w:rPr>
          </w:pPr>
          <w:bookmarkStart w:id="21" w:name="ldealt_with_by"/>
          <w:bookmarkStart w:id="22" w:name="ldefined_by"/>
          <w:bookmarkStart w:id="23" w:name="lnum_pages_appendixes"/>
          <w:bookmarkStart w:id="24" w:name="lspecimen"/>
          <w:bookmarkStart w:id="25" w:name="return_text"/>
          <w:bookmarkEnd w:id="21"/>
          <w:bookmarkEnd w:id="22"/>
          <w:bookmarkEnd w:id="23"/>
          <w:bookmarkEnd w:id="24"/>
          <w:r>
            <w:rPr>
              <w:i/>
              <w:sz w:val="13"/>
            </w:rPr>
            <w:t xml:space="preserve">Bij </w:t>
          </w:r>
          <w:r w:rsidRPr="00093942">
            <w:rPr>
              <w:i/>
              <w:sz w:val="13"/>
            </w:rPr>
            <w:t xml:space="preserve">beantwoording datum, onze referentie en </w:t>
          </w:r>
          <w:r>
            <w:rPr>
              <w:i/>
              <w:sz w:val="13"/>
            </w:rPr>
            <w:t xml:space="preserve">onderwerp </w:t>
          </w:r>
          <w:r w:rsidRPr="00093942">
            <w:rPr>
              <w:i/>
              <w:sz w:val="13"/>
            </w:rPr>
            <w:t>vermelden.</w:t>
          </w:r>
          <w:bookmarkEnd w:id="25"/>
        </w:p>
      </w:tc>
    </w:tr>
  </w:tbl>
  <w:tbl>
    <w:tblPr>
      <w:tblW w:w="0" w:type="auto"/>
      <w:tblInd w:w="38" w:type="dxa"/>
      <w:tblCellMar>
        <w:left w:w="0" w:type="dxa"/>
        <w:right w:w="0" w:type="dxa"/>
      </w:tblCellMar>
      <w:tblLook w:val="01E0" w:firstRow="1" w:lastRow="1" w:firstColumn="1" w:lastColumn="1" w:noHBand="0" w:noVBand="0"/>
    </w:tblPr>
    <w:tblGrid>
      <w:gridCol w:w="737"/>
      <w:gridCol w:w="3720"/>
    </w:tblGrid>
    <w:tr w:rsidR="00F21101" w:rsidRPr="00D06087" w14:paraId="5F2288FE" w14:textId="77777777" w:rsidTr="002154BF">
      <w:trPr>
        <w:trHeight w:val="2268"/>
      </w:trPr>
      <w:tc>
        <w:tcPr>
          <w:tcW w:w="737" w:type="dxa"/>
        </w:tcPr>
        <w:p w14:paraId="0E86F415" w14:textId="066EFB26" w:rsidR="00F21101" w:rsidRPr="00D06087" w:rsidRDefault="00F21101" w:rsidP="0008128A">
          <w:pPr>
            <w:framePr w:hSpace="180" w:wrap="around" w:vAnchor="page" w:hAnchor="page" w:x="5529" w:y="1"/>
          </w:pPr>
          <w:bookmarkStart w:id="26" w:name="logo"/>
          <w:bookmarkEnd w:id="26"/>
          <w:r>
            <w:rPr>
              <w:noProof/>
              <w:lang w:eastAsia="nl-NL"/>
            </w:rPr>
            <w:drawing>
              <wp:inline distT="0" distB="0" distL="0" distR="0" wp14:anchorId="350B6700" wp14:editId="48C69C82">
                <wp:extent cx="4572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1333500"/>
                        </a:xfrm>
                        <a:prstGeom prst="rect">
                          <a:avLst/>
                        </a:prstGeom>
                        <a:noFill/>
                        <a:ln>
                          <a:noFill/>
                        </a:ln>
                      </pic:spPr>
                    </pic:pic>
                  </a:graphicData>
                </a:graphic>
              </wp:inline>
            </w:drawing>
          </w:r>
        </w:p>
      </w:tc>
      <w:tc>
        <w:tcPr>
          <w:tcW w:w="2815" w:type="dxa"/>
        </w:tcPr>
        <w:p w14:paraId="6A4E7670" w14:textId="77777777" w:rsidR="00F21101" w:rsidRPr="00D06087" w:rsidRDefault="00F21101" w:rsidP="0008128A">
          <w:pPr>
            <w:framePr w:hSpace="180" w:wrap="around" w:vAnchor="page" w:hAnchor="page" w:x="5529" w:y="1"/>
          </w:pPr>
          <w:bookmarkStart w:id="27" w:name="logo_mark"/>
          <w:bookmarkEnd w:id="27"/>
          <w:r>
            <w:rPr>
              <w:noProof/>
              <w:lang w:eastAsia="nl-NL"/>
            </w:rPr>
            <w:drawing>
              <wp:inline distT="0" distB="0" distL="0" distR="0" wp14:anchorId="117B3A94" wp14:editId="3F82EF7F">
                <wp:extent cx="2352675" cy="159067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2675" cy="1590675"/>
                        </a:xfrm>
                        <a:prstGeom prst="rect">
                          <a:avLst/>
                        </a:prstGeom>
                        <a:noFill/>
                      </pic:spPr>
                    </pic:pic>
                  </a:graphicData>
                </a:graphic>
              </wp:inline>
            </w:drawing>
          </w:r>
        </w:p>
      </w:tc>
    </w:tr>
  </w:tbl>
  <w:tbl>
    <w:tblPr>
      <w:tblW w:w="0" w:type="auto"/>
      <w:tblLayout w:type="fixed"/>
      <w:tblCellMar>
        <w:left w:w="0" w:type="dxa"/>
        <w:right w:w="0" w:type="dxa"/>
      </w:tblCellMar>
      <w:tblLook w:val="01E0" w:firstRow="1" w:lastRow="1" w:firstColumn="1" w:lastColumn="1" w:noHBand="0" w:noVBand="0"/>
    </w:tblPr>
    <w:tblGrid>
      <w:gridCol w:w="1100"/>
      <w:gridCol w:w="6383"/>
    </w:tblGrid>
    <w:tr w:rsidR="00F21101" w:rsidRPr="00B56A99" w14:paraId="16949E9D" w14:textId="77777777" w:rsidTr="002154BF">
      <w:trPr>
        <w:trHeight w:val="320"/>
      </w:trPr>
      <w:tc>
        <w:tcPr>
          <w:tcW w:w="7483" w:type="dxa"/>
          <w:gridSpan w:val="2"/>
        </w:tcPr>
        <w:p w14:paraId="5E379D26" w14:textId="77777777" w:rsidR="00F21101" w:rsidRPr="00B2334C" w:rsidRDefault="00F21101" w:rsidP="007D4DCC">
          <w:pPr>
            <w:pStyle w:val="Koptekst"/>
            <w:spacing w:line="240" w:lineRule="auto"/>
            <w:rPr>
              <w:sz w:val="13"/>
              <w:lang w:val="es-ES"/>
            </w:rPr>
          </w:pPr>
          <w:bookmarkStart w:id="28" w:name="return_address"/>
          <w:r w:rsidRPr="00B2334C">
            <w:rPr>
              <w:sz w:val="13"/>
              <w:lang w:val="es-ES"/>
            </w:rPr>
            <w:t>&gt; Retouradres Postbus 20701 2500 ES Den Haag</w:t>
          </w:r>
          <w:bookmarkEnd w:id="28"/>
        </w:p>
      </w:tc>
    </w:tr>
    <w:tr w:rsidR="00F21101" w:rsidRPr="00D06087" w14:paraId="6C598050" w14:textId="77777777" w:rsidTr="002154BF">
      <w:trPr>
        <w:trHeight w:val="2880"/>
      </w:trPr>
      <w:tc>
        <w:tcPr>
          <w:tcW w:w="7483" w:type="dxa"/>
          <w:gridSpan w:val="2"/>
        </w:tcPr>
        <w:p w14:paraId="5E959E69" w14:textId="77777777" w:rsidR="00F21101" w:rsidRPr="00D06087" w:rsidRDefault="00F21101" w:rsidP="007D4DCC">
          <w:pPr>
            <w:pStyle w:val="Koptekst"/>
            <w:spacing w:line="240" w:lineRule="auto"/>
          </w:pPr>
          <w:bookmarkStart w:id="29" w:name="to"/>
          <w:r w:rsidRPr="00D06087">
            <w:t>de Voorzitter van de Tweede Kamer</w:t>
          </w:r>
        </w:p>
        <w:p w14:paraId="2CEB16E2" w14:textId="77777777" w:rsidR="00F21101" w:rsidRPr="00D06087" w:rsidRDefault="00F21101" w:rsidP="007D4DCC">
          <w:pPr>
            <w:pStyle w:val="Koptekst"/>
            <w:spacing w:line="240" w:lineRule="auto"/>
          </w:pPr>
          <w:r w:rsidRPr="00D06087">
            <w:t>der Staten-Generaal</w:t>
          </w:r>
        </w:p>
        <w:p w14:paraId="51D9B5CA" w14:textId="77777777" w:rsidR="00F21101" w:rsidRDefault="00F21101" w:rsidP="007D4DCC">
          <w:pPr>
            <w:pStyle w:val="Koptekst"/>
            <w:spacing w:line="240" w:lineRule="auto"/>
          </w:pPr>
          <w:r>
            <w:t xml:space="preserve">Bezuidenhoutseweg 67 </w:t>
          </w:r>
        </w:p>
        <w:p w14:paraId="281FF07C" w14:textId="51F2E961" w:rsidR="00F21101" w:rsidRPr="00D06087" w:rsidRDefault="007C3D10" w:rsidP="00EB3089">
          <w:pPr>
            <w:pStyle w:val="Koptekst"/>
            <w:spacing w:line="240" w:lineRule="auto"/>
          </w:pPr>
          <w:r w:rsidRPr="00622807">
            <w:t>259</w:t>
          </w:r>
          <w:r>
            <w:t>4</w:t>
          </w:r>
          <w:r w:rsidRPr="00622807">
            <w:t xml:space="preserve"> </w:t>
          </w:r>
          <w:r>
            <w:t>AC</w:t>
          </w:r>
          <w:r w:rsidR="00F21101" w:rsidRPr="00622807">
            <w:t xml:space="preserve"> Den Haag</w:t>
          </w:r>
          <w:bookmarkEnd w:id="29"/>
        </w:p>
      </w:tc>
    </w:tr>
    <w:tr w:rsidR="00F21101" w:rsidRPr="00D06087" w14:paraId="4F8D9B0C" w14:textId="77777777" w:rsidTr="002154BF">
      <w:trPr>
        <w:trHeight w:val="240"/>
      </w:trPr>
      <w:tc>
        <w:tcPr>
          <w:tcW w:w="1100" w:type="dxa"/>
        </w:tcPr>
        <w:p w14:paraId="409C70E7" w14:textId="77777777" w:rsidR="00F21101" w:rsidRPr="002817C5" w:rsidRDefault="00F21101" w:rsidP="007D4DCC">
          <w:pPr>
            <w:pStyle w:val="Koptekst"/>
            <w:tabs>
              <w:tab w:val="clear" w:pos="4536"/>
              <w:tab w:val="clear" w:pos="9072"/>
              <w:tab w:val="right" w:pos="1100"/>
            </w:tabs>
            <w:spacing w:line="240" w:lineRule="auto"/>
          </w:pPr>
          <w:bookmarkStart w:id="30" w:name="ldate"/>
          <w:r w:rsidRPr="002817C5">
            <w:t>Datum</w:t>
          </w:r>
          <w:bookmarkEnd w:id="30"/>
        </w:p>
      </w:tc>
      <w:tc>
        <w:tcPr>
          <w:tcW w:w="6383" w:type="dxa"/>
        </w:tcPr>
        <w:p w14:paraId="4CA420DD" w14:textId="03963384" w:rsidR="00EE6223" w:rsidRPr="002817C5" w:rsidRDefault="002817C5" w:rsidP="007D4DCC">
          <w:pPr>
            <w:pStyle w:val="Koptekst"/>
            <w:tabs>
              <w:tab w:val="clear" w:pos="4536"/>
              <w:tab w:val="clear" w:pos="9072"/>
              <w:tab w:val="right" w:pos="1100"/>
            </w:tabs>
            <w:spacing w:line="240" w:lineRule="auto"/>
          </w:pPr>
          <w:bookmarkStart w:id="31" w:name="date"/>
          <w:bookmarkEnd w:id="31"/>
          <w:r w:rsidRPr="002817C5">
            <w:t>18 december 2025</w:t>
          </w:r>
        </w:p>
      </w:tc>
    </w:tr>
    <w:tr w:rsidR="00F21101" w:rsidRPr="00D06087" w14:paraId="65CA6C22" w14:textId="77777777" w:rsidTr="002154BF">
      <w:trPr>
        <w:trHeight w:val="240"/>
      </w:trPr>
      <w:tc>
        <w:tcPr>
          <w:tcW w:w="1100" w:type="dxa"/>
        </w:tcPr>
        <w:p w14:paraId="0681F042" w14:textId="77777777" w:rsidR="00F21101" w:rsidRPr="00D06087" w:rsidRDefault="00F21101" w:rsidP="007D4DCC">
          <w:pPr>
            <w:pStyle w:val="Koptekst"/>
            <w:tabs>
              <w:tab w:val="clear" w:pos="4536"/>
              <w:tab w:val="clear" w:pos="9072"/>
              <w:tab w:val="right" w:pos="1100"/>
            </w:tabs>
            <w:spacing w:line="240" w:lineRule="auto"/>
          </w:pPr>
          <w:r>
            <w:t>Betreft</w:t>
          </w:r>
        </w:p>
      </w:tc>
      <w:tc>
        <w:tcPr>
          <w:tcW w:w="6383" w:type="dxa"/>
        </w:tcPr>
        <w:p w14:paraId="41EABFBC" w14:textId="77F85451" w:rsidR="00F21101" w:rsidRDefault="00F21101" w:rsidP="007D4DCC">
          <w:pPr>
            <w:pStyle w:val="Koptekst"/>
            <w:tabs>
              <w:tab w:val="clear" w:pos="4536"/>
              <w:tab w:val="clear" w:pos="9072"/>
              <w:tab w:val="right" w:pos="1100"/>
            </w:tabs>
            <w:spacing w:line="240" w:lineRule="auto"/>
          </w:pPr>
          <w:r>
            <w:t>Jaarplanbrief MIVD 202</w:t>
          </w:r>
          <w:r w:rsidR="00424DB3">
            <w:t>6</w:t>
          </w:r>
        </w:p>
      </w:tc>
    </w:tr>
    <w:tr w:rsidR="00F21101" w:rsidRPr="00D06087" w14:paraId="0C7D7BFC" w14:textId="77777777" w:rsidTr="002154BF">
      <w:trPr>
        <w:trHeight w:val="960"/>
      </w:trPr>
      <w:tc>
        <w:tcPr>
          <w:tcW w:w="7483" w:type="dxa"/>
          <w:gridSpan w:val="2"/>
          <w:vAlign w:val="bottom"/>
        </w:tcPr>
        <w:p w14:paraId="21A33037" w14:textId="77777777" w:rsidR="00F21101" w:rsidRPr="00D06087" w:rsidRDefault="00F21101" w:rsidP="002154BF">
          <w:pPr>
            <w:pStyle w:val="Koptekst"/>
          </w:pPr>
          <w:bookmarkStart w:id="32" w:name="opening"/>
          <w:bookmarkEnd w:id="32"/>
        </w:p>
      </w:tc>
    </w:tr>
  </w:tbl>
  <w:p w14:paraId="450A2965" w14:textId="77777777" w:rsidR="00F21101" w:rsidRPr="00D06087" w:rsidRDefault="00F21101" w:rsidP="002154BF">
    <w:pPr>
      <w:pStyle w:val="Koptekst"/>
      <w:tabs>
        <w:tab w:val="clear" w:pos="4536"/>
        <w:tab w:val="clear" w:pos="9072"/>
        <w:tab w:val="left" w:pos="11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C42"/>
    <w:multiLevelType w:val="hybridMultilevel"/>
    <w:tmpl w:val="BA7EFCDC"/>
    <w:lvl w:ilvl="0" w:tplc="170ECDAC">
      <w:start w:val="1"/>
      <w:numFmt w:val="decimal"/>
      <w:lvlText w:val="%1."/>
      <w:lvlJc w:val="left"/>
      <w:pPr>
        <w:ind w:left="360" w:hanging="360"/>
      </w:pPr>
      <w:rPr>
        <w:rFonts w:hint="default"/>
        <w:b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9C2164"/>
    <w:multiLevelType w:val="hybridMultilevel"/>
    <w:tmpl w:val="9CB8B0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F65722"/>
    <w:multiLevelType w:val="hybridMultilevel"/>
    <w:tmpl w:val="EC2CE9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41F4D8C"/>
    <w:multiLevelType w:val="hybridMultilevel"/>
    <w:tmpl w:val="17B006D4"/>
    <w:lvl w:ilvl="0" w:tplc="81646E5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4CD41D0"/>
    <w:multiLevelType w:val="hybridMultilevel"/>
    <w:tmpl w:val="0882E3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8800EB1"/>
    <w:multiLevelType w:val="hybridMultilevel"/>
    <w:tmpl w:val="80826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292FE3"/>
    <w:multiLevelType w:val="hybridMultilevel"/>
    <w:tmpl w:val="924CD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BD4F93"/>
    <w:multiLevelType w:val="hybridMultilevel"/>
    <w:tmpl w:val="3C446A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1A151D5"/>
    <w:multiLevelType w:val="hybridMultilevel"/>
    <w:tmpl w:val="C9C8945E"/>
    <w:lvl w:ilvl="0" w:tplc="148ED52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F882E21"/>
    <w:multiLevelType w:val="hybridMultilevel"/>
    <w:tmpl w:val="EB6E8BC0"/>
    <w:lvl w:ilvl="0" w:tplc="EDBC0B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B50DA6"/>
    <w:multiLevelType w:val="hybridMultilevel"/>
    <w:tmpl w:val="AEE40216"/>
    <w:lvl w:ilvl="0" w:tplc="8DC6805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8"/>
  </w:num>
  <w:num w:numId="6">
    <w:abstractNumId w:val="9"/>
  </w:num>
  <w:num w:numId="7">
    <w:abstractNumId w:val="0"/>
  </w:num>
  <w:num w:numId="8">
    <w:abstractNumId w:val="1"/>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5F"/>
    <w:rsid w:val="00001337"/>
    <w:rsid w:val="00005014"/>
    <w:rsid w:val="00005A9B"/>
    <w:rsid w:val="000132A3"/>
    <w:rsid w:val="00014D53"/>
    <w:rsid w:val="000215D1"/>
    <w:rsid w:val="00021D9C"/>
    <w:rsid w:val="00024FA5"/>
    <w:rsid w:val="00030899"/>
    <w:rsid w:val="00030939"/>
    <w:rsid w:val="0004300C"/>
    <w:rsid w:val="00046FE0"/>
    <w:rsid w:val="00050879"/>
    <w:rsid w:val="00056B82"/>
    <w:rsid w:val="00060576"/>
    <w:rsid w:val="000675B1"/>
    <w:rsid w:val="00071915"/>
    <w:rsid w:val="00072606"/>
    <w:rsid w:val="00072698"/>
    <w:rsid w:val="0008128A"/>
    <w:rsid w:val="00081F02"/>
    <w:rsid w:val="00085B0C"/>
    <w:rsid w:val="00085FF9"/>
    <w:rsid w:val="00087888"/>
    <w:rsid w:val="00090891"/>
    <w:rsid w:val="0009648E"/>
    <w:rsid w:val="000A11E6"/>
    <w:rsid w:val="000A2D1A"/>
    <w:rsid w:val="000A30DC"/>
    <w:rsid w:val="000A41D8"/>
    <w:rsid w:val="000A6048"/>
    <w:rsid w:val="000B14F5"/>
    <w:rsid w:val="000B4846"/>
    <w:rsid w:val="000B51A8"/>
    <w:rsid w:val="000C13A2"/>
    <w:rsid w:val="000C1431"/>
    <w:rsid w:val="000C55E8"/>
    <w:rsid w:val="000C5C7A"/>
    <w:rsid w:val="000E1041"/>
    <w:rsid w:val="000E18F0"/>
    <w:rsid w:val="000E2BB1"/>
    <w:rsid w:val="000E67D7"/>
    <w:rsid w:val="000E72EF"/>
    <w:rsid w:val="000E7462"/>
    <w:rsid w:val="000F5F50"/>
    <w:rsid w:val="000F7E43"/>
    <w:rsid w:val="000F7E7F"/>
    <w:rsid w:val="00107061"/>
    <w:rsid w:val="0010774C"/>
    <w:rsid w:val="00111229"/>
    <w:rsid w:val="00112A41"/>
    <w:rsid w:val="00117505"/>
    <w:rsid w:val="00117B93"/>
    <w:rsid w:val="001210FE"/>
    <w:rsid w:val="00123060"/>
    <w:rsid w:val="0012432C"/>
    <w:rsid w:val="001243F1"/>
    <w:rsid w:val="001259BE"/>
    <w:rsid w:val="00126CAF"/>
    <w:rsid w:val="00130A51"/>
    <w:rsid w:val="00131DB8"/>
    <w:rsid w:val="00132834"/>
    <w:rsid w:val="00134457"/>
    <w:rsid w:val="00137362"/>
    <w:rsid w:val="0014412C"/>
    <w:rsid w:val="00151FA0"/>
    <w:rsid w:val="00156754"/>
    <w:rsid w:val="00161179"/>
    <w:rsid w:val="001706BD"/>
    <w:rsid w:val="00171B12"/>
    <w:rsid w:val="00176778"/>
    <w:rsid w:val="00180947"/>
    <w:rsid w:val="00181219"/>
    <w:rsid w:val="00181488"/>
    <w:rsid w:val="001817A4"/>
    <w:rsid w:val="00181817"/>
    <w:rsid w:val="00181AC7"/>
    <w:rsid w:val="001844C5"/>
    <w:rsid w:val="00190AFC"/>
    <w:rsid w:val="00190D68"/>
    <w:rsid w:val="00191735"/>
    <w:rsid w:val="001933BB"/>
    <w:rsid w:val="00195638"/>
    <w:rsid w:val="0019643B"/>
    <w:rsid w:val="001A6CD8"/>
    <w:rsid w:val="001B07B5"/>
    <w:rsid w:val="001B218C"/>
    <w:rsid w:val="001B3622"/>
    <w:rsid w:val="001B5444"/>
    <w:rsid w:val="001B724C"/>
    <w:rsid w:val="001B7C81"/>
    <w:rsid w:val="001C5014"/>
    <w:rsid w:val="001C736A"/>
    <w:rsid w:val="001F0D3B"/>
    <w:rsid w:val="001F4157"/>
    <w:rsid w:val="001F5794"/>
    <w:rsid w:val="00212FF5"/>
    <w:rsid w:val="002154BF"/>
    <w:rsid w:val="002168AF"/>
    <w:rsid w:val="00226541"/>
    <w:rsid w:val="00230409"/>
    <w:rsid w:val="00231830"/>
    <w:rsid w:val="00234563"/>
    <w:rsid w:val="00237F9B"/>
    <w:rsid w:val="00240AE2"/>
    <w:rsid w:val="00245729"/>
    <w:rsid w:val="0025086F"/>
    <w:rsid w:val="00250D6E"/>
    <w:rsid w:val="00252CD8"/>
    <w:rsid w:val="00253CB7"/>
    <w:rsid w:val="002551CE"/>
    <w:rsid w:val="00260E3A"/>
    <w:rsid w:val="00265B6E"/>
    <w:rsid w:val="002757CD"/>
    <w:rsid w:val="00277C21"/>
    <w:rsid w:val="002817C5"/>
    <w:rsid w:val="00281AF3"/>
    <w:rsid w:val="002843DB"/>
    <w:rsid w:val="00292C2E"/>
    <w:rsid w:val="002969C0"/>
    <w:rsid w:val="00297E7F"/>
    <w:rsid w:val="002A1B5C"/>
    <w:rsid w:val="002A569E"/>
    <w:rsid w:val="002A6043"/>
    <w:rsid w:val="002B3C45"/>
    <w:rsid w:val="002B6CE9"/>
    <w:rsid w:val="002C0BA5"/>
    <w:rsid w:val="002C4F71"/>
    <w:rsid w:val="002C5E71"/>
    <w:rsid w:val="002C6B07"/>
    <w:rsid w:val="002D693E"/>
    <w:rsid w:val="002E09CD"/>
    <w:rsid w:val="002E1C53"/>
    <w:rsid w:val="002E7030"/>
    <w:rsid w:val="002F1E5D"/>
    <w:rsid w:val="002F6558"/>
    <w:rsid w:val="002F6979"/>
    <w:rsid w:val="00300E0F"/>
    <w:rsid w:val="00302432"/>
    <w:rsid w:val="0030523A"/>
    <w:rsid w:val="003052A4"/>
    <w:rsid w:val="0031586C"/>
    <w:rsid w:val="00327258"/>
    <w:rsid w:val="003373C2"/>
    <w:rsid w:val="003376C4"/>
    <w:rsid w:val="00352918"/>
    <w:rsid w:val="00352E6F"/>
    <w:rsid w:val="00357460"/>
    <w:rsid w:val="00362FAE"/>
    <w:rsid w:val="00363E7B"/>
    <w:rsid w:val="003759AA"/>
    <w:rsid w:val="00375D0E"/>
    <w:rsid w:val="00383C88"/>
    <w:rsid w:val="003856AD"/>
    <w:rsid w:val="00387090"/>
    <w:rsid w:val="00391D8E"/>
    <w:rsid w:val="0039277A"/>
    <w:rsid w:val="003A1982"/>
    <w:rsid w:val="003A3446"/>
    <w:rsid w:val="003A3D6E"/>
    <w:rsid w:val="003A48C8"/>
    <w:rsid w:val="003B4635"/>
    <w:rsid w:val="003B4C9F"/>
    <w:rsid w:val="003B52DA"/>
    <w:rsid w:val="003B7FBA"/>
    <w:rsid w:val="003C30FE"/>
    <w:rsid w:val="003C44F7"/>
    <w:rsid w:val="003D3241"/>
    <w:rsid w:val="003D3EC7"/>
    <w:rsid w:val="003E1970"/>
    <w:rsid w:val="003E2A17"/>
    <w:rsid w:val="003E3D5E"/>
    <w:rsid w:val="003E40F7"/>
    <w:rsid w:val="003E5451"/>
    <w:rsid w:val="003E7DAD"/>
    <w:rsid w:val="003F0A1B"/>
    <w:rsid w:val="003F1028"/>
    <w:rsid w:val="003F7B32"/>
    <w:rsid w:val="00400B58"/>
    <w:rsid w:val="004027FE"/>
    <w:rsid w:val="00404D02"/>
    <w:rsid w:val="0040705D"/>
    <w:rsid w:val="00407AE3"/>
    <w:rsid w:val="00412F2C"/>
    <w:rsid w:val="00414860"/>
    <w:rsid w:val="00415C97"/>
    <w:rsid w:val="0041775A"/>
    <w:rsid w:val="00417EE0"/>
    <w:rsid w:val="004247B4"/>
    <w:rsid w:val="00424DB3"/>
    <w:rsid w:val="00425ADB"/>
    <w:rsid w:val="0042651F"/>
    <w:rsid w:val="00435ABC"/>
    <w:rsid w:val="00441041"/>
    <w:rsid w:val="0044172A"/>
    <w:rsid w:val="004466ED"/>
    <w:rsid w:val="00451797"/>
    <w:rsid w:val="00461520"/>
    <w:rsid w:val="00464AA7"/>
    <w:rsid w:val="004705E9"/>
    <w:rsid w:val="004707BA"/>
    <w:rsid w:val="004738CD"/>
    <w:rsid w:val="00475CF4"/>
    <w:rsid w:val="00483E2C"/>
    <w:rsid w:val="00483E43"/>
    <w:rsid w:val="00487193"/>
    <w:rsid w:val="00494545"/>
    <w:rsid w:val="004948F1"/>
    <w:rsid w:val="0049658E"/>
    <w:rsid w:val="00496BCA"/>
    <w:rsid w:val="004A5DBA"/>
    <w:rsid w:val="004B4D0D"/>
    <w:rsid w:val="004C0060"/>
    <w:rsid w:val="004C2814"/>
    <w:rsid w:val="004C4430"/>
    <w:rsid w:val="004C6304"/>
    <w:rsid w:val="004E0C50"/>
    <w:rsid w:val="004E2319"/>
    <w:rsid w:val="004E2F43"/>
    <w:rsid w:val="004E7496"/>
    <w:rsid w:val="004F2E0A"/>
    <w:rsid w:val="004F3FF0"/>
    <w:rsid w:val="004F5283"/>
    <w:rsid w:val="005026C9"/>
    <w:rsid w:val="00505983"/>
    <w:rsid w:val="00505A76"/>
    <w:rsid w:val="005171BC"/>
    <w:rsid w:val="0052420A"/>
    <w:rsid w:val="00524F86"/>
    <w:rsid w:val="00530B4E"/>
    <w:rsid w:val="0053207E"/>
    <w:rsid w:val="005337B1"/>
    <w:rsid w:val="00534B09"/>
    <w:rsid w:val="0053507C"/>
    <w:rsid w:val="005350DC"/>
    <w:rsid w:val="005417CA"/>
    <w:rsid w:val="00543C0A"/>
    <w:rsid w:val="005467DF"/>
    <w:rsid w:val="00550EC2"/>
    <w:rsid w:val="00552AAE"/>
    <w:rsid w:val="00555685"/>
    <w:rsid w:val="00557510"/>
    <w:rsid w:val="00560F31"/>
    <w:rsid w:val="0056305F"/>
    <w:rsid w:val="005630DE"/>
    <w:rsid w:val="00577037"/>
    <w:rsid w:val="00581C68"/>
    <w:rsid w:val="00593C1F"/>
    <w:rsid w:val="00595C48"/>
    <w:rsid w:val="0059726A"/>
    <w:rsid w:val="00597463"/>
    <w:rsid w:val="005A2D6A"/>
    <w:rsid w:val="005A30A3"/>
    <w:rsid w:val="005A30BF"/>
    <w:rsid w:val="005A3880"/>
    <w:rsid w:val="005A4D2E"/>
    <w:rsid w:val="005B15BC"/>
    <w:rsid w:val="005B1771"/>
    <w:rsid w:val="005B3083"/>
    <w:rsid w:val="005B71DF"/>
    <w:rsid w:val="005C3682"/>
    <w:rsid w:val="005C4850"/>
    <w:rsid w:val="005C4A2F"/>
    <w:rsid w:val="005C7F33"/>
    <w:rsid w:val="005D4BCF"/>
    <w:rsid w:val="005D6FE9"/>
    <w:rsid w:val="005E36E3"/>
    <w:rsid w:val="005E53BD"/>
    <w:rsid w:val="005E7CE4"/>
    <w:rsid w:val="005F1279"/>
    <w:rsid w:val="005F54E1"/>
    <w:rsid w:val="005F770D"/>
    <w:rsid w:val="00602495"/>
    <w:rsid w:val="00604237"/>
    <w:rsid w:val="006057F4"/>
    <w:rsid w:val="00614BAD"/>
    <w:rsid w:val="0061632D"/>
    <w:rsid w:val="00616DE6"/>
    <w:rsid w:val="00622807"/>
    <w:rsid w:val="006230E3"/>
    <w:rsid w:val="00623742"/>
    <w:rsid w:val="006239CC"/>
    <w:rsid w:val="006256AA"/>
    <w:rsid w:val="00626E17"/>
    <w:rsid w:val="00630BA2"/>
    <w:rsid w:val="006310CD"/>
    <w:rsid w:val="0063362A"/>
    <w:rsid w:val="00634FD3"/>
    <w:rsid w:val="00640637"/>
    <w:rsid w:val="006406E9"/>
    <w:rsid w:val="00641E12"/>
    <w:rsid w:val="0064459B"/>
    <w:rsid w:val="00645123"/>
    <w:rsid w:val="00647C4A"/>
    <w:rsid w:val="00647CA9"/>
    <w:rsid w:val="00656897"/>
    <w:rsid w:val="00661C37"/>
    <w:rsid w:val="00666567"/>
    <w:rsid w:val="0066784B"/>
    <w:rsid w:val="00667CCA"/>
    <w:rsid w:val="00675EC1"/>
    <w:rsid w:val="00676F88"/>
    <w:rsid w:val="00680742"/>
    <w:rsid w:val="00682BB1"/>
    <w:rsid w:val="00684649"/>
    <w:rsid w:val="00684B07"/>
    <w:rsid w:val="00691A6B"/>
    <w:rsid w:val="006937DB"/>
    <w:rsid w:val="006A1C0C"/>
    <w:rsid w:val="006A45FE"/>
    <w:rsid w:val="006A5741"/>
    <w:rsid w:val="006B1CF8"/>
    <w:rsid w:val="006B4EF1"/>
    <w:rsid w:val="006B642D"/>
    <w:rsid w:val="006C136C"/>
    <w:rsid w:val="006C2413"/>
    <w:rsid w:val="006C3EB6"/>
    <w:rsid w:val="006D1EAA"/>
    <w:rsid w:val="006D23E1"/>
    <w:rsid w:val="006D38BD"/>
    <w:rsid w:val="006D43B2"/>
    <w:rsid w:val="006E1C94"/>
    <w:rsid w:val="006E2E4A"/>
    <w:rsid w:val="006E4A03"/>
    <w:rsid w:val="006F0783"/>
    <w:rsid w:val="006F1EB9"/>
    <w:rsid w:val="006F6A75"/>
    <w:rsid w:val="006F6DEA"/>
    <w:rsid w:val="00700363"/>
    <w:rsid w:val="00710F82"/>
    <w:rsid w:val="00712124"/>
    <w:rsid w:val="0071358C"/>
    <w:rsid w:val="00713D30"/>
    <w:rsid w:val="00715CF4"/>
    <w:rsid w:val="00717A52"/>
    <w:rsid w:val="00726585"/>
    <w:rsid w:val="007320D3"/>
    <w:rsid w:val="0074039B"/>
    <w:rsid w:val="00743869"/>
    <w:rsid w:val="0075063C"/>
    <w:rsid w:val="00752C4D"/>
    <w:rsid w:val="007571A7"/>
    <w:rsid w:val="007621E7"/>
    <w:rsid w:val="00765907"/>
    <w:rsid w:val="007818F2"/>
    <w:rsid w:val="007868B8"/>
    <w:rsid w:val="007901A9"/>
    <w:rsid w:val="00791744"/>
    <w:rsid w:val="00796CB1"/>
    <w:rsid w:val="00797C81"/>
    <w:rsid w:val="007A1C6D"/>
    <w:rsid w:val="007A38D5"/>
    <w:rsid w:val="007A4205"/>
    <w:rsid w:val="007A4A56"/>
    <w:rsid w:val="007A719C"/>
    <w:rsid w:val="007B161A"/>
    <w:rsid w:val="007B16E3"/>
    <w:rsid w:val="007B1E96"/>
    <w:rsid w:val="007B278E"/>
    <w:rsid w:val="007B28EC"/>
    <w:rsid w:val="007B4F6A"/>
    <w:rsid w:val="007C3D10"/>
    <w:rsid w:val="007C6455"/>
    <w:rsid w:val="007D29F7"/>
    <w:rsid w:val="007D30A0"/>
    <w:rsid w:val="007D4DCC"/>
    <w:rsid w:val="007D5B3C"/>
    <w:rsid w:val="007E0FAA"/>
    <w:rsid w:val="007E1114"/>
    <w:rsid w:val="007F6CCE"/>
    <w:rsid w:val="007F6E3A"/>
    <w:rsid w:val="00803CB3"/>
    <w:rsid w:val="00807D16"/>
    <w:rsid w:val="00807FDB"/>
    <w:rsid w:val="00811ECF"/>
    <w:rsid w:val="00812BB0"/>
    <w:rsid w:val="00813110"/>
    <w:rsid w:val="00820CDC"/>
    <w:rsid w:val="00826042"/>
    <w:rsid w:val="00831341"/>
    <w:rsid w:val="00832BBF"/>
    <w:rsid w:val="00837319"/>
    <w:rsid w:val="00840C38"/>
    <w:rsid w:val="008541B6"/>
    <w:rsid w:val="00855C14"/>
    <w:rsid w:val="00873458"/>
    <w:rsid w:val="008762D4"/>
    <w:rsid w:val="0088113A"/>
    <w:rsid w:val="00881C2F"/>
    <w:rsid w:val="00885024"/>
    <w:rsid w:val="0089332B"/>
    <w:rsid w:val="008954AE"/>
    <w:rsid w:val="0089749F"/>
    <w:rsid w:val="008A11B7"/>
    <w:rsid w:val="008A1C31"/>
    <w:rsid w:val="008A3781"/>
    <w:rsid w:val="008A4D0B"/>
    <w:rsid w:val="008B1199"/>
    <w:rsid w:val="008B47FB"/>
    <w:rsid w:val="008C1B14"/>
    <w:rsid w:val="008C25C0"/>
    <w:rsid w:val="008C2B4A"/>
    <w:rsid w:val="008D11C4"/>
    <w:rsid w:val="008D1330"/>
    <w:rsid w:val="008D1DE8"/>
    <w:rsid w:val="008D31D4"/>
    <w:rsid w:val="008D6539"/>
    <w:rsid w:val="008E08A6"/>
    <w:rsid w:val="008E368A"/>
    <w:rsid w:val="008F197E"/>
    <w:rsid w:val="008F19BF"/>
    <w:rsid w:val="008F2215"/>
    <w:rsid w:val="008F669E"/>
    <w:rsid w:val="008F70ED"/>
    <w:rsid w:val="008F7B72"/>
    <w:rsid w:val="009007C7"/>
    <w:rsid w:val="00903A28"/>
    <w:rsid w:val="00905039"/>
    <w:rsid w:val="00905614"/>
    <w:rsid w:val="009201B4"/>
    <w:rsid w:val="0092054A"/>
    <w:rsid w:val="00920678"/>
    <w:rsid w:val="00923EB7"/>
    <w:rsid w:val="00923FCB"/>
    <w:rsid w:val="0093180F"/>
    <w:rsid w:val="00934DD5"/>
    <w:rsid w:val="009423C4"/>
    <w:rsid w:val="00943CF0"/>
    <w:rsid w:val="00946EE7"/>
    <w:rsid w:val="009510C0"/>
    <w:rsid w:val="009531B1"/>
    <w:rsid w:val="00953A77"/>
    <w:rsid w:val="00956297"/>
    <w:rsid w:val="0095630C"/>
    <w:rsid w:val="00956992"/>
    <w:rsid w:val="00961388"/>
    <w:rsid w:val="009677FC"/>
    <w:rsid w:val="00972202"/>
    <w:rsid w:val="009743C7"/>
    <w:rsid w:val="009766AA"/>
    <w:rsid w:val="00981674"/>
    <w:rsid w:val="00982CA1"/>
    <w:rsid w:val="009839F0"/>
    <w:rsid w:val="00992702"/>
    <w:rsid w:val="009A1D02"/>
    <w:rsid w:val="009A3AB2"/>
    <w:rsid w:val="009A66FC"/>
    <w:rsid w:val="009B4D31"/>
    <w:rsid w:val="009B66CB"/>
    <w:rsid w:val="009B6DF2"/>
    <w:rsid w:val="009B7256"/>
    <w:rsid w:val="009C4E7C"/>
    <w:rsid w:val="009E3DC0"/>
    <w:rsid w:val="009E61F2"/>
    <w:rsid w:val="009E634C"/>
    <w:rsid w:val="00A0017C"/>
    <w:rsid w:val="00A1143F"/>
    <w:rsid w:val="00A12ACE"/>
    <w:rsid w:val="00A14B06"/>
    <w:rsid w:val="00A23F49"/>
    <w:rsid w:val="00A24FEF"/>
    <w:rsid w:val="00A2572A"/>
    <w:rsid w:val="00A31508"/>
    <w:rsid w:val="00A3636C"/>
    <w:rsid w:val="00A4054A"/>
    <w:rsid w:val="00A45626"/>
    <w:rsid w:val="00A5333C"/>
    <w:rsid w:val="00A57AB8"/>
    <w:rsid w:val="00A66A3C"/>
    <w:rsid w:val="00A744B6"/>
    <w:rsid w:val="00A761CB"/>
    <w:rsid w:val="00A773B8"/>
    <w:rsid w:val="00A812BE"/>
    <w:rsid w:val="00A84357"/>
    <w:rsid w:val="00A8728B"/>
    <w:rsid w:val="00A920F9"/>
    <w:rsid w:val="00AA069B"/>
    <w:rsid w:val="00AA1DC2"/>
    <w:rsid w:val="00AA2C31"/>
    <w:rsid w:val="00AA6B04"/>
    <w:rsid w:val="00AB2AB6"/>
    <w:rsid w:val="00AC06B7"/>
    <w:rsid w:val="00AC1E86"/>
    <w:rsid w:val="00AC3DAE"/>
    <w:rsid w:val="00AC69E3"/>
    <w:rsid w:val="00AD21EB"/>
    <w:rsid w:val="00AD524D"/>
    <w:rsid w:val="00AD57AA"/>
    <w:rsid w:val="00AD5ADA"/>
    <w:rsid w:val="00AE68BC"/>
    <w:rsid w:val="00AF3451"/>
    <w:rsid w:val="00AF45CA"/>
    <w:rsid w:val="00AF559C"/>
    <w:rsid w:val="00B155AC"/>
    <w:rsid w:val="00B21904"/>
    <w:rsid w:val="00B22335"/>
    <w:rsid w:val="00B231F5"/>
    <w:rsid w:val="00B2334C"/>
    <w:rsid w:val="00B24393"/>
    <w:rsid w:val="00B40C9F"/>
    <w:rsid w:val="00B4361A"/>
    <w:rsid w:val="00B4553F"/>
    <w:rsid w:val="00B56A99"/>
    <w:rsid w:val="00B57D7A"/>
    <w:rsid w:val="00B676C6"/>
    <w:rsid w:val="00B74A4D"/>
    <w:rsid w:val="00B75AF1"/>
    <w:rsid w:val="00B77CC3"/>
    <w:rsid w:val="00B80EC4"/>
    <w:rsid w:val="00B8258F"/>
    <w:rsid w:val="00B82762"/>
    <w:rsid w:val="00B8317A"/>
    <w:rsid w:val="00B83891"/>
    <w:rsid w:val="00B90BBF"/>
    <w:rsid w:val="00B92370"/>
    <w:rsid w:val="00B927A9"/>
    <w:rsid w:val="00B93AFF"/>
    <w:rsid w:val="00BA08E5"/>
    <w:rsid w:val="00BA2431"/>
    <w:rsid w:val="00BA429B"/>
    <w:rsid w:val="00BC288B"/>
    <w:rsid w:val="00BC5806"/>
    <w:rsid w:val="00BC636E"/>
    <w:rsid w:val="00BD0C14"/>
    <w:rsid w:val="00BD48C2"/>
    <w:rsid w:val="00BD7018"/>
    <w:rsid w:val="00BD7FBF"/>
    <w:rsid w:val="00BE4135"/>
    <w:rsid w:val="00BF331F"/>
    <w:rsid w:val="00BF42B7"/>
    <w:rsid w:val="00BF48F1"/>
    <w:rsid w:val="00BF60AE"/>
    <w:rsid w:val="00C02870"/>
    <w:rsid w:val="00C079EE"/>
    <w:rsid w:val="00C10806"/>
    <w:rsid w:val="00C13B8C"/>
    <w:rsid w:val="00C15EF9"/>
    <w:rsid w:val="00C16898"/>
    <w:rsid w:val="00C20317"/>
    <w:rsid w:val="00C251A7"/>
    <w:rsid w:val="00C25FC7"/>
    <w:rsid w:val="00C2796D"/>
    <w:rsid w:val="00C3188D"/>
    <w:rsid w:val="00C32526"/>
    <w:rsid w:val="00C32739"/>
    <w:rsid w:val="00C328E6"/>
    <w:rsid w:val="00C34BFA"/>
    <w:rsid w:val="00C35875"/>
    <w:rsid w:val="00C4082A"/>
    <w:rsid w:val="00C41D55"/>
    <w:rsid w:val="00C43925"/>
    <w:rsid w:val="00C440C9"/>
    <w:rsid w:val="00C46A30"/>
    <w:rsid w:val="00C5129D"/>
    <w:rsid w:val="00C52F06"/>
    <w:rsid w:val="00C54498"/>
    <w:rsid w:val="00C57203"/>
    <w:rsid w:val="00C61EB5"/>
    <w:rsid w:val="00C653F0"/>
    <w:rsid w:val="00C66E68"/>
    <w:rsid w:val="00C6750A"/>
    <w:rsid w:val="00C701DB"/>
    <w:rsid w:val="00C70D32"/>
    <w:rsid w:val="00C75590"/>
    <w:rsid w:val="00C7582D"/>
    <w:rsid w:val="00C75E03"/>
    <w:rsid w:val="00C76895"/>
    <w:rsid w:val="00C811C9"/>
    <w:rsid w:val="00C83C6F"/>
    <w:rsid w:val="00C872DE"/>
    <w:rsid w:val="00C946C1"/>
    <w:rsid w:val="00C947A3"/>
    <w:rsid w:val="00C97F74"/>
    <w:rsid w:val="00CA5903"/>
    <w:rsid w:val="00CA68DD"/>
    <w:rsid w:val="00CA784C"/>
    <w:rsid w:val="00CB0671"/>
    <w:rsid w:val="00CB26AC"/>
    <w:rsid w:val="00CC1BEE"/>
    <w:rsid w:val="00CC4038"/>
    <w:rsid w:val="00CC557F"/>
    <w:rsid w:val="00CC7100"/>
    <w:rsid w:val="00CD388E"/>
    <w:rsid w:val="00CD57B2"/>
    <w:rsid w:val="00CD6D45"/>
    <w:rsid w:val="00CE213E"/>
    <w:rsid w:val="00CE2E4C"/>
    <w:rsid w:val="00CE3D39"/>
    <w:rsid w:val="00CF010C"/>
    <w:rsid w:val="00CF389E"/>
    <w:rsid w:val="00CF56E6"/>
    <w:rsid w:val="00CF5954"/>
    <w:rsid w:val="00CF630F"/>
    <w:rsid w:val="00CF71DB"/>
    <w:rsid w:val="00D049EA"/>
    <w:rsid w:val="00D065FE"/>
    <w:rsid w:val="00D15855"/>
    <w:rsid w:val="00D228B5"/>
    <w:rsid w:val="00D265B0"/>
    <w:rsid w:val="00D353EF"/>
    <w:rsid w:val="00D355F0"/>
    <w:rsid w:val="00D4310E"/>
    <w:rsid w:val="00D43187"/>
    <w:rsid w:val="00D438C2"/>
    <w:rsid w:val="00D45149"/>
    <w:rsid w:val="00D46C14"/>
    <w:rsid w:val="00D47C9D"/>
    <w:rsid w:val="00D513F1"/>
    <w:rsid w:val="00D60E27"/>
    <w:rsid w:val="00D63439"/>
    <w:rsid w:val="00D63D12"/>
    <w:rsid w:val="00D66DC0"/>
    <w:rsid w:val="00D6721E"/>
    <w:rsid w:val="00D7184D"/>
    <w:rsid w:val="00D71EC5"/>
    <w:rsid w:val="00D727DD"/>
    <w:rsid w:val="00D8143D"/>
    <w:rsid w:val="00D81C82"/>
    <w:rsid w:val="00D845A8"/>
    <w:rsid w:val="00D92BD6"/>
    <w:rsid w:val="00D94259"/>
    <w:rsid w:val="00D96949"/>
    <w:rsid w:val="00D96A61"/>
    <w:rsid w:val="00DA0FFB"/>
    <w:rsid w:val="00DA11CF"/>
    <w:rsid w:val="00DA496A"/>
    <w:rsid w:val="00DB325F"/>
    <w:rsid w:val="00DB5D4C"/>
    <w:rsid w:val="00DC0C7E"/>
    <w:rsid w:val="00DC7DCC"/>
    <w:rsid w:val="00DD4E43"/>
    <w:rsid w:val="00DD4F6F"/>
    <w:rsid w:val="00DD5423"/>
    <w:rsid w:val="00DE23D6"/>
    <w:rsid w:val="00DE6716"/>
    <w:rsid w:val="00DE6A2C"/>
    <w:rsid w:val="00DE7BA0"/>
    <w:rsid w:val="00DF041B"/>
    <w:rsid w:val="00DF3651"/>
    <w:rsid w:val="00DF6797"/>
    <w:rsid w:val="00DF7DEF"/>
    <w:rsid w:val="00E001A2"/>
    <w:rsid w:val="00E014ED"/>
    <w:rsid w:val="00E03D2F"/>
    <w:rsid w:val="00E06DEC"/>
    <w:rsid w:val="00E10E46"/>
    <w:rsid w:val="00E11652"/>
    <w:rsid w:val="00E125EC"/>
    <w:rsid w:val="00E144A7"/>
    <w:rsid w:val="00E164F2"/>
    <w:rsid w:val="00E24DC1"/>
    <w:rsid w:val="00E31AA7"/>
    <w:rsid w:val="00E3425A"/>
    <w:rsid w:val="00E37004"/>
    <w:rsid w:val="00E37203"/>
    <w:rsid w:val="00E37BB2"/>
    <w:rsid w:val="00E41B2D"/>
    <w:rsid w:val="00E44714"/>
    <w:rsid w:val="00E448CB"/>
    <w:rsid w:val="00E467EF"/>
    <w:rsid w:val="00E51436"/>
    <w:rsid w:val="00E5248F"/>
    <w:rsid w:val="00E5442F"/>
    <w:rsid w:val="00E5519C"/>
    <w:rsid w:val="00E57D5A"/>
    <w:rsid w:val="00E61B64"/>
    <w:rsid w:val="00E67E56"/>
    <w:rsid w:val="00E74D0A"/>
    <w:rsid w:val="00E755E2"/>
    <w:rsid w:val="00E83680"/>
    <w:rsid w:val="00E83995"/>
    <w:rsid w:val="00E846D9"/>
    <w:rsid w:val="00E861D4"/>
    <w:rsid w:val="00E863E7"/>
    <w:rsid w:val="00EA6AA6"/>
    <w:rsid w:val="00EB23E7"/>
    <w:rsid w:val="00EB296D"/>
    <w:rsid w:val="00EB3089"/>
    <w:rsid w:val="00EB503F"/>
    <w:rsid w:val="00EB5F61"/>
    <w:rsid w:val="00EC0B53"/>
    <w:rsid w:val="00EC190E"/>
    <w:rsid w:val="00EC51FF"/>
    <w:rsid w:val="00ED765C"/>
    <w:rsid w:val="00EE05F8"/>
    <w:rsid w:val="00EE6223"/>
    <w:rsid w:val="00EE7701"/>
    <w:rsid w:val="00EF0B53"/>
    <w:rsid w:val="00EF111D"/>
    <w:rsid w:val="00EF24FC"/>
    <w:rsid w:val="00EF2B46"/>
    <w:rsid w:val="00EF2FA4"/>
    <w:rsid w:val="00EF4AAD"/>
    <w:rsid w:val="00EF64F4"/>
    <w:rsid w:val="00F0571E"/>
    <w:rsid w:val="00F21101"/>
    <w:rsid w:val="00F21CFB"/>
    <w:rsid w:val="00F23CA5"/>
    <w:rsid w:val="00F24D4B"/>
    <w:rsid w:val="00F33542"/>
    <w:rsid w:val="00F35369"/>
    <w:rsid w:val="00F37B28"/>
    <w:rsid w:val="00F43164"/>
    <w:rsid w:val="00F47105"/>
    <w:rsid w:val="00F500B7"/>
    <w:rsid w:val="00F62082"/>
    <w:rsid w:val="00F661BF"/>
    <w:rsid w:val="00F676E3"/>
    <w:rsid w:val="00F67A28"/>
    <w:rsid w:val="00F74353"/>
    <w:rsid w:val="00F758BD"/>
    <w:rsid w:val="00F75E77"/>
    <w:rsid w:val="00F766C3"/>
    <w:rsid w:val="00F8651E"/>
    <w:rsid w:val="00F87166"/>
    <w:rsid w:val="00F920C0"/>
    <w:rsid w:val="00F97D95"/>
    <w:rsid w:val="00FA497F"/>
    <w:rsid w:val="00FA59F1"/>
    <w:rsid w:val="00FC1366"/>
    <w:rsid w:val="00FC2795"/>
    <w:rsid w:val="00FC6B57"/>
    <w:rsid w:val="00FD587F"/>
    <w:rsid w:val="00FE39A8"/>
    <w:rsid w:val="00FE409B"/>
    <w:rsid w:val="00FE6B20"/>
    <w:rsid w:val="00FF4BC9"/>
    <w:rsid w:val="00FF6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BBA0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30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6305F"/>
    <w:rPr>
      <w:rFonts w:ascii="Verdana" w:eastAsia="Times New Roman" w:hAnsi="Verdana" w:cs="Times New Roman"/>
      <w:sz w:val="18"/>
      <w:szCs w:val="24"/>
      <w:lang w:eastAsia="bg-B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6305F"/>
    <w:pPr>
      <w:tabs>
        <w:tab w:val="center" w:pos="4536"/>
        <w:tab w:val="right" w:pos="9072"/>
      </w:tabs>
    </w:pPr>
  </w:style>
  <w:style w:type="character" w:customStyle="1" w:styleId="KoptekstChar">
    <w:name w:val="Koptekst Char"/>
    <w:basedOn w:val="Standaardalinea-lettertype"/>
    <w:link w:val="Koptekst"/>
    <w:uiPriority w:val="99"/>
    <w:rsid w:val="0056305F"/>
    <w:rPr>
      <w:rFonts w:ascii="Verdana" w:eastAsia="Times New Roman" w:hAnsi="Verdana" w:cs="Times New Roman"/>
      <w:sz w:val="18"/>
      <w:szCs w:val="24"/>
      <w:lang w:eastAsia="bg-BG"/>
    </w:rPr>
  </w:style>
  <w:style w:type="paragraph" w:styleId="Voettekst">
    <w:name w:val="footer"/>
    <w:basedOn w:val="Standaard"/>
    <w:link w:val="VoettekstChar"/>
    <w:uiPriority w:val="99"/>
    <w:rsid w:val="0056305F"/>
    <w:pPr>
      <w:tabs>
        <w:tab w:val="center" w:pos="4536"/>
        <w:tab w:val="right" w:pos="9072"/>
      </w:tabs>
    </w:pPr>
  </w:style>
  <w:style w:type="character" w:customStyle="1" w:styleId="VoettekstChar">
    <w:name w:val="Voettekst Char"/>
    <w:basedOn w:val="Standaardalinea-lettertype"/>
    <w:link w:val="Voettekst"/>
    <w:uiPriority w:val="99"/>
    <w:rsid w:val="0056305F"/>
    <w:rPr>
      <w:rFonts w:ascii="Verdana" w:eastAsia="Times New Roman" w:hAnsi="Verdana" w:cs="Times New Roman"/>
      <w:sz w:val="18"/>
      <w:szCs w:val="24"/>
      <w:lang w:eastAsia="bg-BG"/>
    </w:rPr>
  </w:style>
  <w:style w:type="paragraph" w:customStyle="1" w:styleId="Default">
    <w:name w:val="Default"/>
    <w:rsid w:val="002154BF"/>
    <w:pPr>
      <w:autoSpaceDE w:val="0"/>
      <w:autoSpaceDN w:val="0"/>
      <w:adjustRightInd w:val="0"/>
      <w:spacing w:line="240" w:lineRule="auto"/>
    </w:pPr>
    <w:rPr>
      <w:rFonts w:ascii="Verdana" w:hAnsi="Verdana" w:cs="Verdana"/>
      <w:color w:val="000000"/>
      <w:sz w:val="24"/>
      <w:szCs w:val="24"/>
    </w:rPr>
  </w:style>
  <w:style w:type="paragraph" w:styleId="Lijstalinea">
    <w:name w:val="List Paragraph"/>
    <w:basedOn w:val="Standaard"/>
    <w:uiPriority w:val="34"/>
    <w:qFormat/>
    <w:rsid w:val="00BD0C14"/>
    <w:pPr>
      <w:spacing w:after="160" w:line="256"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B8258F"/>
    <w:rPr>
      <w:sz w:val="16"/>
      <w:szCs w:val="16"/>
    </w:rPr>
  </w:style>
  <w:style w:type="paragraph" w:styleId="Tekstopmerking">
    <w:name w:val="annotation text"/>
    <w:basedOn w:val="Standaard"/>
    <w:link w:val="TekstopmerkingChar"/>
    <w:uiPriority w:val="99"/>
    <w:unhideWhenUsed/>
    <w:rsid w:val="00B8258F"/>
    <w:pPr>
      <w:spacing w:line="240" w:lineRule="auto"/>
    </w:pPr>
    <w:rPr>
      <w:sz w:val="20"/>
      <w:szCs w:val="20"/>
    </w:rPr>
  </w:style>
  <w:style w:type="character" w:customStyle="1" w:styleId="TekstopmerkingChar">
    <w:name w:val="Tekst opmerking Char"/>
    <w:basedOn w:val="Standaardalinea-lettertype"/>
    <w:link w:val="Tekstopmerking"/>
    <w:uiPriority w:val="99"/>
    <w:rsid w:val="00B8258F"/>
    <w:rPr>
      <w:rFonts w:ascii="Verdana" w:eastAsia="Times New Roman" w:hAnsi="Verdana" w:cs="Times New Roman"/>
      <w:sz w:val="20"/>
      <w:szCs w:val="20"/>
      <w:lang w:eastAsia="bg-BG"/>
    </w:rPr>
  </w:style>
  <w:style w:type="paragraph" w:styleId="Onderwerpvanopmerking">
    <w:name w:val="annotation subject"/>
    <w:basedOn w:val="Tekstopmerking"/>
    <w:next w:val="Tekstopmerking"/>
    <w:link w:val="OnderwerpvanopmerkingChar"/>
    <w:uiPriority w:val="99"/>
    <w:semiHidden/>
    <w:unhideWhenUsed/>
    <w:rsid w:val="00B8258F"/>
    <w:rPr>
      <w:b/>
      <w:bCs/>
    </w:rPr>
  </w:style>
  <w:style w:type="character" w:customStyle="1" w:styleId="OnderwerpvanopmerkingChar">
    <w:name w:val="Onderwerp van opmerking Char"/>
    <w:basedOn w:val="TekstopmerkingChar"/>
    <w:link w:val="Onderwerpvanopmerking"/>
    <w:uiPriority w:val="99"/>
    <w:semiHidden/>
    <w:rsid w:val="00B8258F"/>
    <w:rPr>
      <w:rFonts w:ascii="Verdana" w:eastAsia="Times New Roman" w:hAnsi="Verdana" w:cs="Times New Roman"/>
      <w:b/>
      <w:bCs/>
      <w:sz w:val="20"/>
      <w:szCs w:val="20"/>
      <w:lang w:eastAsia="bg-BG"/>
    </w:rPr>
  </w:style>
  <w:style w:type="paragraph" w:styleId="Ballontekst">
    <w:name w:val="Balloon Text"/>
    <w:basedOn w:val="Standaard"/>
    <w:link w:val="BallontekstChar"/>
    <w:uiPriority w:val="99"/>
    <w:semiHidden/>
    <w:unhideWhenUsed/>
    <w:rsid w:val="00B8258F"/>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8258F"/>
    <w:rPr>
      <w:rFonts w:ascii="Segoe UI" w:eastAsia="Times New Roman" w:hAnsi="Segoe UI" w:cs="Segoe UI"/>
      <w:sz w:val="18"/>
      <w:szCs w:val="18"/>
      <w:lang w:eastAsia="bg-BG"/>
    </w:rPr>
  </w:style>
  <w:style w:type="paragraph" w:styleId="Revisie">
    <w:name w:val="Revision"/>
    <w:hidden/>
    <w:uiPriority w:val="99"/>
    <w:semiHidden/>
    <w:rsid w:val="00151FA0"/>
    <w:pPr>
      <w:spacing w:line="240" w:lineRule="auto"/>
    </w:pPr>
    <w:rPr>
      <w:rFonts w:ascii="Verdana" w:eastAsia="Times New Roman" w:hAnsi="Verdana" w:cs="Times New Roman"/>
      <w:sz w:val="18"/>
      <w:szCs w:val="24"/>
      <w:lang w:eastAsia="bg-BG"/>
    </w:rPr>
  </w:style>
  <w:style w:type="paragraph" w:styleId="Voetnoottekst">
    <w:name w:val="footnote text"/>
    <w:basedOn w:val="Standaard"/>
    <w:link w:val="VoetnoottekstChar"/>
    <w:uiPriority w:val="99"/>
    <w:unhideWhenUsed/>
    <w:rsid w:val="006B1CF8"/>
    <w:pPr>
      <w:spacing w:line="240" w:lineRule="auto"/>
    </w:pPr>
    <w:rPr>
      <w:sz w:val="20"/>
      <w:szCs w:val="20"/>
    </w:rPr>
  </w:style>
  <w:style w:type="character" w:customStyle="1" w:styleId="VoetnoottekstChar">
    <w:name w:val="Voetnoottekst Char"/>
    <w:basedOn w:val="Standaardalinea-lettertype"/>
    <w:link w:val="Voetnoottekst"/>
    <w:uiPriority w:val="99"/>
    <w:rsid w:val="006B1CF8"/>
    <w:rPr>
      <w:rFonts w:ascii="Verdana" w:eastAsia="Times New Roman" w:hAnsi="Verdana" w:cs="Times New Roman"/>
      <w:sz w:val="20"/>
      <w:szCs w:val="20"/>
      <w:lang w:eastAsia="bg-BG"/>
    </w:rPr>
  </w:style>
  <w:style w:type="character" w:styleId="Voetnootmarkering">
    <w:name w:val="footnote reference"/>
    <w:basedOn w:val="Standaardalinea-lettertype"/>
    <w:uiPriority w:val="99"/>
    <w:unhideWhenUsed/>
    <w:rsid w:val="006B1CF8"/>
    <w:rPr>
      <w:vertAlign w:val="superscript"/>
    </w:rPr>
  </w:style>
  <w:style w:type="paragraph" w:customStyle="1" w:styleId="Pa5">
    <w:name w:val="Pa5"/>
    <w:basedOn w:val="Default"/>
    <w:next w:val="Default"/>
    <w:uiPriority w:val="99"/>
    <w:rsid w:val="003E2A17"/>
    <w:pPr>
      <w:spacing w:line="181" w:lineRule="atLeast"/>
      <w:jc w:val="left"/>
    </w:pPr>
    <w:rPr>
      <w:rFonts w:ascii="RijksoverheidSansText" w:eastAsia="SimSun" w:hAnsi="RijksoverheidSansText" w:cs="Times New Roman"/>
      <w:color w:val="auto"/>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095801">
      <w:bodyDiv w:val="1"/>
      <w:marLeft w:val="0"/>
      <w:marRight w:val="0"/>
      <w:marTop w:val="0"/>
      <w:marBottom w:val="0"/>
      <w:divBdr>
        <w:top w:val="none" w:sz="0" w:space="0" w:color="auto"/>
        <w:left w:val="none" w:sz="0" w:space="0" w:color="auto"/>
        <w:bottom w:val="none" w:sz="0" w:space="0" w:color="auto"/>
        <w:right w:val="none" w:sz="0" w:space="0" w:color="auto"/>
      </w:divBdr>
    </w:div>
    <w:div w:id="870067465">
      <w:bodyDiv w:val="1"/>
      <w:marLeft w:val="0"/>
      <w:marRight w:val="0"/>
      <w:marTop w:val="0"/>
      <w:marBottom w:val="0"/>
      <w:divBdr>
        <w:top w:val="none" w:sz="0" w:space="0" w:color="auto"/>
        <w:left w:val="none" w:sz="0" w:space="0" w:color="auto"/>
        <w:bottom w:val="none" w:sz="0" w:space="0" w:color="auto"/>
        <w:right w:val="none" w:sz="0" w:space="0" w:color="auto"/>
      </w:divBdr>
    </w:div>
    <w:div w:id="907113127">
      <w:bodyDiv w:val="1"/>
      <w:marLeft w:val="0"/>
      <w:marRight w:val="0"/>
      <w:marTop w:val="0"/>
      <w:marBottom w:val="0"/>
      <w:divBdr>
        <w:top w:val="none" w:sz="0" w:space="0" w:color="auto"/>
        <w:left w:val="none" w:sz="0" w:space="0" w:color="auto"/>
        <w:bottom w:val="none" w:sz="0" w:space="0" w:color="auto"/>
        <w:right w:val="none" w:sz="0" w:space="0" w:color="auto"/>
      </w:divBdr>
    </w:div>
    <w:div w:id="908541947">
      <w:bodyDiv w:val="1"/>
      <w:marLeft w:val="0"/>
      <w:marRight w:val="0"/>
      <w:marTop w:val="0"/>
      <w:marBottom w:val="0"/>
      <w:divBdr>
        <w:top w:val="none" w:sz="0" w:space="0" w:color="auto"/>
        <w:left w:val="none" w:sz="0" w:space="0" w:color="auto"/>
        <w:bottom w:val="none" w:sz="0" w:space="0" w:color="auto"/>
        <w:right w:val="none" w:sz="0" w:space="0" w:color="auto"/>
      </w:divBdr>
    </w:div>
    <w:div w:id="1000814930">
      <w:bodyDiv w:val="1"/>
      <w:marLeft w:val="0"/>
      <w:marRight w:val="0"/>
      <w:marTop w:val="0"/>
      <w:marBottom w:val="0"/>
      <w:divBdr>
        <w:top w:val="none" w:sz="0" w:space="0" w:color="auto"/>
        <w:left w:val="none" w:sz="0" w:space="0" w:color="auto"/>
        <w:bottom w:val="none" w:sz="0" w:space="0" w:color="auto"/>
        <w:right w:val="none" w:sz="0" w:space="0" w:color="auto"/>
      </w:divBdr>
    </w:div>
    <w:div w:id="1239823058">
      <w:bodyDiv w:val="1"/>
      <w:marLeft w:val="0"/>
      <w:marRight w:val="0"/>
      <w:marTop w:val="0"/>
      <w:marBottom w:val="0"/>
      <w:divBdr>
        <w:top w:val="none" w:sz="0" w:space="0" w:color="auto"/>
        <w:left w:val="none" w:sz="0" w:space="0" w:color="auto"/>
        <w:bottom w:val="none" w:sz="0" w:space="0" w:color="auto"/>
        <w:right w:val="none" w:sz="0" w:space="0" w:color="auto"/>
      </w:divBdr>
    </w:div>
    <w:div w:id="1540970130">
      <w:bodyDiv w:val="1"/>
      <w:marLeft w:val="0"/>
      <w:marRight w:val="0"/>
      <w:marTop w:val="0"/>
      <w:marBottom w:val="0"/>
      <w:divBdr>
        <w:top w:val="none" w:sz="0" w:space="0" w:color="auto"/>
        <w:left w:val="none" w:sz="0" w:space="0" w:color="auto"/>
        <w:bottom w:val="none" w:sz="0" w:space="0" w:color="auto"/>
        <w:right w:val="none" w:sz="0" w:space="0" w:color="auto"/>
      </w:divBdr>
    </w:div>
    <w:div w:id="1587611107">
      <w:bodyDiv w:val="1"/>
      <w:marLeft w:val="0"/>
      <w:marRight w:val="0"/>
      <w:marTop w:val="0"/>
      <w:marBottom w:val="0"/>
      <w:divBdr>
        <w:top w:val="none" w:sz="0" w:space="0" w:color="auto"/>
        <w:left w:val="none" w:sz="0" w:space="0" w:color="auto"/>
        <w:bottom w:val="none" w:sz="0" w:space="0" w:color="auto"/>
        <w:right w:val="none" w:sz="0" w:space="0" w:color="auto"/>
      </w:divBdr>
    </w:div>
    <w:div w:id="1680572177">
      <w:bodyDiv w:val="1"/>
      <w:marLeft w:val="0"/>
      <w:marRight w:val="0"/>
      <w:marTop w:val="0"/>
      <w:marBottom w:val="0"/>
      <w:divBdr>
        <w:top w:val="none" w:sz="0" w:space="0" w:color="auto"/>
        <w:left w:val="none" w:sz="0" w:space="0" w:color="auto"/>
        <w:bottom w:val="none" w:sz="0" w:space="0" w:color="auto"/>
        <w:right w:val="none" w:sz="0" w:space="0" w:color="auto"/>
      </w:divBdr>
    </w:div>
    <w:div w:id="184354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2466</ap:Words>
  <ap:Characters>13565</ap:Characters>
  <ap:DocSecurity>0</ap:DocSecurity>
  <ap:Lines>113</ap:Lines>
  <ap:Paragraphs>31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2025-12-17T15:27:00.0000000Z</dcterms:created>
  <dcterms:modified xsi:type="dcterms:W3CDTF">2025-12-18T08:53:00.0000000Z</dcterms:modified>
  <category/>
  <version/>
</coreProperties>
</file>