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465" w:rsidP="00E90977" w:rsidRDefault="00FC3465" w14:paraId="6A8594C5" w14:textId="77777777">
      <w:pPr>
        <w:jc w:val="both"/>
      </w:pPr>
    </w:p>
    <w:p w:rsidR="00BD241A" w:rsidP="00E90977" w:rsidRDefault="00BD241A" w14:paraId="3B3D1F88" w14:textId="77777777">
      <w:pPr>
        <w:jc w:val="both"/>
      </w:pPr>
    </w:p>
    <w:p w:rsidR="00321226" w:rsidP="00E90977" w:rsidRDefault="00EF36DE" w14:paraId="4A7DE44D" w14:textId="0A4A77AB">
      <w:pPr>
        <w:jc w:val="both"/>
      </w:pPr>
      <w:r>
        <w:t xml:space="preserve">Bij brief van </w:t>
      </w:r>
      <w:r w:rsidR="00572D9D">
        <w:t>19 september 2025</w:t>
      </w:r>
      <w:r w:rsidR="00321226">
        <w:t xml:space="preserve"> heb ik uw Kamer </w:t>
      </w:r>
      <w:r w:rsidR="00572D9D">
        <w:t>medegedeeld</w:t>
      </w:r>
      <w:r w:rsidR="00321226">
        <w:t xml:space="preserve"> dat ik uw Kamer v</w:t>
      </w:r>
      <w:r w:rsidR="009B2C99">
        <w:t>óó</w:t>
      </w:r>
      <w:r w:rsidR="00321226">
        <w:t>r het eind</w:t>
      </w:r>
      <w:r w:rsidR="00572D9D">
        <w:t>e van het jaar</w:t>
      </w:r>
      <w:r w:rsidR="00321226">
        <w:t xml:space="preserve"> zou berichten over de voortgang van het wetstraject voor de versterking van het toezicht op </w:t>
      </w:r>
      <w:r w:rsidR="002A17E4">
        <w:t xml:space="preserve">de </w:t>
      </w:r>
      <w:r w:rsidR="00321226">
        <w:t>advocatuur.</w:t>
      </w:r>
      <w:r w:rsidR="00321226">
        <w:rPr>
          <w:rStyle w:val="Voetnootmarkering"/>
        </w:rPr>
        <w:footnoteReference w:id="1"/>
      </w:r>
    </w:p>
    <w:p w:rsidR="00321226" w:rsidP="00E90977" w:rsidRDefault="00321226" w14:paraId="058AD000" w14:textId="77777777">
      <w:pPr>
        <w:jc w:val="both"/>
      </w:pPr>
    </w:p>
    <w:p w:rsidR="00A23139" w:rsidP="00E90977" w:rsidRDefault="00AE0F84" w14:paraId="037B0734" w14:textId="516B7433">
      <w:pPr>
        <w:jc w:val="both"/>
      </w:pPr>
      <w:r>
        <w:t xml:space="preserve">Uw Kamer is bij brief van 17 februari 2025 geïnformeerd dat </w:t>
      </w:r>
      <w:r w:rsidR="00FF7DA3">
        <w:t>het</w:t>
      </w:r>
      <w:r w:rsidR="008A06A3">
        <w:t xml:space="preserve"> onderzoeksbureau Pro Facto in opdracht van de Nederlandse orde van advocaten (</w:t>
      </w:r>
      <w:proofErr w:type="spellStart"/>
      <w:r w:rsidR="008A06A3">
        <w:t>NOvA</w:t>
      </w:r>
      <w:proofErr w:type="spellEnd"/>
      <w:r w:rsidR="008A06A3">
        <w:t xml:space="preserve">) onderzoek </w:t>
      </w:r>
      <w:r>
        <w:t xml:space="preserve">doet </w:t>
      </w:r>
      <w:r w:rsidR="008A06A3">
        <w:t xml:space="preserve">naar </w:t>
      </w:r>
      <w:r w:rsidRPr="00A23139" w:rsidR="00A23139">
        <w:t>de kaders en inrichtingsmodaliteiten voor het klacht- en tuchtrecht</w:t>
      </w:r>
      <w:r w:rsidR="00A23139">
        <w:t xml:space="preserve"> </w:t>
      </w:r>
      <w:r w:rsidRPr="00A23139" w:rsidR="00A23139">
        <w:t>en</w:t>
      </w:r>
      <w:r w:rsidR="00D26414">
        <w:t xml:space="preserve"> het</w:t>
      </w:r>
      <w:r w:rsidRPr="00A23139" w:rsidR="00A23139">
        <w:t xml:space="preserve"> toezicht op de advocatuur</w:t>
      </w:r>
      <w:r w:rsidR="00A23139">
        <w:t>.</w:t>
      </w:r>
      <w:r>
        <w:rPr>
          <w:rStyle w:val="Voetnootmarkering"/>
        </w:rPr>
        <w:footnoteReference w:id="2"/>
      </w:r>
      <w:r w:rsidR="00A23139">
        <w:t xml:space="preserve"> Dit onder meer naar aanleiding van de motie van het lid </w:t>
      </w:r>
      <w:proofErr w:type="spellStart"/>
      <w:r w:rsidR="00A23139">
        <w:t>Ellian</w:t>
      </w:r>
      <w:proofErr w:type="spellEnd"/>
      <w:r w:rsidR="00BD241A">
        <w:t xml:space="preserve"> (VVD)</w:t>
      </w:r>
      <w:r w:rsidR="00A23139">
        <w:t xml:space="preserve"> waarin de regering wordt verzocht </w:t>
      </w:r>
      <w:r w:rsidRPr="00A23139" w:rsidR="00A23139">
        <w:t>om bij de versterking en hervorming van het toezicht</w:t>
      </w:r>
      <w:r w:rsidR="00A23139">
        <w:t xml:space="preserve"> </w:t>
      </w:r>
      <w:r w:rsidRPr="00A23139" w:rsidR="00A23139">
        <w:t>op de advocatuur zowel het toezicht, het klachtenonderzoek en het onderdeel van het</w:t>
      </w:r>
      <w:r w:rsidR="00A23139">
        <w:t xml:space="preserve"> </w:t>
      </w:r>
      <w:r w:rsidRPr="00A23139" w:rsidR="00A23139">
        <w:t>tuchtrechtelijk toezicht op naleving van de kernwaarden onder te brengen bij de Onafhankelijke</w:t>
      </w:r>
      <w:r w:rsidR="00A23139">
        <w:t xml:space="preserve"> </w:t>
      </w:r>
      <w:r w:rsidRPr="00A23139" w:rsidR="00A23139">
        <w:t>Toezichthouder Advocatuur</w:t>
      </w:r>
      <w:r w:rsidR="00A23139">
        <w:t xml:space="preserve"> (OTA)</w:t>
      </w:r>
      <w:r w:rsidRPr="00A23139" w:rsidR="00A23139">
        <w:t>.</w:t>
      </w:r>
      <w:r w:rsidR="00A23139">
        <w:rPr>
          <w:rStyle w:val="Voetnootmarkering"/>
        </w:rPr>
        <w:footnoteReference w:id="3"/>
      </w:r>
      <w:r w:rsidR="00A23139">
        <w:t xml:space="preserve"> Het onderzoek </w:t>
      </w:r>
      <w:r w:rsidR="00FF2987">
        <w:t xml:space="preserve">van Pro Facto </w:t>
      </w:r>
      <w:r w:rsidR="00A23139">
        <w:t>is inmiddels gepubliceerd</w:t>
      </w:r>
      <w:r w:rsidR="009F2329">
        <w:t>.</w:t>
      </w:r>
      <w:r w:rsidR="00E36803">
        <w:rPr>
          <w:rStyle w:val="Voetnootmarkering"/>
        </w:rPr>
        <w:footnoteReference w:id="4"/>
      </w:r>
    </w:p>
    <w:p w:rsidR="00A23139" w:rsidP="00E90977" w:rsidRDefault="00A23139" w14:paraId="4563088D" w14:textId="77777777">
      <w:pPr>
        <w:jc w:val="both"/>
      </w:pPr>
    </w:p>
    <w:p w:rsidR="00321226" w:rsidP="00E90977" w:rsidRDefault="00A23139" w14:paraId="5826021E" w14:textId="65DD9B8F">
      <w:pPr>
        <w:jc w:val="both"/>
      </w:pPr>
      <w:r>
        <w:t xml:space="preserve">De voormalig </w:t>
      </w:r>
      <w:r w:rsidR="002B5584">
        <w:t>S</w:t>
      </w:r>
      <w:r>
        <w:t>taatssecretaris</w:t>
      </w:r>
      <w:r w:rsidR="002B5A1C">
        <w:t xml:space="preserve"> voor</w:t>
      </w:r>
      <w:r>
        <w:t xml:space="preserve"> Rechtsbescherming heeft de </w:t>
      </w:r>
      <w:proofErr w:type="spellStart"/>
      <w:r>
        <w:t>NOvA</w:t>
      </w:r>
      <w:proofErr w:type="spellEnd"/>
      <w:r>
        <w:t xml:space="preserve"> gevraagd om een eensluidend </w:t>
      </w:r>
      <w:r w:rsidRPr="00A23139">
        <w:t>advies uit te brengen over het toezicht op de advocatuur die wordt gedragen door</w:t>
      </w:r>
      <w:r>
        <w:t xml:space="preserve"> </w:t>
      </w:r>
      <w:r w:rsidRPr="00A23139">
        <w:t>al haar gelederen.</w:t>
      </w:r>
      <w:r>
        <w:rPr>
          <w:rStyle w:val="Voetnootmarkering"/>
        </w:rPr>
        <w:footnoteReference w:id="5"/>
      </w:r>
      <w:r>
        <w:t xml:space="preserve"> De </w:t>
      </w:r>
      <w:proofErr w:type="spellStart"/>
      <w:r>
        <w:t>NOvA</w:t>
      </w:r>
      <w:proofErr w:type="spellEnd"/>
      <w:r>
        <w:t xml:space="preserve"> heeft op 12 september 2025 haar advies aan mij uitgebracht</w:t>
      </w:r>
      <w:r w:rsidR="00EF36DE">
        <w:t xml:space="preserve">. Dit advies is als bijlage bij deze Kamerbrief gevoegd. </w:t>
      </w:r>
    </w:p>
    <w:p w:rsidR="00A23139" w:rsidP="00E90977" w:rsidRDefault="00A23139" w14:paraId="27B58FF9" w14:textId="77777777">
      <w:pPr>
        <w:jc w:val="both"/>
      </w:pPr>
    </w:p>
    <w:p w:rsidR="00FC3465" w:rsidP="00E90977" w:rsidRDefault="00004422" w14:paraId="7485F2FF" w14:textId="51A40269">
      <w:pPr>
        <w:pStyle w:val="WitregelW1bodytekst"/>
        <w:jc w:val="both"/>
      </w:pPr>
      <w:r>
        <w:t xml:space="preserve">In deze brief informeer ik u over het onderzoek van Pro Facto, het advies </w:t>
      </w:r>
      <w:r w:rsidR="00ED3BBA">
        <w:t>van</w:t>
      </w:r>
      <w:r>
        <w:t xml:space="preserve"> de </w:t>
      </w:r>
      <w:proofErr w:type="spellStart"/>
      <w:r>
        <w:t>NOvA</w:t>
      </w:r>
      <w:proofErr w:type="spellEnd"/>
      <w:r>
        <w:t xml:space="preserve"> en het vervolg van het wetstraject versterking toezicht advocatuur.</w:t>
      </w:r>
    </w:p>
    <w:p w:rsidR="00004422" w:rsidP="00E90977" w:rsidRDefault="00004422" w14:paraId="201CFFA0" w14:textId="77777777">
      <w:pPr>
        <w:jc w:val="both"/>
      </w:pPr>
    </w:p>
    <w:p w:rsidR="00004422" w:rsidP="00E90977" w:rsidRDefault="00004422" w14:paraId="4A066BCA" w14:textId="5FD7DCE4">
      <w:pPr>
        <w:jc w:val="both"/>
      </w:pPr>
      <w:r>
        <w:rPr>
          <w:u w:val="single"/>
        </w:rPr>
        <w:t xml:space="preserve">Onderzoek Pro Facto </w:t>
      </w:r>
    </w:p>
    <w:p w:rsidRPr="00ED3EB9" w:rsidR="00004422" w:rsidP="00E90977" w:rsidRDefault="00004422" w14:paraId="07FA8B9D" w14:textId="6B987FB9">
      <w:pPr>
        <w:jc w:val="both"/>
      </w:pPr>
      <w:r w:rsidRPr="00384AB8">
        <w:t xml:space="preserve">Het </w:t>
      </w:r>
      <w:r>
        <w:t>onderzoeksrapport</w:t>
      </w:r>
      <w:r w:rsidRPr="00384AB8">
        <w:t xml:space="preserve"> van Pro Facto gaat in op de kaders, begripsbepaling en historische ontwikkeling van het toezicht, klachtrecht en tuchtrecht binnen de advocatuur. Daarnaast geeft het een overzicht van de leidende principes voor een adequate </w:t>
      </w:r>
      <w:proofErr w:type="spellStart"/>
      <w:r w:rsidRPr="00384AB8">
        <w:t>toezichtsuitoefening</w:t>
      </w:r>
      <w:proofErr w:type="spellEnd"/>
      <w:r w:rsidRPr="00384AB8">
        <w:t xml:space="preserve"> en goede klachtbehandeling. Tot slot worden vier inrichtingsmodaliteiten voor de inrichting van het toezicht</w:t>
      </w:r>
      <w:r w:rsidR="002A17E4">
        <w:t xml:space="preserve"> en het</w:t>
      </w:r>
      <w:r w:rsidRPr="00384AB8">
        <w:t xml:space="preserve"> klacht- en </w:t>
      </w:r>
      <w:r w:rsidRPr="00384AB8">
        <w:lastRenderedPageBreak/>
        <w:t xml:space="preserve">tuchtrecht besproken, met een analyse van </w:t>
      </w:r>
      <w:r w:rsidRPr="00ED3EB9">
        <w:t>de sterke en zwakke punten van ieder model.</w:t>
      </w:r>
    </w:p>
    <w:p w:rsidRPr="00ED3EB9" w:rsidR="00004422" w:rsidP="00E90977" w:rsidRDefault="00004422" w14:paraId="31CAB6DA" w14:textId="77777777">
      <w:pPr>
        <w:jc w:val="both"/>
      </w:pPr>
    </w:p>
    <w:p w:rsidRPr="00ED3EB9" w:rsidR="00004422" w:rsidP="00E90977" w:rsidRDefault="00004422" w14:paraId="48D59CDA" w14:textId="5E6B59CE">
      <w:pPr>
        <w:jc w:val="both"/>
      </w:pPr>
      <w:r w:rsidRPr="00ED3EB9">
        <w:t>Het rapport laat zien dat in het verleden sprake was van een duidelijke verbinding tussen het toezicht en tuchtrecht – inclusief het klachtrecht – maar dat in de loop der jaren sprake is geweest van een steeds verdere ontvlechting van deze instrumenten. De huidige beleidscontouren en het conceptwetsvoorstel bouwen daarop voort.</w:t>
      </w:r>
    </w:p>
    <w:p w:rsidRPr="00ED3EB9" w:rsidR="00004422" w:rsidP="00E90977" w:rsidRDefault="00004422" w14:paraId="45EF3C9C" w14:textId="77777777">
      <w:pPr>
        <w:jc w:val="both"/>
      </w:pPr>
    </w:p>
    <w:p w:rsidR="0026401E" w:rsidP="0026401E" w:rsidRDefault="00004422" w14:paraId="59781489" w14:textId="36CD94E3">
      <w:pPr>
        <w:jc w:val="both"/>
      </w:pPr>
      <w:r w:rsidRPr="00ED3EB9">
        <w:t xml:space="preserve">Volgens de onderzoekers zijn toezicht en (tucht)klachtbehandeling </w:t>
      </w:r>
      <w:r w:rsidRPr="00ED3EB9" w:rsidR="00991296">
        <w:t xml:space="preserve">zeer te onderscheiden </w:t>
      </w:r>
      <w:r w:rsidRPr="00ED3EB9">
        <w:t xml:space="preserve">activiteiten die inhoudelijk </w:t>
      </w:r>
      <w:r w:rsidRPr="00ED3EB9" w:rsidR="00991296">
        <w:t>niet veel raakvlakken hebben</w:t>
      </w:r>
      <w:r w:rsidRPr="00ED3EB9">
        <w:t xml:space="preserve"> en om andere expertises, competenties en vaardigheden vragen. Daarom is het volgens de onderzoekers niet nodig om beide instrumenten in</w:t>
      </w:r>
      <w:r w:rsidRPr="00ED3EB9" w:rsidR="0007433A">
        <w:t xml:space="preserve"> </w:t>
      </w:r>
      <w:r w:rsidRPr="00ED3EB9" w:rsidR="00BF7979">
        <w:t>éé</w:t>
      </w:r>
      <w:r w:rsidRPr="00ED3EB9">
        <w:t xml:space="preserve">n organisatie onder te brengen. </w:t>
      </w:r>
      <w:r w:rsidRPr="00ED3EB9" w:rsidR="002B5584">
        <w:t>Het</w:t>
      </w:r>
      <w:r w:rsidRPr="00ED3EB9">
        <w:t xml:space="preserve"> kan</w:t>
      </w:r>
      <w:r w:rsidRPr="00ED3EB9" w:rsidR="002B5584">
        <w:t xml:space="preserve"> volgens de onderzoekers</w:t>
      </w:r>
      <w:r w:rsidRPr="00ED3EB9">
        <w:t xml:space="preserve"> zelfs leiden tot verzwakking van zowel het toezicht als </w:t>
      </w:r>
      <w:r w:rsidRPr="00ED3EB9" w:rsidR="00E05259">
        <w:t>de</w:t>
      </w:r>
      <w:r w:rsidRPr="00ED3EB9">
        <w:t xml:space="preserve"> (tucht)klachtbehandeling vanwege rolvermenging, capaciteitsverdeling en het risico dat de onafhankelijk toezichthouder feitelijk als klachtinstantie wordt gezien. Desalniettemin kunnen signalen uit de klachtbehandeling nuttig zijn voor de toezichthouder. De onderzoekers pleiten daarom voor het leggen van een relatie tussen toezicht en klachtbehandeling, zodat signalen uit de klachtbehandeling bij de toezichthouder terecht komen.</w:t>
      </w:r>
      <w:r w:rsidRPr="00ED3EB9" w:rsidR="0026401E">
        <w:rPr>
          <w:rStyle w:val="Voetnootmarkering"/>
        </w:rPr>
        <w:footnoteReference w:id="6"/>
      </w:r>
      <w:r w:rsidR="0026401E">
        <w:t xml:space="preserve"> </w:t>
      </w:r>
    </w:p>
    <w:p w:rsidR="00004422" w:rsidP="00E90977" w:rsidRDefault="00004422" w14:paraId="3B74F6DB" w14:textId="77777777">
      <w:pPr>
        <w:jc w:val="both"/>
      </w:pPr>
    </w:p>
    <w:p w:rsidR="00004422" w:rsidP="00E90977" w:rsidRDefault="00004422" w14:paraId="566B4A00" w14:textId="4EFCD418">
      <w:pPr>
        <w:jc w:val="both"/>
      </w:pPr>
      <w:r>
        <w:rPr>
          <w:u w:val="single"/>
        </w:rPr>
        <w:t xml:space="preserve">Advies </w:t>
      </w:r>
      <w:proofErr w:type="spellStart"/>
      <w:r>
        <w:rPr>
          <w:u w:val="single"/>
        </w:rPr>
        <w:t>NOvA</w:t>
      </w:r>
      <w:proofErr w:type="spellEnd"/>
    </w:p>
    <w:p w:rsidR="004279D0" w:rsidP="00E90977" w:rsidRDefault="00AD1A49" w14:paraId="30FE419A" w14:textId="381046A7">
      <w:pPr>
        <w:jc w:val="both"/>
      </w:pPr>
      <w:r>
        <w:t>A</w:t>
      </w:r>
      <w:r w:rsidR="004279D0">
        <w:t xml:space="preserve">ls gezegd heeft de </w:t>
      </w:r>
      <w:proofErr w:type="spellStart"/>
      <w:r w:rsidR="004279D0">
        <w:t>NOvA</w:t>
      </w:r>
      <w:proofErr w:type="spellEnd"/>
      <w:r w:rsidR="004279D0">
        <w:t xml:space="preserve"> </w:t>
      </w:r>
      <w:r w:rsidR="008F0710">
        <w:t xml:space="preserve">per brief van </w:t>
      </w:r>
      <w:r w:rsidR="004279D0">
        <w:t>12 september 2025 haar advies aan mij uitgebracht.</w:t>
      </w:r>
      <w:r w:rsidR="0073625C">
        <w:t xml:space="preserve"> Het advies heb ik inmiddels met de </w:t>
      </w:r>
      <w:proofErr w:type="spellStart"/>
      <w:r w:rsidR="0073625C">
        <w:t>NOvA</w:t>
      </w:r>
      <w:proofErr w:type="spellEnd"/>
      <w:r w:rsidR="0073625C">
        <w:t xml:space="preserve"> besproken.</w:t>
      </w:r>
      <w:r w:rsidR="004279D0">
        <w:t xml:space="preserve"> Samengevat komt</w:t>
      </w:r>
      <w:r w:rsidR="002B16E3">
        <w:t xml:space="preserve"> </w:t>
      </w:r>
      <w:r w:rsidR="002B5584">
        <w:t>het advies</w:t>
      </w:r>
      <w:r w:rsidR="004279D0">
        <w:t xml:space="preserve"> van de </w:t>
      </w:r>
      <w:proofErr w:type="spellStart"/>
      <w:r w:rsidR="004279D0">
        <w:t>NOvA</w:t>
      </w:r>
      <w:proofErr w:type="spellEnd"/>
      <w:r w:rsidR="004279D0">
        <w:t xml:space="preserve"> op het volgende neer.</w:t>
      </w:r>
    </w:p>
    <w:p w:rsidR="004279D0" w:rsidP="00E90977" w:rsidRDefault="004279D0" w14:paraId="54F09E42" w14:textId="77777777">
      <w:pPr>
        <w:jc w:val="both"/>
      </w:pPr>
    </w:p>
    <w:p w:rsidR="004279D0" w:rsidP="00E90977" w:rsidRDefault="004279D0" w14:paraId="0C0CF977" w14:textId="5085FDA6">
      <w:pPr>
        <w:jc w:val="both"/>
      </w:pPr>
      <w:r w:rsidRPr="00384AB8">
        <w:t xml:space="preserve">Volgens de </w:t>
      </w:r>
      <w:r w:rsidR="002B5584">
        <w:t>A</w:t>
      </w:r>
      <w:r w:rsidRPr="00384AB8">
        <w:t xml:space="preserve">lgemene </w:t>
      </w:r>
      <w:r w:rsidR="002B5584">
        <w:t>R</w:t>
      </w:r>
      <w:r w:rsidRPr="00384AB8">
        <w:t>aad</w:t>
      </w:r>
      <w:r w:rsidR="002B5584">
        <w:t xml:space="preserve"> (AR)</w:t>
      </w:r>
      <w:r w:rsidRPr="00384AB8">
        <w:t xml:space="preserve"> </w:t>
      </w:r>
      <w:r>
        <w:t xml:space="preserve">van de </w:t>
      </w:r>
      <w:proofErr w:type="spellStart"/>
      <w:r>
        <w:t>NOvA</w:t>
      </w:r>
      <w:proofErr w:type="spellEnd"/>
      <w:r>
        <w:t xml:space="preserve"> </w:t>
      </w:r>
      <w:r w:rsidRPr="00384AB8">
        <w:t>kan met voortvarendheid een onafhankelijke centrale toezichthouder worden opgericht in de vorm van de OTA, volgens de lijnen uit</w:t>
      </w:r>
      <w:r w:rsidR="00BD241A">
        <w:t>een</w:t>
      </w:r>
      <w:r w:rsidRPr="00384AB8">
        <w:t>gezet in de contourenbrieven van</w:t>
      </w:r>
      <w:r w:rsidR="003F6B67">
        <w:t xml:space="preserve"> de</w:t>
      </w:r>
      <w:r w:rsidRPr="00384AB8">
        <w:t xml:space="preserve"> voormalig </w:t>
      </w:r>
      <w:r w:rsidR="002B5584">
        <w:t>M</w:t>
      </w:r>
      <w:r w:rsidRPr="00384AB8">
        <w:t>inister</w:t>
      </w:r>
      <w:r w:rsidR="004051D5">
        <w:t xml:space="preserve"> voor Rechtsbescherming</w:t>
      </w:r>
      <w:r w:rsidRPr="00384AB8">
        <w:t xml:space="preserve"> van 26 september 2022 en 29 juni 2023 (met uitzondering van de inrichting van een klachtenportaal bij de OTA).</w:t>
      </w:r>
      <w:r w:rsidR="00B539D5">
        <w:rPr>
          <w:rStyle w:val="Voetnootmarkering"/>
        </w:rPr>
        <w:footnoteReference w:id="7"/>
      </w:r>
      <w:r w:rsidRPr="0032476C" w:rsidR="0032476C">
        <w:t xml:space="preserve"> </w:t>
      </w:r>
      <w:r w:rsidR="0032476C">
        <w:t>Daarbij is van belang dat v</w:t>
      </w:r>
      <w:r w:rsidRPr="0032476C" w:rsidR="0032476C">
        <w:t xml:space="preserve">oor de uitwisseling van informatie uit klachtonderzoek tussen dekens en </w:t>
      </w:r>
      <w:r w:rsidR="00BD4348">
        <w:t xml:space="preserve">de </w:t>
      </w:r>
      <w:r w:rsidRPr="0032476C" w:rsidR="0032476C">
        <w:t xml:space="preserve">OTA een wettelijke basis </w:t>
      </w:r>
      <w:r w:rsidR="0032476C">
        <w:t>wordt</w:t>
      </w:r>
      <w:r w:rsidRPr="0032476C" w:rsidR="0032476C">
        <w:t xml:space="preserve"> gecreëerd.</w:t>
      </w:r>
    </w:p>
    <w:p w:rsidR="004279D0" w:rsidP="00E90977" w:rsidRDefault="004279D0" w14:paraId="54B2D812" w14:textId="77777777">
      <w:pPr>
        <w:jc w:val="both"/>
      </w:pPr>
    </w:p>
    <w:p w:rsidR="004279D0" w:rsidP="00E90977" w:rsidRDefault="004279D0" w14:paraId="4964418A" w14:textId="1847E341">
      <w:pPr>
        <w:jc w:val="both"/>
      </w:pPr>
      <w:r>
        <w:t xml:space="preserve">Volgens de </w:t>
      </w:r>
      <w:r w:rsidR="002B5584">
        <w:t>AR</w:t>
      </w:r>
      <w:r>
        <w:t xml:space="preserve"> dient h</w:t>
      </w:r>
      <w:r w:rsidRPr="00384AB8">
        <w:t xml:space="preserve">et klachtrecht de komende tijd </w:t>
      </w:r>
      <w:r>
        <w:t xml:space="preserve">eerst </w:t>
      </w:r>
      <w:r w:rsidRPr="00384AB8">
        <w:t xml:space="preserve">te worden gemoderniseerd en gestroomlijnd. Dat moet en hoeft de start van de OTA niet tegen (te) houden. </w:t>
      </w:r>
      <w:r w:rsidRPr="002A17E4">
        <w:t xml:space="preserve">Na modernisering van het klachtrecht, dat bij voorkeur binnen een jaar wordt afgerond, kan definitief </w:t>
      </w:r>
      <w:r w:rsidRPr="002A17E4" w:rsidR="00EE736C">
        <w:t xml:space="preserve">worden </w:t>
      </w:r>
      <w:r w:rsidRPr="002A17E4">
        <w:t>besloten waar de klachtbehandeling wordt ondergebracht. In de tussentijd blijft het klachtonderzoek en de klachtbehandeling belegd bij de dekens.</w:t>
      </w:r>
    </w:p>
    <w:p w:rsidR="004279D0" w:rsidP="00E90977" w:rsidRDefault="004279D0" w14:paraId="1288BCDB" w14:textId="77777777">
      <w:pPr>
        <w:jc w:val="both"/>
      </w:pPr>
    </w:p>
    <w:p w:rsidR="004279D0" w:rsidP="00E90977" w:rsidRDefault="00017373" w14:paraId="22C1E711" w14:textId="1B37DC3B">
      <w:pPr>
        <w:jc w:val="both"/>
      </w:pPr>
      <w:r>
        <w:t>De</w:t>
      </w:r>
      <w:r w:rsidRPr="00384AB8" w:rsidR="004279D0">
        <w:t xml:space="preserve"> </w:t>
      </w:r>
      <w:r w:rsidR="002B5584">
        <w:t>AR</w:t>
      </w:r>
      <w:r>
        <w:t xml:space="preserve"> geeft in de brief van 12 september 2025 aan dat het advies</w:t>
      </w:r>
      <w:r w:rsidRPr="00384AB8" w:rsidR="004279D0">
        <w:t xml:space="preserve"> breed gedragen </w:t>
      </w:r>
      <w:r>
        <w:t xml:space="preserve">wordt </w:t>
      </w:r>
      <w:r w:rsidR="0032476C">
        <w:t xml:space="preserve">binnen de </w:t>
      </w:r>
      <w:proofErr w:type="spellStart"/>
      <w:r w:rsidR="0032476C">
        <w:t>NOvA</w:t>
      </w:r>
      <w:proofErr w:type="spellEnd"/>
      <w:r w:rsidR="0032476C">
        <w:t xml:space="preserve"> en de huidige toezichthouders. </w:t>
      </w:r>
      <w:r w:rsidRPr="00384AB8" w:rsidR="004279D0">
        <w:t xml:space="preserve">Volgens de </w:t>
      </w:r>
      <w:r w:rsidR="002B5584">
        <w:t>AR</w:t>
      </w:r>
      <w:r w:rsidRPr="00384AB8" w:rsidR="004279D0">
        <w:t xml:space="preserve"> kan met </w:t>
      </w:r>
      <w:r w:rsidR="002B5584">
        <w:t>dit advies</w:t>
      </w:r>
      <w:r w:rsidRPr="00384AB8" w:rsidR="004279D0">
        <w:t xml:space="preserve"> de basis worden gelegd voor een nieuw </w:t>
      </w:r>
      <w:proofErr w:type="spellStart"/>
      <w:r w:rsidRPr="00384AB8" w:rsidR="004279D0">
        <w:t>toezichtsmodel</w:t>
      </w:r>
      <w:proofErr w:type="spellEnd"/>
      <w:r w:rsidRPr="00384AB8" w:rsidR="004279D0">
        <w:t xml:space="preserve"> en model voor klachtbehandeling: een model waarin toezicht en klacht onafhankelijk, gecentraliseerd, geüniformeerd en toekomstbestendig kunnen worden gepositioneerd.</w:t>
      </w:r>
    </w:p>
    <w:p w:rsidR="00004422" w:rsidP="00E90977" w:rsidRDefault="00004422" w14:paraId="3892AEB1" w14:textId="77777777">
      <w:pPr>
        <w:jc w:val="both"/>
      </w:pPr>
    </w:p>
    <w:p w:rsidR="00332BF9" w:rsidP="00E90977" w:rsidRDefault="0073625C" w14:paraId="7E862DF8" w14:textId="70C6121B">
      <w:pPr>
        <w:jc w:val="both"/>
      </w:pPr>
      <w:r>
        <w:rPr>
          <w:u w:val="single"/>
        </w:rPr>
        <w:lastRenderedPageBreak/>
        <w:t>Vervolg wetstraject</w:t>
      </w:r>
    </w:p>
    <w:p w:rsidR="00332BF9" w:rsidP="00E90977" w:rsidRDefault="00ED3BBA" w14:paraId="74582C3E" w14:textId="7066CE31">
      <w:pPr>
        <w:jc w:val="both"/>
      </w:pPr>
      <w:r>
        <w:t>Zoals in eerdere brieven is aangekondigd</w:t>
      </w:r>
      <w:r>
        <w:rPr>
          <w:rStyle w:val="Voetnootmarkering"/>
        </w:rPr>
        <w:footnoteReference w:id="8"/>
      </w:r>
      <w:r>
        <w:t>, wordt het toezicht op de advocatuur versterkt door de oprichting van een onafhankelijke toezichthouder advocatuur</w:t>
      </w:r>
      <w:r w:rsidR="00897350">
        <w:t xml:space="preserve"> (</w:t>
      </w:r>
      <w:r>
        <w:t>de OTA</w:t>
      </w:r>
      <w:r w:rsidR="00897350">
        <w:t>)</w:t>
      </w:r>
      <w:r>
        <w:t xml:space="preserve">. </w:t>
      </w:r>
      <w:r w:rsidRPr="00ED3BBA">
        <w:t>Uitgangspunt bij de inrichting van het toezicht op de advocatuur is dat dit toezicht onafhankelijk, transparant, uniform, preventief en effectief is.</w:t>
      </w:r>
    </w:p>
    <w:p w:rsidR="00ED3BBA" w:rsidP="00E90977" w:rsidRDefault="00ED3BBA" w14:paraId="755F7EEB" w14:textId="77777777">
      <w:pPr>
        <w:jc w:val="both"/>
      </w:pPr>
    </w:p>
    <w:p w:rsidRPr="00ED3EB9" w:rsidR="0073625C" w:rsidP="00E90977" w:rsidRDefault="00B539D5" w14:paraId="0DF7B1C2" w14:textId="099EA965">
      <w:pPr>
        <w:jc w:val="both"/>
      </w:pPr>
      <w:r>
        <w:t>De</w:t>
      </w:r>
      <w:r w:rsidR="0073625C">
        <w:t xml:space="preserve"> inzichten uit het rapport</w:t>
      </w:r>
      <w:r w:rsidR="00573360">
        <w:t xml:space="preserve"> van Pro Facto</w:t>
      </w:r>
      <w:r w:rsidR="00ED3BBA">
        <w:t xml:space="preserve"> laten zien dat het toezicht, tucht- en klachtrecht verschillende disciplines zijn</w:t>
      </w:r>
      <w:r>
        <w:t xml:space="preserve"> die ieder om hun eigen </w:t>
      </w:r>
      <w:r w:rsidRPr="00384AB8">
        <w:t>expertises, competenties en vaardigheden vragen</w:t>
      </w:r>
      <w:r>
        <w:t>.</w:t>
      </w:r>
      <w:r w:rsidR="00ED3BBA">
        <w:t xml:space="preserve"> Daarnaast blijkt uit het rapport en</w:t>
      </w:r>
      <w:r w:rsidR="0073625C">
        <w:t xml:space="preserve"> het advies van de </w:t>
      </w:r>
      <w:proofErr w:type="spellStart"/>
      <w:r w:rsidR="0073625C">
        <w:t>NOvA</w:t>
      </w:r>
      <w:proofErr w:type="spellEnd"/>
      <w:r w:rsidR="0073625C">
        <w:t xml:space="preserve"> </w:t>
      </w:r>
      <w:r w:rsidR="00ED3BBA">
        <w:t xml:space="preserve">dat </w:t>
      </w:r>
      <w:r w:rsidR="00BE2549">
        <w:t xml:space="preserve">de </w:t>
      </w:r>
      <w:r w:rsidR="00ED3BBA">
        <w:t>klachtbehandeling op dit moment veel om</w:t>
      </w:r>
      <w:r w:rsidR="00DF61C3">
        <w:t xml:space="preserve"> het lijf</w:t>
      </w:r>
      <w:r w:rsidR="00ED3BBA">
        <w:t xml:space="preserve"> heeft</w:t>
      </w:r>
      <w:r w:rsidR="0026401E">
        <w:t xml:space="preserve"> en stroomlijning behoeft. </w:t>
      </w:r>
      <w:r w:rsidRPr="002A17E4" w:rsidR="0026401E">
        <w:t xml:space="preserve">Er zijn verschillende knelpunten waaronder het ontbreken van de </w:t>
      </w:r>
      <w:r w:rsidRPr="00ED3EB9" w:rsidR="0026401E">
        <w:t>mogelijkheid tot triage en de mogelijkheid om een klacht niet-ontvankelijk te verklaren als het griffierecht niet is betaald. D</w:t>
      </w:r>
      <w:r w:rsidRPr="00ED3EB9" w:rsidR="00ED3BBA">
        <w:t xml:space="preserve">e </w:t>
      </w:r>
      <w:proofErr w:type="spellStart"/>
      <w:r w:rsidRPr="00ED3EB9" w:rsidR="00ED3BBA">
        <w:t>NOvA</w:t>
      </w:r>
      <w:proofErr w:type="spellEnd"/>
      <w:r w:rsidRPr="00ED3EB9" w:rsidR="00ED3BBA">
        <w:t xml:space="preserve"> </w:t>
      </w:r>
      <w:r w:rsidRPr="00ED3EB9" w:rsidR="0026401E">
        <w:t xml:space="preserve">is daarom </w:t>
      </w:r>
      <w:r w:rsidRPr="00ED3EB9" w:rsidR="00ED3BBA">
        <w:t xml:space="preserve">de mening toegedaan dat </w:t>
      </w:r>
      <w:r w:rsidRPr="00ED3EB9" w:rsidR="0026401E">
        <w:t xml:space="preserve">het klachtrecht </w:t>
      </w:r>
      <w:r w:rsidRPr="00ED3EB9" w:rsidR="00ED3BBA">
        <w:t>eerst gemoderniseerd dient te worden</w:t>
      </w:r>
      <w:r w:rsidRPr="00ED3EB9">
        <w:t xml:space="preserve"> alvorens een keuze </w:t>
      </w:r>
      <w:r w:rsidRPr="00ED3EB9" w:rsidR="00DF0BD3">
        <w:t>kan worden gemaakt</w:t>
      </w:r>
      <w:r w:rsidRPr="00ED3EB9">
        <w:t xml:space="preserve"> over de inrichting</w:t>
      </w:r>
      <w:r w:rsidRPr="00ED3EB9" w:rsidR="0026401E">
        <w:t xml:space="preserve"> en positionering</w:t>
      </w:r>
      <w:r w:rsidRPr="00ED3EB9">
        <w:t xml:space="preserve"> van het klachtrecht</w:t>
      </w:r>
      <w:r w:rsidRPr="00ED3EB9" w:rsidR="00ED3BBA">
        <w:t xml:space="preserve">. </w:t>
      </w:r>
    </w:p>
    <w:p w:rsidRPr="00ED3EB9" w:rsidR="00ED3BBA" w:rsidP="00E90977" w:rsidRDefault="00ED3BBA" w14:paraId="3A281554" w14:textId="77777777">
      <w:pPr>
        <w:jc w:val="both"/>
      </w:pPr>
    </w:p>
    <w:p w:rsidRPr="00ED3EB9" w:rsidR="00B539D5" w:rsidP="00E90977" w:rsidRDefault="00ED3BBA" w14:paraId="40F68998" w14:textId="4A4B2DF4">
      <w:pPr>
        <w:jc w:val="both"/>
      </w:pPr>
      <w:r w:rsidRPr="00ED3EB9">
        <w:t xml:space="preserve">Ik vind het belangrijk om </w:t>
      </w:r>
      <w:r w:rsidRPr="00ED3EB9" w:rsidR="00D27F89">
        <w:t xml:space="preserve">voortvarend te werk te gaan </w:t>
      </w:r>
      <w:r w:rsidRPr="00ED3EB9" w:rsidR="00540341">
        <w:t>met het oprichten van</w:t>
      </w:r>
      <w:r w:rsidRPr="00ED3EB9" w:rsidR="00332BF9">
        <w:t xml:space="preserve"> een robuuste en slagvaardige onafhankelijke toezichthouder advocatuur</w:t>
      </w:r>
      <w:r w:rsidRPr="00ED3EB9">
        <w:t>.</w:t>
      </w:r>
      <w:r w:rsidRPr="00ED3EB9" w:rsidR="00C80215">
        <w:t xml:space="preserve"> Ik ben </w:t>
      </w:r>
      <w:r w:rsidRPr="00ED3EB9" w:rsidR="00766481">
        <w:t>dan ook verheugd</w:t>
      </w:r>
      <w:r w:rsidRPr="00ED3EB9" w:rsidR="00C80215">
        <w:t xml:space="preserve"> dat de </w:t>
      </w:r>
      <w:proofErr w:type="spellStart"/>
      <w:r w:rsidRPr="00ED3EB9" w:rsidR="00C80215">
        <w:t>NOvA</w:t>
      </w:r>
      <w:proofErr w:type="spellEnd"/>
      <w:r w:rsidRPr="00ED3EB9" w:rsidR="00C80215">
        <w:t xml:space="preserve"> </w:t>
      </w:r>
      <w:r w:rsidRPr="00ED3EB9" w:rsidR="00766481">
        <w:t>het belang van voortvarendheid onderschrijft en er</w:t>
      </w:r>
      <w:r w:rsidRPr="00ED3EB9" w:rsidR="002B5584">
        <w:t xml:space="preserve">, zo blijkt uit het advies van de AR en mijn gesprekken met de </w:t>
      </w:r>
      <w:proofErr w:type="spellStart"/>
      <w:r w:rsidRPr="00ED3EB9" w:rsidR="002B5584">
        <w:t>NOvA</w:t>
      </w:r>
      <w:proofErr w:type="spellEnd"/>
      <w:r w:rsidRPr="00ED3EB9" w:rsidR="002B5584">
        <w:t xml:space="preserve">, </w:t>
      </w:r>
      <w:r w:rsidRPr="00ED3EB9" w:rsidR="00C80215">
        <w:t>breed draagvlak is om met de oprichting van de OTA aan de slag te gaan.</w:t>
      </w:r>
      <w:r w:rsidRPr="00ED3EB9">
        <w:t xml:space="preserve"> Om die reden wil ik het wetsvoorstel</w:t>
      </w:r>
      <w:r w:rsidRPr="00ED3EB9" w:rsidR="00991296">
        <w:t>, waarmee</w:t>
      </w:r>
      <w:r w:rsidRPr="00ED3EB9" w:rsidR="00B539D5">
        <w:t xml:space="preserve"> de OTA</w:t>
      </w:r>
      <w:r w:rsidRPr="00ED3EB9" w:rsidR="00991296">
        <w:t xml:space="preserve"> wordt geïntroduceerd, </w:t>
      </w:r>
      <w:r w:rsidRPr="00ED3EB9" w:rsidR="00B539D5">
        <w:t xml:space="preserve">langs de contouren zoals de voormalig </w:t>
      </w:r>
      <w:r w:rsidRPr="00ED3EB9" w:rsidR="002B5584">
        <w:t>M</w:t>
      </w:r>
      <w:r w:rsidRPr="00ED3EB9" w:rsidR="00B539D5">
        <w:t>inister voor Rechtsbescherming die in eerdere brieven heeft medegedeeld</w:t>
      </w:r>
      <w:r w:rsidRPr="00ED3EB9" w:rsidR="00766481">
        <w:t>, op korte termijn in consultatie brengen</w:t>
      </w:r>
      <w:r w:rsidRPr="00ED3EB9" w:rsidR="00B539D5">
        <w:t>.</w:t>
      </w:r>
      <w:r w:rsidRPr="00ED3EB9" w:rsidR="00B539D5">
        <w:rPr>
          <w:rStyle w:val="Voetnootmarkering"/>
        </w:rPr>
        <w:footnoteReference w:id="9"/>
      </w:r>
      <w:r w:rsidRPr="00ED3EB9" w:rsidR="00B539D5">
        <w:t xml:space="preserve"> </w:t>
      </w:r>
      <w:r w:rsidRPr="00ED3EB9" w:rsidR="00766481">
        <w:t xml:space="preserve">Conform het advies van de </w:t>
      </w:r>
      <w:proofErr w:type="spellStart"/>
      <w:r w:rsidRPr="00ED3EB9" w:rsidR="00766481">
        <w:t>NOvA</w:t>
      </w:r>
      <w:proofErr w:type="spellEnd"/>
      <w:r w:rsidRPr="00ED3EB9" w:rsidR="00766481">
        <w:t xml:space="preserve"> zullen de contouren worden aangepast met betrekking tot het centraal</w:t>
      </w:r>
      <w:r w:rsidRPr="00ED3EB9" w:rsidR="00B539D5">
        <w:t xml:space="preserve"> meldpunt voor klachten bij de OTA</w:t>
      </w:r>
      <w:r w:rsidRPr="00ED3EB9" w:rsidR="00766481">
        <w:t xml:space="preserve">. Er zal </w:t>
      </w:r>
      <w:r w:rsidRPr="00ED3EB9" w:rsidR="00B539D5">
        <w:t>worden voorzien in een wettelijke grondslag voor de uitwisseling van informatie uit klachtonderzoek tussen de lokale dekens en de OTA.</w:t>
      </w:r>
      <w:r w:rsidRPr="00ED3EB9" w:rsidR="00C80215">
        <w:t xml:space="preserve"> D</w:t>
      </w:r>
      <w:r w:rsidRPr="00ED3EB9" w:rsidR="00766481">
        <w:t xml:space="preserve">it zal worden meegenomen in de verdere voorbereiding van het wetsvoorstel. </w:t>
      </w:r>
    </w:p>
    <w:p w:rsidRPr="00ED3EB9" w:rsidR="00B539D5" w:rsidP="00E90977" w:rsidRDefault="00B539D5" w14:paraId="7DA2B359" w14:textId="77777777">
      <w:pPr>
        <w:jc w:val="both"/>
      </w:pPr>
    </w:p>
    <w:p w:rsidRPr="00ED3EB9" w:rsidR="003F6B67" w:rsidP="003F6B67" w:rsidRDefault="003E711C" w14:paraId="3F2A0E65" w14:textId="4325095D">
      <w:pPr>
        <w:jc w:val="both"/>
      </w:pPr>
      <w:bookmarkStart w:name="_Hlk216878087" w:id="0"/>
      <w:r w:rsidRPr="00ED3EB9">
        <w:t xml:space="preserve">Voor wat betreft het klachtrecht volg ik het voorstel van de </w:t>
      </w:r>
      <w:proofErr w:type="spellStart"/>
      <w:r w:rsidRPr="00ED3EB9">
        <w:t>NOvA</w:t>
      </w:r>
      <w:proofErr w:type="spellEnd"/>
      <w:r w:rsidRPr="00ED3EB9">
        <w:t xml:space="preserve"> om het klachtrecht het komende jaar</w:t>
      </w:r>
      <w:r w:rsidRPr="00ED3EB9" w:rsidR="0028257E">
        <w:t xml:space="preserve"> ee</w:t>
      </w:r>
      <w:r w:rsidRPr="00ED3EB9" w:rsidR="008F60CA">
        <w:t>rst</w:t>
      </w:r>
      <w:r w:rsidRPr="00ED3EB9">
        <w:t xml:space="preserve"> te moderniseren. </w:t>
      </w:r>
      <w:r w:rsidRPr="00ED3EB9" w:rsidR="008033AE">
        <w:t xml:space="preserve">In dat kader </w:t>
      </w:r>
      <w:r w:rsidRPr="00ED3EB9">
        <w:t xml:space="preserve">vraag ik de </w:t>
      </w:r>
      <w:proofErr w:type="spellStart"/>
      <w:r w:rsidRPr="00ED3EB9">
        <w:t>NOvA</w:t>
      </w:r>
      <w:proofErr w:type="spellEnd"/>
      <w:r w:rsidRPr="00ED3EB9" w:rsidR="008A0D31">
        <w:t xml:space="preserve"> om</w:t>
      </w:r>
      <w:r w:rsidRPr="00ED3EB9" w:rsidR="00C80215">
        <w:t xml:space="preserve"> voortvarend met de modernisering van het klachtrecht aan de slag te gaan en</w:t>
      </w:r>
      <w:r w:rsidRPr="00ED3EB9">
        <w:t xml:space="preserve"> eind 2026 met een eensluidend advies te komen over de inrichting</w:t>
      </w:r>
      <w:r w:rsidRPr="00ED3EB9" w:rsidR="00BD241A">
        <w:t xml:space="preserve"> en positionering</w:t>
      </w:r>
      <w:r w:rsidRPr="00ED3EB9">
        <w:t xml:space="preserve"> van het klachtrecht binnen de advocatuur</w:t>
      </w:r>
      <w:r w:rsidRPr="00ED3EB9" w:rsidR="001A1BC1">
        <w:t>,</w:t>
      </w:r>
      <w:r w:rsidRPr="00ED3EB9">
        <w:t xml:space="preserve"> waarbij ook de inzichten uit het Pro Facto</w:t>
      </w:r>
      <w:r w:rsidRPr="00ED3EB9" w:rsidR="00FB359B">
        <w:t>-</w:t>
      </w:r>
      <w:r w:rsidRPr="00ED3EB9">
        <w:t xml:space="preserve">onderzoek worden betrokken. </w:t>
      </w:r>
      <w:r w:rsidRPr="00ED3EB9" w:rsidR="00E90977">
        <w:t xml:space="preserve">Ik hecht er bovendien waarde aan dat er binnen de </w:t>
      </w:r>
      <w:proofErr w:type="spellStart"/>
      <w:r w:rsidRPr="00ED3EB9" w:rsidR="00E90977">
        <w:t>NOvA</w:t>
      </w:r>
      <w:proofErr w:type="spellEnd"/>
      <w:r w:rsidRPr="00ED3EB9" w:rsidR="00E90977">
        <w:t xml:space="preserve"> en al haar gelederen een breed draagvlak is voor de inrichting van het klachtrecht. </w:t>
      </w:r>
      <w:r w:rsidRPr="00ED3EB9" w:rsidR="003F6B67">
        <w:t xml:space="preserve">Na ontvangst van het advies van de </w:t>
      </w:r>
      <w:proofErr w:type="spellStart"/>
      <w:r w:rsidRPr="00ED3EB9" w:rsidR="003F6B67">
        <w:t>NOvA</w:t>
      </w:r>
      <w:proofErr w:type="spellEnd"/>
      <w:r w:rsidRPr="00ED3EB9" w:rsidR="003F6B67">
        <w:t xml:space="preserve">, zal op passende wijze invulling worden gegeven aan de vervolgstappen die nodig zijn voor modernisering en inrichting van </w:t>
      </w:r>
      <w:r w:rsidRPr="00ED3EB9" w:rsidR="007562FC">
        <w:t>het</w:t>
      </w:r>
      <w:r w:rsidRPr="00ED3EB9" w:rsidR="003F6B67">
        <w:t xml:space="preserve"> klachtrecht, waarbij als vertrekpunt de motie </w:t>
      </w:r>
      <w:proofErr w:type="spellStart"/>
      <w:r w:rsidRPr="00ED3EB9" w:rsidR="003F6B67">
        <w:t>Ellian</w:t>
      </w:r>
      <w:proofErr w:type="spellEnd"/>
      <w:r w:rsidRPr="00ED3EB9" w:rsidR="003F6B67">
        <w:t xml:space="preserve"> zal</w:t>
      </w:r>
    </w:p>
    <w:p w:rsidRPr="00ED3EB9" w:rsidR="00C80215" w:rsidP="003F6B67" w:rsidRDefault="003F6B67" w14:paraId="0093AF71" w14:textId="21C7C3E9">
      <w:pPr>
        <w:jc w:val="both"/>
      </w:pPr>
      <w:r w:rsidRPr="00ED3EB9">
        <w:t>worden gehanteerd.</w:t>
      </w:r>
      <w:bookmarkEnd w:id="0"/>
    </w:p>
    <w:p w:rsidRPr="00ED3EB9" w:rsidR="00BD241A" w:rsidP="00C80215" w:rsidRDefault="00BD241A" w14:paraId="6FE49014" w14:textId="77777777">
      <w:pPr>
        <w:jc w:val="both"/>
      </w:pPr>
    </w:p>
    <w:p w:rsidRPr="00ED3EB9" w:rsidR="00004422" w:rsidP="00C80215" w:rsidRDefault="00E90977" w14:paraId="1D29B1C0" w14:textId="3B1AAB3E">
      <w:pPr>
        <w:jc w:val="both"/>
      </w:pPr>
      <w:r w:rsidRPr="00ED3EB9">
        <w:t xml:space="preserve">Het afwachten van de modernisering van het klachtrecht, en het advies van de </w:t>
      </w:r>
      <w:proofErr w:type="spellStart"/>
      <w:r w:rsidRPr="00ED3EB9">
        <w:t>NOvA</w:t>
      </w:r>
      <w:proofErr w:type="spellEnd"/>
      <w:r w:rsidRPr="00ED3EB9">
        <w:t xml:space="preserve"> over de inrichting daarvan</w:t>
      </w:r>
      <w:r>
        <w:t>, zou leiden tot meer vertraging van het wetstraject en de oprichting van de OTA.</w:t>
      </w:r>
      <w:r w:rsidR="003E711C">
        <w:t xml:space="preserve"> </w:t>
      </w:r>
      <w:r w:rsidR="004F47FF">
        <w:t>E</w:t>
      </w:r>
      <w:r w:rsidR="001B1BA8">
        <w:t xml:space="preserve">en </w:t>
      </w:r>
      <w:r w:rsidRPr="001B1BA8" w:rsidR="001B1BA8">
        <w:t>robuust en toekomstbestendig toezichtstelsel dat recht doe</w:t>
      </w:r>
      <w:r w:rsidR="001B1BA8">
        <w:t>t</w:t>
      </w:r>
      <w:r w:rsidRPr="001B1BA8" w:rsidR="001B1BA8">
        <w:t xml:space="preserve"> aan de bijzonder</w:t>
      </w:r>
      <w:r w:rsidR="004F47FF">
        <w:t>e</w:t>
      </w:r>
      <w:r w:rsidRPr="001B1BA8" w:rsidR="001B1BA8">
        <w:t xml:space="preserve"> rol en positie van de advocatuur in onze rechtsstaat</w:t>
      </w:r>
      <w:r w:rsidR="001B1BA8">
        <w:t xml:space="preserve"> </w:t>
      </w:r>
      <w:r w:rsidR="004F47FF">
        <w:lastRenderedPageBreak/>
        <w:t xml:space="preserve">kan </w:t>
      </w:r>
      <w:r w:rsidR="001B1BA8">
        <w:t xml:space="preserve">naar mijn mening </w:t>
      </w:r>
      <w:r w:rsidR="004F47FF">
        <w:t xml:space="preserve">echter </w:t>
      </w:r>
      <w:r w:rsidR="001B1BA8">
        <w:t xml:space="preserve">niet langer kan </w:t>
      </w:r>
      <w:r w:rsidRPr="00ED3EB9" w:rsidR="001B1BA8">
        <w:t>wachten.</w:t>
      </w:r>
      <w:r w:rsidRPr="00ED3EB9">
        <w:t xml:space="preserve"> Daarom ga ik voortvarend aan de slag met het wetsvoorstel </w:t>
      </w:r>
      <w:r w:rsidRPr="00ED3EB9" w:rsidR="00991296">
        <w:t>waarmee</w:t>
      </w:r>
      <w:r w:rsidRPr="00ED3EB9">
        <w:t xml:space="preserve"> de OTA</w:t>
      </w:r>
      <w:r w:rsidRPr="00ED3EB9" w:rsidR="00991296">
        <w:t xml:space="preserve"> wordt geïntroduceerd</w:t>
      </w:r>
      <w:r w:rsidRPr="00ED3EB9">
        <w:t xml:space="preserve">. </w:t>
      </w:r>
    </w:p>
    <w:p w:rsidRPr="00ED3EB9" w:rsidR="001B1BA8" w:rsidP="00E90977" w:rsidRDefault="001B1BA8" w14:paraId="24DFDF2C" w14:textId="77777777">
      <w:pPr>
        <w:jc w:val="both"/>
      </w:pPr>
    </w:p>
    <w:p w:rsidRPr="00ED3EB9" w:rsidR="001B1BA8" w:rsidP="00E90977" w:rsidRDefault="001B1BA8" w14:paraId="6BD6C916" w14:textId="5B0AE993">
      <w:pPr>
        <w:jc w:val="both"/>
      </w:pPr>
      <w:r w:rsidRPr="00ED3EB9">
        <w:rPr>
          <w:u w:val="single"/>
        </w:rPr>
        <w:t>Tot slot</w:t>
      </w:r>
    </w:p>
    <w:p w:rsidRPr="00ED3EB9" w:rsidR="00395FF4" w:rsidP="00E90977" w:rsidRDefault="00572D9D" w14:paraId="17394F0B" w14:textId="2DE9BC75">
      <w:pPr>
        <w:jc w:val="both"/>
      </w:pPr>
      <w:r w:rsidRPr="00ED3EB9">
        <w:t>Zoals hierboven gezegd zal</w:t>
      </w:r>
      <w:r w:rsidRPr="00ED3EB9" w:rsidR="001E66BC">
        <w:t xml:space="preserve"> </w:t>
      </w:r>
      <w:r w:rsidRPr="00ED3EB9">
        <w:t>voortvarend aan de slag worden gegaan met het wetstraject voor de versterking van het toezicht op de advocatuur en de oprichting van de OTA.</w:t>
      </w:r>
      <w:r w:rsidRPr="00ED3EB9" w:rsidR="00DF4671">
        <w:t xml:space="preserve"> </w:t>
      </w:r>
      <w:r w:rsidRPr="00ED3EB9" w:rsidR="00395FF4">
        <w:t xml:space="preserve">Ik realiseer mij dat de transitie van het huidige toezichtmodel naar de OTA zorgvuldig </w:t>
      </w:r>
      <w:r w:rsidRPr="00ED3EB9" w:rsidR="00E15D73">
        <w:t xml:space="preserve">zal </w:t>
      </w:r>
      <w:r w:rsidRPr="00ED3EB9" w:rsidR="00395FF4">
        <w:t xml:space="preserve">moeten worden vormgegeven. Hierover blijf ik in gesprek met de betrokken partijen in de advocatuur. </w:t>
      </w:r>
      <w:r w:rsidRPr="00ED3EB9">
        <w:t xml:space="preserve">De komende periode zal het wetsvoorstel gereed worden gemaakt voor consultatie. Ik verwacht dat het wetsvoorstel </w:t>
      </w:r>
      <w:r w:rsidRPr="00ED3EB9" w:rsidR="00B13036">
        <w:t xml:space="preserve">aan het </w:t>
      </w:r>
      <w:r w:rsidRPr="00ED3EB9">
        <w:t>eind</w:t>
      </w:r>
      <w:r w:rsidRPr="00ED3EB9" w:rsidR="00B13036">
        <w:t>e</w:t>
      </w:r>
      <w:r w:rsidRPr="00ED3EB9">
        <w:t xml:space="preserve"> van het eerste kwartaal van 2026 in consultatie kan gaan</w:t>
      </w:r>
      <w:r w:rsidRPr="00ED3EB9" w:rsidR="00395FF4">
        <w:t>. Ik zal uw Kamer v</w:t>
      </w:r>
      <w:r w:rsidRPr="00ED3EB9" w:rsidR="00797E2F">
        <w:t>óó</w:t>
      </w:r>
      <w:r w:rsidRPr="00ED3EB9" w:rsidR="00395FF4">
        <w:t>r de zomer van 2026 berichten over de voortgang van het wetstraject.</w:t>
      </w:r>
    </w:p>
    <w:p w:rsidRPr="00ED3EB9" w:rsidR="00572D9D" w:rsidP="00E90977" w:rsidRDefault="00572D9D" w14:paraId="7F6BD58B" w14:textId="77777777">
      <w:pPr>
        <w:jc w:val="both"/>
      </w:pPr>
    </w:p>
    <w:p w:rsidRPr="00ED3EB9" w:rsidR="001B1BA8" w:rsidP="00E90977" w:rsidRDefault="001B1BA8" w14:paraId="77655E2F" w14:textId="77777777">
      <w:pPr>
        <w:jc w:val="both"/>
      </w:pPr>
    </w:p>
    <w:p w:rsidR="00FC3465" w:rsidP="00E90977" w:rsidRDefault="00E90977" w14:paraId="51C81CCB" w14:textId="63A8D248">
      <w:pPr>
        <w:jc w:val="both"/>
      </w:pPr>
      <w:r w:rsidRPr="00ED3EB9">
        <w:t>De Staatssecretaris van Justitie en Veiligheid,</w:t>
      </w:r>
    </w:p>
    <w:p w:rsidR="00FC3465" w:rsidP="00E90977" w:rsidRDefault="00FC3465" w14:paraId="050570D7" w14:textId="77777777">
      <w:pPr>
        <w:jc w:val="both"/>
      </w:pPr>
    </w:p>
    <w:p w:rsidR="00FC3465" w:rsidP="00E90977" w:rsidRDefault="00FC3465" w14:paraId="2A2056BE" w14:textId="77777777">
      <w:pPr>
        <w:jc w:val="both"/>
      </w:pPr>
    </w:p>
    <w:p w:rsidR="00FC3465" w:rsidP="00E90977" w:rsidRDefault="00FC3465" w14:paraId="35AC8181" w14:textId="77777777">
      <w:pPr>
        <w:jc w:val="both"/>
      </w:pPr>
    </w:p>
    <w:p w:rsidR="00FC3465" w:rsidP="00E90977" w:rsidRDefault="00FC3465" w14:paraId="35F0FA78" w14:textId="77777777">
      <w:pPr>
        <w:jc w:val="both"/>
      </w:pPr>
    </w:p>
    <w:p w:rsidRPr="006447FA" w:rsidR="00ED3EB9" w:rsidP="00ED3EB9" w:rsidRDefault="00ED3EB9" w14:paraId="58D12E3C" w14:textId="77777777">
      <w:pPr>
        <w:rPr>
          <w:lang w:val="en-US"/>
        </w:rPr>
      </w:pPr>
      <w:proofErr w:type="spellStart"/>
      <w:r w:rsidRPr="006447FA">
        <w:rPr>
          <w:lang w:val="en-US"/>
        </w:rPr>
        <w:t>mr.</w:t>
      </w:r>
      <w:proofErr w:type="spellEnd"/>
      <w:r w:rsidRPr="006447FA">
        <w:rPr>
          <w:lang w:val="en-US"/>
        </w:rPr>
        <w:t xml:space="preserve"> A.C.L. Rutte</w:t>
      </w:r>
    </w:p>
    <w:p w:rsidR="00FC3465" w:rsidP="00E90977" w:rsidRDefault="00FC3465" w14:paraId="51C37E59" w14:textId="77777777">
      <w:pPr>
        <w:jc w:val="both"/>
      </w:pPr>
    </w:p>
    <w:p w:rsidR="00FC3465" w:rsidP="00E90977" w:rsidRDefault="00FC3465" w14:paraId="53D3078E" w14:textId="77777777">
      <w:pPr>
        <w:jc w:val="both"/>
      </w:pPr>
    </w:p>
    <w:p w:rsidR="00FC3465" w:rsidP="00E90977" w:rsidRDefault="00FC3465" w14:paraId="61D5A9A7" w14:textId="77777777">
      <w:pPr>
        <w:jc w:val="both"/>
      </w:pPr>
    </w:p>
    <w:p w:rsidR="00FC3465" w:rsidP="00E90977" w:rsidRDefault="00FC3465" w14:paraId="3D0B1980" w14:textId="77777777">
      <w:pPr>
        <w:jc w:val="both"/>
      </w:pPr>
    </w:p>
    <w:p w:rsidR="00FC3465" w:rsidP="00E90977" w:rsidRDefault="00FC3465" w14:paraId="6DDE2A39" w14:textId="77777777">
      <w:pPr>
        <w:jc w:val="both"/>
      </w:pPr>
    </w:p>
    <w:sectPr w:rsidR="00FC346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BC4A" w14:textId="77777777" w:rsidR="003C5FD3" w:rsidRDefault="003C5FD3">
      <w:pPr>
        <w:spacing w:line="240" w:lineRule="auto"/>
      </w:pPr>
      <w:r>
        <w:separator/>
      </w:r>
    </w:p>
  </w:endnote>
  <w:endnote w:type="continuationSeparator" w:id="0">
    <w:p w14:paraId="6B2833A5" w14:textId="77777777" w:rsidR="003C5FD3" w:rsidRDefault="003C5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4846" w14:textId="77777777" w:rsidR="00FC3465" w:rsidRDefault="00FC346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1D34" w14:textId="77777777" w:rsidR="003C5FD3" w:rsidRDefault="003C5FD3">
      <w:pPr>
        <w:spacing w:line="240" w:lineRule="auto"/>
      </w:pPr>
      <w:r>
        <w:separator/>
      </w:r>
    </w:p>
  </w:footnote>
  <w:footnote w:type="continuationSeparator" w:id="0">
    <w:p w14:paraId="1981983D" w14:textId="77777777" w:rsidR="003C5FD3" w:rsidRDefault="003C5FD3">
      <w:pPr>
        <w:spacing w:line="240" w:lineRule="auto"/>
      </w:pPr>
      <w:r>
        <w:continuationSeparator/>
      </w:r>
    </w:p>
  </w:footnote>
  <w:footnote w:id="1">
    <w:p w14:paraId="08FDDE51" w14:textId="09282FCF" w:rsidR="00321226" w:rsidRPr="00E36803" w:rsidRDefault="00321226">
      <w:pPr>
        <w:pStyle w:val="Voetnoottekst"/>
        <w:rPr>
          <w:sz w:val="16"/>
          <w:szCs w:val="16"/>
        </w:rPr>
      </w:pPr>
      <w:r w:rsidRPr="00E36803">
        <w:rPr>
          <w:rStyle w:val="Voetnootmarkering"/>
          <w:sz w:val="16"/>
          <w:szCs w:val="16"/>
        </w:rPr>
        <w:footnoteRef/>
      </w:r>
      <w:r w:rsidRPr="00E36803">
        <w:rPr>
          <w:sz w:val="16"/>
          <w:szCs w:val="16"/>
        </w:rPr>
        <w:t xml:space="preserve"> Kamerstukken </w:t>
      </w:r>
      <w:r w:rsidR="00A23139" w:rsidRPr="00E36803">
        <w:rPr>
          <w:sz w:val="16"/>
          <w:szCs w:val="16"/>
        </w:rPr>
        <w:t>II 2025</w:t>
      </w:r>
      <w:r w:rsidR="00991296">
        <w:rPr>
          <w:sz w:val="16"/>
          <w:szCs w:val="16"/>
        </w:rPr>
        <w:t>/</w:t>
      </w:r>
      <w:r w:rsidR="00A23139" w:rsidRPr="00E36803">
        <w:rPr>
          <w:sz w:val="16"/>
          <w:szCs w:val="16"/>
        </w:rPr>
        <w:t>26, 36583, nr. 16.</w:t>
      </w:r>
    </w:p>
  </w:footnote>
  <w:footnote w:id="2">
    <w:p w14:paraId="19CF4E83" w14:textId="72DB2644" w:rsidR="00AE0F84" w:rsidRPr="00BD241A" w:rsidRDefault="00AE0F84">
      <w:pPr>
        <w:pStyle w:val="Voetnoottekst"/>
        <w:rPr>
          <w:sz w:val="16"/>
          <w:szCs w:val="16"/>
        </w:rPr>
      </w:pPr>
      <w:r w:rsidRPr="00BD241A">
        <w:rPr>
          <w:rStyle w:val="Voetnootmarkering"/>
          <w:sz w:val="16"/>
          <w:szCs w:val="16"/>
        </w:rPr>
        <w:footnoteRef/>
      </w:r>
      <w:r w:rsidRPr="00BD241A">
        <w:rPr>
          <w:sz w:val="16"/>
          <w:szCs w:val="16"/>
        </w:rPr>
        <w:t xml:space="preserve"> </w:t>
      </w:r>
      <w:r w:rsidRPr="00AE0F84">
        <w:rPr>
          <w:sz w:val="16"/>
          <w:szCs w:val="16"/>
        </w:rPr>
        <w:t>Kamerstukken II 2024</w:t>
      </w:r>
      <w:r w:rsidR="00991296">
        <w:rPr>
          <w:sz w:val="16"/>
          <w:szCs w:val="16"/>
        </w:rPr>
        <w:t>/</w:t>
      </w:r>
      <w:r w:rsidRPr="00AE0F84">
        <w:rPr>
          <w:sz w:val="16"/>
          <w:szCs w:val="16"/>
        </w:rPr>
        <w:t>25,</w:t>
      </w:r>
      <w:r w:rsidRPr="00AE0F84">
        <w:rPr>
          <w:rFonts w:ascii="Arial" w:eastAsia="Times New Roman" w:hAnsi="Arial" w:cs="Arial"/>
          <w:color w:val="132439"/>
          <w:sz w:val="16"/>
          <w:szCs w:val="16"/>
        </w:rPr>
        <w:t xml:space="preserve"> </w:t>
      </w:r>
      <w:r w:rsidRPr="00AE0F84">
        <w:rPr>
          <w:sz w:val="16"/>
          <w:szCs w:val="16"/>
        </w:rPr>
        <w:t>29279, nr. 926.</w:t>
      </w:r>
    </w:p>
  </w:footnote>
  <w:footnote w:id="3">
    <w:p w14:paraId="345AB4D7" w14:textId="65BEDA36" w:rsidR="00A23139" w:rsidRPr="00E36803" w:rsidRDefault="00A23139">
      <w:pPr>
        <w:pStyle w:val="Voetnoottekst"/>
        <w:rPr>
          <w:sz w:val="16"/>
          <w:szCs w:val="16"/>
        </w:rPr>
      </w:pPr>
      <w:r w:rsidRPr="00E36803">
        <w:rPr>
          <w:rStyle w:val="Voetnootmarkering"/>
          <w:sz w:val="16"/>
          <w:szCs w:val="16"/>
        </w:rPr>
        <w:footnoteRef/>
      </w:r>
      <w:r w:rsidRPr="00E36803">
        <w:rPr>
          <w:sz w:val="16"/>
          <w:szCs w:val="16"/>
        </w:rPr>
        <w:t xml:space="preserve"> Kamerstukken II 2023</w:t>
      </w:r>
      <w:r w:rsidR="00991296">
        <w:rPr>
          <w:sz w:val="16"/>
          <w:szCs w:val="16"/>
        </w:rPr>
        <w:t>/</w:t>
      </w:r>
      <w:r w:rsidRPr="00E36803">
        <w:rPr>
          <w:sz w:val="16"/>
          <w:szCs w:val="16"/>
        </w:rPr>
        <w:t>24, 29 279, nr. 856.</w:t>
      </w:r>
    </w:p>
  </w:footnote>
  <w:footnote w:id="4">
    <w:p w14:paraId="200E3766" w14:textId="65C6246E" w:rsidR="00E36803" w:rsidRPr="00E90977" w:rsidRDefault="00E36803" w:rsidP="0026401E">
      <w:pPr>
        <w:pStyle w:val="Voetnoottekst"/>
        <w:rPr>
          <w:sz w:val="16"/>
          <w:szCs w:val="16"/>
        </w:rPr>
      </w:pPr>
      <w:r w:rsidRPr="00E90977">
        <w:rPr>
          <w:rStyle w:val="Voetnootmarkering"/>
          <w:sz w:val="16"/>
          <w:szCs w:val="16"/>
        </w:rPr>
        <w:footnoteRef/>
      </w:r>
      <w:r w:rsidRPr="00E90977">
        <w:rPr>
          <w:sz w:val="16"/>
          <w:szCs w:val="16"/>
        </w:rPr>
        <w:t xml:space="preserve"> </w:t>
      </w:r>
      <w:r w:rsidR="0026401E">
        <w:rPr>
          <w:sz w:val="16"/>
          <w:szCs w:val="16"/>
        </w:rPr>
        <w:t>Pro Facto,</w:t>
      </w:r>
      <w:r w:rsidR="0026401E" w:rsidRPr="0026401E">
        <w:rPr>
          <w:sz w:val="16"/>
          <w:szCs w:val="16"/>
        </w:rPr>
        <w:t xml:space="preserve"> </w:t>
      </w:r>
      <w:r w:rsidR="0026401E" w:rsidRPr="00BD241A">
        <w:rPr>
          <w:i/>
          <w:iCs/>
          <w:sz w:val="16"/>
          <w:szCs w:val="16"/>
        </w:rPr>
        <w:t>Toezicht, klacht- en tuchtrecht advocatuur: kader voor en verkenning van inrichtingsmodaliteiten</w:t>
      </w:r>
      <w:r w:rsidR="0026401E">
        <w:rPr>
          <w:sz w:val="16"/>
          <w:szCs w:val="16"/>
        </w:rPr>
        <w:t>, Groningen: juli 2025, via:</w:t>
      </w:r>
      <w:r w:rsidR="0026401E" w:rsidRPr="0026401E">
        <w:rPr>
          <w:sz w:val="16"/>
          <w:szCs w:val="16"/>
        </w:rPr>
        <w:t xml:space="preserve"> </w:t>
      </w:r>
      <w:r w:rsidR="0026401E">
        <w:rPr>
          <w:sz w:val="16"/>
          <w:szCs w:val="16"/>
        </w:rPr>
        <w:t xml:space="preserve"> </w:t>
      </w:r>
      <w:r w:rsidR="0052720E" w:rsidRPr="0052720E">
        <w:rPr>
          <w:sz w:val="16"/>
          <w:szCs w:val="16"/>
        </w:rPr>
        <w:t>https://www.advocatenorde.nl/nieuws/nova-start-met-onafhankelijk-toezichthouder-advocatuur-en-moderniseer-het-klachtrecht</w:t>
      </w:r>
      <w:r w:rsidRPr="00BD241A">
        <w:rPr>
          <w:sz w:val="16"/>
          <w:szCs w:val="16"/>
        </w:rPr>
        <w:t>.</w:t>
      </w:r>
    </w:p>
  </w:footnote>
  <w:footnote w:id="5">
    <w:p w14:paraId="7E66741C" w14:textId="7D706F7E" w:rsidR="00A23139" w:rsidRPr="00E36803" w:rsidRDefault="00A23139" w:rsidP="00A23139">
      <w:pPr>
        <w:pStyle w:val="Voetnoottekst"/>
        <w:rPr>
          <w:sz w:val="16"/>
          <w:szCs w:val="16"/>
        </w:rPr>
      </w:pPr>
      <w:r w:rsidRPr="00E36803">
        <w:rPr>
          <w:rStyle w:val="Voetnootmarkering"/>
          <w:sz w:val="16"/>
          <w:szCs w:val="16"/>
        </w:rPr>
        <w:footnoteRef/>
      </w:r>
      <w:r w:rsidRPr="00E36803">
        <w:rPr>
          <w:sz w:val="16"/>
          <w:szCs w:val="16"/>
        </w:rPr>
        <w:t xml:space="preserve"> Kamerstukken II 2024</w:t>
      </w:r>
      <w:r w:rsidR="00BD241A">
        <w:rPr>
          <w:sz w:val="16"/>
          <w:szCs w:val="16"/>
        </w:rPr>
        <w:t>/</w:t>
      </w:r>
      <w:r w:rsidRPr="00E36803">
        <w:rPr>
          <w:sz w:val="16"/>
          <w:szCs w:val="16"/>
        </w:rPr>
        <w:t>25,</w:t>
      </w:r>
      <w:r w:rsidRPr="00E36803">
        <w:rPr>
          <w:rFonts w:ascii="Arial" w:eastAsia="Times New Roman" w:hAnsi="Arial" w:cs="Arial"/>
          <w:color w:val="132439"/>
          <w:sz w:val="16"/>
          <w:szCs w:val="16"/>
        </w:rPr>
        <w:t xml:space="preserve"> </w:t>
      </w:r>
      <w:r w:rsidRPr="00E36803">
        <w:rPr>
          <w:sz w:val="16"/>
          <w:szCs w:val="16"/>
        </w:rPr>
        <w:t>29279, nr. 926.</w:t>
      </w:r>
    </w:p>
    <w:p w14:paraId="5681A813" w14:textId="791D1F1E" w:rsidR="00A23139" w:rsidRPr="00E90977" w:rsidRDefault="00A23139">
      <w:pPr>
        <w:pStyle w:val="Voetnoottekst"/>
        <w:rPr>
          <w:sz w:val="16"/>
          <w:szCs w:val="16"/>
        </w:rPr>
      </w:pPr>
      <w:r w:rsidRPr="00E36803">
        <w:rPr>
          <w:sz w:val="16"/>
          <w:szCs w:val="16"/>
        </w:rPr>
        <w:t xml:space="preserve"> </w:t>
      </w:r>
    </w:p>
  </w:footnote>
  <w:footnote w:id="6">
    <w:p w14:paraId="1CF52905" w14:textId="1DEC6DE9" w:rsidR="0026401E" w:rsidRPr="00BD241A" w:rsidRDefault="0026401E">
      <w:pPr>
        <w:pStyle w:val="Voetnoottekst"/>
        <w:rPr>
          <w:sz w:val="16"/>
          <w:szCs w:val="16"/>
        </w:rPr>
      </w:pPr>
      <w:r w:rsidRPr="00BD241A">
        <w:rPr>
          <w:rStyle w:val="Voetnootmarkering"/>
          <w:sz w:val="16"/>
          <w:szCs w:val="16"/>
        </w:rPr>
        <w:footnoteRef/>
      </w:r>
      <w:r w:rsidRPr="00BD241A">
        <w:rPr>
          <w:sz w:val="16"/>
          <w:szCs w:val="16"/>
        </w:rPr>
        <w:t xml:space="preserve"> Het kan daarbij zowel gaan om signalen uit individuele zaken als om signalen van meer algemene aard. </w:t>
      </w:r>
    </w:p>
  </w:footnote>
  <w:footnote w:id="7">
    <w:p w14:paraId="01C99B07" w14:textId="5D722550" w:rsidR="00B539D5" w:rsidRPr="00E36803" w:rsidRDefault="00B539D5">
      <w:pPr>
        <w:pStyle w:val="Voetnoottekst"/>
        <w:rPr>
          <w:sz w:val="16"/>
          <w:szCs w:val="16"/>
        </w:rPr>
      </w:pPr>
      <w:r w:rsidRPr="00E36803">
        <w:rPr>
          <w:rStyle w:val="Voetnootmarkering"/>
          <w:sz w:val="16"/>
          <w:szCs w:val="16"/>
        </w:rPr>
        <w:footnoteRef/>
      </w:r>
      <w:r w:rsidRPr="00E36803">
        <w:rPr>
          <w:sz w:val="16"/>
          <w:szCs w:val="16"/>
        </w:rPr>
        <w:t xml:space="preserve"> Zie: Kamerstukken II 202</w:t>
      </w:r>
      <w:r w:rsidR="00991296">
        <w:rPr>
          <w:sz w:val="16"/>
          <w:szCs w:val="16"/>
        </w:rPr>
        <w:t>2/</w:t>
      </w:r>
      <w:r w:rsidRPr="00E36803">
        <w:rPr>
          <w:sz w:val="16"/>
          <w:szCs w:val="16"/>
        </w:rPr>
        <w:t xml:space="preserve">23, 29 279, nr. 733 en Kamerstukken II 2022-2023, 29279, nr. 803. </w:t>
      </w:r>
    </w:p>
  </w:footnote>
  <w:footnote w:id="8">
    <w:p w14:paraId="53B104D2" w14:textId="66AC03C1" w:rsidR="00ED3BBA" w:rsidRPr="00E90977" w:rsidRDefault="00ED3BBA">
      <w:pPr>
        <w:pStyle w:val="Voetnoottekst"/>
        <w:rPr>
          <w:sz w:val="16"/>
          <w:szCs w:val="16"/>
        </w:rPr>
      </w:pPr>
      <w:r w:rsidRPr="00E36803">
        <w:rPr>
          <w:rStyle w:val="Voetnootmarkering"/>
          <w:sz w:val="16"/>
          <w:szCs w:val="16"/>
        </w:rPr>
        <w:footnoteRef/>
      </w:r>
      <w:r w:rsidRPr="00E36803">
        <w:rPr>
          <w:sz w:val="16"/>
          <w:szCs w:val="16"/>
        </w:rPr>
        <w:t xml:space="preserve"> Zie onder meer:</w:t>
      </w:r>
      <w:r w:rsidRPr="00E90977">
        <w:rPr>
          <w:sz w:val="16"/>
          <w:szCs w:val="16"/>
        </w:rPr>
        <w:t xml:space="preserve"> </w:t>
      </w:r>
      <w:r w:rsidR="00EE39F0" w:rsidRPr="00E36803">
        <w:rPr>
          <w:sz w:val="16"/>
          <w:szCs w:val="16"/>
        </w:rPr>
        <w:t>Kamerstukken II 2022</w:t>
      </w:r>
      <w:r w:rsidR="00991296">
        <w:rPr>
          <w:sz w:val="16"/>
          <w:szCs w:val="16"/>
        </w:rPr>
        <w:t>/</w:t>
      </w:r>
      <w:r w:rsidR="00EE39F0" w:rsidRPr="00E36803">
        <w:rPr>
          <w:sz w:val="16"/>
          <w:szCs w:val="16"/>
        </w:rPr>
        <w:t>23, 29 279, nr. 733 en Kamerstukken II 2022</w:t>
      </w:r>
      <w:r w:rsidR="00991296">
        <w:rPr>
          <w:sz w:val="16"/>
          <w:szCs w:val="16"/>
        </w:rPr>
        <w:t>/</w:t>
      </w:r>
      <w:r w:rsidR="00EE39F0" w:rsidRPr="00E36803">
        <w:rPr>
          <w:sz w:val="16"/>
          <w:szCs w:val="16"/>
        </w:rPr>
        <w:t>23, 29279, nr. 803.</w:t>
      </w:r>
    </w:p>
  </w:footnote>
  <w:footnote w:id="9">
    <w:p w14:paraId="3488536D" w14:textId="0770B0D4" w:rsidR="00B539D5" w:rsidRPr="00E36803" w:rsidRDefault="00B539D5" w:rsidP="00B539D5">
      <w:pPr>
        <w:pStyle w:val="Voetnoottekst"/>
        <w:rPr>
          <w:sz w:val="16"/>
          <w:szCs w:val="16"/>
        </w:rPr>
      </w:pPr>
      <w:r w:rsidRPr="00E36803">
        <w:rPr>
          <w:rStyle w:val="Voetnootmarkering"/>
          <w:sz w:val="16"/>
          <w:szCs w:val="16"/>
        </w:rPr>
        <w:footnoteRef/>
      </w:r>
      <w:r w:rsidRPr="00E36803">
        <w:rPr>
          <w:sz w:val="16"/>
          <w:szCs w:val="16"/>
        </w:rPr>
        <w:t xml:space="preserve"> Zie: Kamerstukken II 2022</w:t>
      </w:r>
      <w:r w:rsidR="00991296">
        <w:rPr>
          <w:sz w:val="16"/>
          <w:szCs w:val="16"/>
        </w:rPr>
        <w:t>/</w:t>
      </w:r>
      <w:r w:rsidRPr="00E36803">
        <w:rPr>
          <w:sz w:val="16"/>
          <w:szCs w:val="16"/>
        </w:rPr>
        <w:t>23, 29 279, nr. 733 en Kamerstukken II 2022</w:t>
      </w:r>
      <w:r w:rsidR="00991296">
        <w:rPr>
          <w:sz w:val="16"/>
          <w:szCs w:val="16"/>
        </w:rPr>
        <w:t>/</w:t>
      </w:r>
      <w:r w:rsidRPr="00E36803">
        <w:rPr>
          <w:sz w:val="16"/>
          <w:szCs w:val="16"/>
        </w:rPr>
        <w:t xml:space="preserve">23, 29279, nr. 803. </w:t>
      </w:r>
    </w:p>
    <w:p w14:paraId="01E09756" w14:textId="6CF55F47" w:rsidR="00B539D5" w:rsidRPr="00E90977" w:rsidRDefault="00B539D5">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8B47" w14:textId="77777777" w:rsidR="00FC3465" w:rsidRDefault="00B22D09">
    <w:r>
      <w:rPr>
        <w:noProof/>
      </w:rPr>
      <mc:AlternateContent>
        <mc:Choice Requires="wps">
          <w:drawing>
            <wp:anchor distT="0" distB="0" distL="0" distR="0" simplePos="0" relativeHeight="251652608" behindDoc="0" locked="1" layoutInCell="1" allowOverlap="1" wp14:anchorId="6450B80F" wp14:editId="07B2064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BCFCEB" w14:textId="77777777" w:rsidR="00FC3465" w:rsidRDefault="00B22D09">
                          <w:pPr>
                            <w:pStyle w:val="Referentiegegevensbold"/>
                          </w:pPr>
                          <w:r>
                            <w:t>Directoraat-Generaal Rechtspleging en Rechtshandhaving</w:t>
                          </w:r>
                        </w:p>
                        <w:p w14:paraId="053FB44B" w14:textId="77777777" w:rsidR="00FC3465" w:rsidRDefault="00B22D09">
                          <w:pPr>
                            <w:pStyle w:val="Referentiegegevens"/>
                          </w:pPr>
                          <w:r>
                            <w:t>Directie Rechtsbestel</w:t>
                          </w:r>
                        </w:p>
                        <w:p w14:paraId="77F44A87" w14:textId="77777777" w:rsidR="00FC3465" w:rsidRDefault="00B22D09">
                          <w:pPr>
                            <w:pStyle w:val="Referentiegegevens"/>
                          </w:pPr>
                          <w:r>
                            <w:t>Toegang Rechtsbestel</w:t>
                          </w:r>
                        </w:p>
                        <w:p w14:paraId="71DC2077" w14:textId="77777777" w:rsidR="00FC3465" w:rsidRDefault="00FC3465">
                          <w:pPr>
                            <w:pStyle w:val="WitregelW2"/>
                          </w:pPr>
                        </w:p>
                        <w:p w14:paraId="24D66626" w14:textId="77777777" w:rsidR="00FC3465" w:rsidRDefault="00B22D09">
                          <w:pPr>
                            <w:pStyle w:val="Referentiegegevensbold"/>
                          </w:pPr>
                          <w:r>
                            <w:t>Datum</w:t>
                          </w:r>
                        </w:p>
                        <w:p w14:paraId="50198F74" w14:textId="3B763799" w:rsidR="00FC3465" w:rsidRDefault="00B22D09">
                          <w:pPr>
                            <w:pStyle w:val="Referentiegegevens"/>
                          </w:pPr>
                          <w:sdt>
                            <w:sdtPr>
                              <w:id w:val="1222021033"/>
                              <w:date w:fullDate="2025-12-18T00:00:00Z">
                                <w:dateFormat w:val="d MMMM yyyy"/>
                                <w:lid w:val="nl"/>
                                <w:storeMappedDataAs w:val="dateTime"/>
                                <w:calendar w:val="gregorian"/>
                              </w:date>
                            </w:sdtPr>
                            <w:sdtEndPr/>
                            <w:sdtContent>
                              <w:r w:rsidR="00ED3EB9">
                                <w:rPr>
                                  <w:lang w:val="nl"/>
                                </w:rPr>
                                <w:t>18 december 2025</w:t>
                              </w:r>
                            </w:sdtContent>
                          </w:sdt>
                        </w:p>
                        <w:p w14:paraId="7FA13233" w14:textId="77777777" w:rsidR="00FC3465" w:rsidRDefault="00FC3465">
                          <w:pPr>
                            <w:pStyle w:val="WitregelW1"/>
                          </w:pPr>
                        </w:p>
                        <w:p w14:paraId="660FBF4B" w14:textId="77777777" w:rsidR="00FC3465" w:rsidRDefault="00B22D09">
                          <w:pPr>
                            <w:pStyle w:val="Referentiegegevensbold"/>
                          </w:pPr>
                          <w:r>
                            <w:t>Onze referentie</w:t>
                          </w:r>
                        </w:p>
                        <w:p w14:paraId="052A8853" w14:textId="77777777" w:rsidR="00FC3465" w:rsidRDefault="00B22D09">
                          <w:pPr>
                            <w:pStyle w:val="Referentiegegevens"/>
                          </w:pPr>
                          <w:r>
                            <w:t>6943540</w:t>
                          </w:r>
                        </w:p>
                      </w:txbxContent>
                    </wps:txbx>
                    <wps:bodyPr vert="horz" wrap="square" lIns="0" tIns="0" rIns="0" bIns="0" anchor="t" anchorCtr="0"/>
                  </wps:wsp>
                </a:graphicData>
              </a:graphic>
            </wp:anchor>
          </w:drawing>
        </mc:Choice>
        <mc:Fallback>
          <w:pict>
            <v:shapetype w14:anchorId="6450B80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8BCFCEB" w14:textId="77777777" w:rsidR="00FC3465" w:rsidRDefault="00B22D09">
                    <w:pPr>
                      <w:pStyle w:val="Referentiegegevensbold"/>
                    </w:pPr>
                    <w:r>
                      <w:t>Directoraat-Generaal Rechtspleging en Rechtshandhaving</w:t>
                    </w:r>
                  </w:p>
                  <w:p w14:paraId="053FB44B" w14:textId="77777777" w:rsidR="00FC3465" w:rsidRDefault="00B22D09">
                    <w:pPr>
                      <w:pStyle w:val="Referentiegegevens"/>
                    </w:pPr>
                    <w:r>
                      <w:t>Directie Rechtsbestel</w:t>
                    </w:r>
                  </w:p>
                  <w:p w14:paraId="77F44A87" w14:textId="77777777" w:rsidR="00FC3465" w:rsidRDefault="00B22D09">
                    <w:pPr>
                      <w:pStyle w:val="Referentiegegevens"/>
                    </w:pPr>
                    <w:r>
                      <w:t>Toegang Rechtsbestel</w:t>
                    </w:r>
                  </w:p>
                  <w:p w14:paraId="71DC2077" w14:textId="77777777" w:rsidR="00FC3465" w:rsidRDefault="00FC3465">
                    <w:pPr>
                      <w:pStyle w:val="WitregelW2"/>
                    </w:pPr>
                  </w:p>
                  <w:p w14:paraId="24D66626" w14:textId="77777777" w:rsidR="00FC3465" w:rsidRDefault="00B22D09">
                    <w:pPr>
                      <w:pStyle w:val="Referentiegegevensbold"/>
                    </w:pPr>
                    <w:r>
                      <w:t>Datum</w:t>
                    </w:r>
                  </w:p>
                  <w:p w14:paraId="50198F74" w14:textId="3B763799" w:rsidR="00FC3465" w:rsidRDefault="00B22D09">
                    <w:pPr>
                      <w:pStyle w:val="Referentiegegevens"/>
                    </w:pPr>
                    <w:sdt>
                      <w:sdtPr>
                        <w:id w:val="1222021033"/>
                        <w:date w:fullDate="2025-12-18T00:00:00Z">
                          <w:dateFormat w:val="d MMMM yyyy"/>
                          <w:lid w:val="nl"/>
                          <w:storeMappedDataAs w:val="dateTime"/>
                          <w:calendar w:val="gregorian"/>
                        </w:date>
                      </w:sdtPr>
                      <w:sdtEndPr/>
                      <w:sdtContent>
                        <w:r w:rsidR="00ED3EB9">
                          <w:rPr>
                            <w:lang w:val="nl"/>
                          </w:rPr>
                          <w:t>18 december 2025</w:t>
                        </w:r>
                      </w:sdtContent>
                    </w:sdt>
                  </w:p>
                  <w:p w14:paraId="7FA13233" w14:textId="77777777" w:rsidR="00FC3465" w:rsidRDefault="00FC3465">
                    <w:pPr>
                      <w:pStyle w:val="WitregelW1"/>
                    </w:pPr>
                  </w:p>
                  <w:p w14:paraId="660FBF4B" w14:textId="77777777" w:rsidR="00FC3465" w:rsidRDefault="00B22D09">
                    <w:pPr>
                      <w:pStyle w:val="Referentiegegevensbold"/>
                    </w:pPr>
                    <w:r>
                      <w:t>Onze referentie</w:t>
                    </w:r>
                  </w:p>
                  <w:p w14:paraId="052A8853" w14:textId="77777777" w:rsidR="00FC3465" w:rsidRDefault="00B22D09">
                    <w:pPr>
                      <w:pStyle w:val="Referentiegegevens"/>
                    </w:pPr>
                    <w:r>
                      <w:t>6943540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A75158" wp14:editId="54E873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FD3D60" w14:textId="77777777" w:rsidR="004D6237" w:rsidRDefault="004D6237"/>
                      </w:txbxContent>
                    </wps:txbx>
                    <wps:bodyPr vert="horz" wrap="square" lIns="0" tIns="0" rIns="0" bIns="0" anchor="t" anchorCtr="0"/>
                  </wps:wsp>
                </a:graphicData>
              </a:graphic>
            </wp:anchor>
          </w:drawing>
        </mc:Choice>
        <mc:Fallback>
          <w:pict>
            <v:shape w14:anchorId="53A7515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CFD3D60" w14:textId="77777777" w:rsidR="004D6237" w:rsidRDefault="004D623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9E7AD1" wp14:editId="7EDAA16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40ACC5" w14:textId="034BF413" w:rsidR="00FC3465" w:rsidRDefault="00B22D09">
                          <w:pPr>
                            <w:pStyle w:val="Referentiegegevens"/>
                          </w:pPr>
                          <w:r>
                            <w:t xml:space="preserve">Pagina </w:t>
                          </w:r>
                          <w:r>
                            <w:fldChar w:fldCharType="begin"/>
                          </w:r>
                          <w:r>
                            <w:instrText>PAGE</w:instrText>
                          </w:r>
                          <w:r>
                            <w:fldChar w:fldCharType="separate"/>
                          </w:r>
                          <w:r w:rsidR="00A23139">
                            <w:rPr>
                              <w:noProof/>
                            </w:rPr>
                            <w:t>2</w:t>
                          </w:r>
                          <w:r>
                            <w:fldChar w:fldCharType="end"/>
                          </w:r>
                          <w:r>
                            <w:t xml:space="preserve"> van </w:t>
                          </w:r>
                          <w:r>
                            <w:fldChar w:fldCharType="begin"/>
                          </w:r>
                          <w:r>
                            <w:instrText>NUMPAGES</w:instrText>
                          </w:r>
                          <w:r>
                            <w:fldChar w:fldCharType="separate"/>
                          </w:r>
                          <w:r w:rsidR="00321226">
                            <w:rPr>
                              <w:noProof/>
                            </w:rPr>
                            <w:t>1</w:t>
                          </w:r>
                          <w:r>
                            <w:fldChar w:fldCharType="end"/>
                          </w:r>
                        </w:p>
                      </w:txbxContent>
                    </wps:txbx>
                    <wps:bodyPr vert="horz" wrap="square" lIns="0" tIns="0" rIns="0" bIns="0" anchor="t" anchorCtr="0"/>
                  </wps:wsp>
                </a:graphicData>
              </a:graphic>
            </wp:anchor>
          </w:drawing>
        </mc:Choice>
        <mc:Fallback>
          <w:pict>
            <v:shape w14:anchorId="749E7AD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840ACC5" w14:textId="034BF413" w:rsidR="00FC3465" w:rsidRDefault="00B22D09">
                    <w:pPr>
                      <w:pStyle w:val="Referentiegegevens"/>
                    </w:pPr>
                    <w:r>
                      <w:t xml:space="preserve">Pagina </w:t>
                    </w:r>
                    <w:r>
                      <w:fldChar w:fldCharType="begin"/>
                    </w:r>
                    <w:r>
                      <w:instrText>PAGE</w:instrText>
                    </w:r>
                    <w:r>
                      <w:fldChar w:fldCharType="separate"/>
                    </w:r>
                    <w:r w:rsidR="00A23139">
                      <w:rPr>
                        <w:noProof/>
                      </w:rPr>
                      <w:t>2</w:t>
                    </w:r>
                    <w:r>
                      <w:fldChar w:fldCharType="end"/>
                    </w:r>
                    <w:r>
                      <w:t xml:space="preserve"> van </w:t>
                    </w:r>
                    <w:r>
                      <w:fldChar w:fldCharType="begin"/>
                    </w:r>
                    <w:r>
                      <w:instrText>NUMPAGES</w:instrText>
                    </w:r>
                    <w:r>
                      <w:fldChar w:fldCharType="separate"/>
                    </w:r>
                    <w:r w:rsidR="0032122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A4E3" w14:textId="77777777" w:rsidR="00FC3465" w:rsidRDefault="00B22D09">
    <w:pPr>
      <w:spacing w:after="6377" w:line="14" w:lineRule="exact"/>
    </w:pPr>
    <w:r>
      <w:rPr>
        <w:noProof/>
      </w:rPr>
      <mc:AlternateContent>
        <mc:Choice Requires="wps">
          <w:drawing>
            <wp:anchor distT="0" distB="0" distL="0" distR="0" simplePos="0" relativeHeight="251655680" behindDoc="0" locked="1" layoutInCell="1" allowOverlap="1" wp14:anchorId="246FDC65" wp14:editId="7266C3A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FF71BD" w14:textId="7679072E" w:rsidR="00FC3465" w:rsidRDefault="00B22D09">
                          <w:r>
                            <w:t xml:space="preserve">Aan de Voorzitter van de Tweede Kamer </w:t>
                          </w:r>
                          <w:r w:rsidR="00ED3EB9">
                            <w:br/>
                          </w:r>
                          <w:r>
                            <w:t>der Staten-Generaal</w:t>
                          </w:r>
                        </w:p>
                        <w:p w14:paraId="28BB529A" w14:textId="77777777" w:rsidR="00FC3465" w:rsidRDefault="00B22D09">
                          <w:r>
                            <w:t xml:space="preserve">Postbus 20018 </w:t>
                          </w:r>
                        </w:p>
                        <w:p w14:paraId="355CAA00" w14:textId="77777777" w:rsidR="00FC3465" w:rsidRDefault="00B22D09">
                          <w:r>
                            <w:t>2500 EA  DEN HAAG</w:t>
                          </w:r>
                        </w:p>
                      </w:txbxContent>
                    </wps:txbx>
                    <wps:bodyPr vert="horz" wrap="square" lIns="0" tIns="0" rIns="0" bIns="0" anchor="t" anchorCtr="0"/>
                  </wps:wsp>
                </a:graphicData>
              </a:graphic>
            </wp:anchor>
          </w:drawing>
        </mc:Choice>
        <mc:Fallback>
          <w:pict>
            <v:shapetype w14:anchorId="246FDC6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FF71BD" w14:textId="7679072E" w:rsidR="00FC3465" w:rsidRDefault="00B22D09">
                    <w:r>
                      <w:t xml:space="preserve">Aan de Voorzitter van de Tweede Kamer </w:t>
                    </w:r>
                    <w:r w:rsidR="00ED3EB9">
                      <w:br/>
                    </w:r>
                    <w:r>
                      <w:t>der Staten-Generaal</w:t>
                    </w:r>
                  </w:p>
                  <w:p w14:paraId="28BB529A" w14:textId="77777777" w:rsidR="00FC3465" w:rsidRDefault="00B22D09">
                    <w:r>
                      <w:t xml:space="preserve">Postbus 20018 </w:t>
                    </w:r>
                  </w:p>
                  <w:p w14:paraId="355CAA00" w14:textId="77777777" w:rsidR="00FC3465" w:rsidRDefault="00B22D0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6D3AB4" wp14:editId="41129C43">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C3465" w14:paraId="70FD6CE6" w14:textId="77777777">
                            <w:trPr>
                              <w:trHeight w:val="240"/>
                            </w:trPr>
                            <w:tc>
                              <w:tcPr>
                                <w:tcW w:w="1140" w:type="dxa"/>
                              </w:tcPr>
                              <w:p w14:paraId="78AB22CE" w14:textId="77777777" w:rsidR="00FC3465" w:rsidRDefault="00B22D09">
                                <w:r>
                                  <w:t>Datum</w:t>
                                </w:r>
                              </w:p>
                            </w:tc>
                            <w:tc>
                              <w:tcPr>
                                <w:tcW w:w="5918" w:type="dxa"/>
                              </w:tcPr>
                              <w:p w14:paraId="58633537" w14:textId="4680F69A" w:rsidR="00FC3465" w:rsidRDefault="00B22D09">
                                <w:sdt>
                                  <w:sdtPr>
                                    <w:id w:val="-2122445146"/>
                                    <w:date w:fullDate="2025-12-18T00:00:00Z">
                                      <w:dateFormat w:val="d MMMM yyyy"/>
                                      <w:lid w:val="nl"/>
                                      <w:storeMappedDataAs w:val="dateTime"/>
                                      <w:calendar w:val="gregorian"/>
                                    </w:date>
                                  </w:sdtPr>
                                  <w:sdtEndPr/>
                                  <w:sdtContent>
                                    <w:r w:rsidR="00DF62D6">
                                      <w:rPr>
                                        <w:lang w:val="nl"/>
                                      </w:rPr>
                                      <w:t>18 december 2025</w:t>
                                    </w:r>
                                  </w:sdtContent>
                                </w:sdt>
                              </w:p>
                            </w:tc>
                          </w:tr>
                          <w:tr w:rsidR="00FC3465" w14:paraId="7983BDC8" w14:textId="77777777">
                            <w:trPr>
                              <w:trHeight w:val="240"/>
                            </w:trPr>
                            <w:tc>
                              <w:tcPr>
                                <w:tcW w:w="1140" w:type="dxa"/>
                              </w:tcPr>
                              <w:p w14:paraId="45479F4D" w14:textId="77777777" w:rsidR="00FC3465" w:rsidRDefault="00B22D09">
                                <w:r>
                                  <w:t>Betreft</w:t>
                                </w:r>
                              </w:p>
                            </w:tc>
                            <w:tc>
                              <w:tcPr>
                                <w:tcW w:w="5918" w:type="dxa"/>
                              </w:tcPr>
                              <w:p w14:paraId="67B72E9A" w14:textId="77777777" w:rsidR="00FC3465" w:rsidRDefault="00B22D09">
                                <w:r>
                                  <w:t>Voortgang versterking toezicht advocatuur</w:t>
                                </w:r>
                              </w:p>
                            </w:tc>
                          </w:tr>
                        </w:tbl>
                        <w:p w14:paraId="4E149AD1" w14:textId="77777777" w:rsidR="004D6237" w:rsidRDefault="004D623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6D3AB4"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C3465" w14:paraId="70FD6CE6" w14:textId="77777777">
                      <w:trPr>
                        <w:trHeight w:val="240"/>
                      </w:trPr>
                      <w:tc>
                        <w:tcPr>
                          <w:tcW w:w="1140" w:type="dxa"/>
                        </w:tcPr>
                        <w:p w14:paraId="78AB22CE" w14:textId="77777777" w:rsidR="00FC3465" w:rsidRDefault="00B22D09">
                          <w:r>
                            <w:t>Datum</w:t>
                          </w:r>
                        </w:p>
                      </w:tc>
                      <w:tc>
                        <w:tcPr>
                          <w:tcW w:w="5918" w:type="dxa"/>
                        </w:tcPr>
                        <w:p w14:paraId="58633537" w14:textId="4680F69A" w:rsidR="00FC3465" w:rsidRDefault="00B22D09">
                          <w:sdt>
                            <w:sdtPr>
                              <w:id w:val="-2122445146"/>
                              <w:date w:fullDate="2025-12-18T00:00:00Z">
                                <w:dateFormat w:val="d MMMM yyyy"/>
                                <w:lid w:val="nl"/>
                                <w:storeMappedDataAs w:val="dateTime"/>
                                <w:calendar w:val="gregorian"/>
                              </w:date>
                            </w:sdtPr>
                            <w:sdtEndPr/>
                            <w:sdtContent>
                              <w:r w:rsidR="00DF62D6">
                                <w:rPr>
                                  <w:lang w:val="nl"/>
                                </w:rPr>
                                <w:t>18 december 2025</w:t>
                              </w:r>
                            </w:sdtContent>
                          </w:sdt>
                        </w:p>
                      </w:tc>
                    </w:tr>
                    <w:tr w:rsidR="00FC3465" w14:paraId="7983BDC8" w14:textId="77777777">
                      <w:trPr>
                        <w:trHeight w:val="240"/>
                      </w:trPr>
                      <w:tc>
                        <w:tcPr>
                          <w:tcW w:w="1140" w:type="dxa"/>
                        </w:tcPr>
                        <w:p w14:paraId="45479F4D" w14:textId="77777777" w:rsidR="00FC3465" w:rsidRDefault="00B22D09">
                          <w:r>
                            <w:t>Betreft</w:t>
                          </w:r>
                        </w:p>
                      </w:tc>
                      <w:tc>
                        <w:tcPr>
                          <w:tcW w:w="5918" w:type="dxa"/>
                        </w:tcPr>
                        <w:p w14:paraId="67B72E9A" w14:textId="77777777" w:rsidR="00FC3465" w:rsidRDefault="00B22D09">
                          <w:r>
                            <w:t>Voortgang versterking toezicht advocatuur</w:t>
                          </w:r>
                        </w:p>
                      </w:tc>
                    </w:tr>
                  </w:tbl>
                  <w:p w14:paraId="4E149AD1" w14:textId="77777777" w:rsidR="004D6237" w:rsidRDefault="004D623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94DA250" wp14:editId="2258A7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D30CC1" w14:textId="77777777" w:rsidR="00FC3465" w:rsidRDefault="00B22D09">
                          <w:pPr>
                            <w:pStyle w:val="Referentiegegevensbold"/>
                          </w:pPr>
                          <w:r>
                            <w:t>Directoraat-Generaal Rechtspleging en Rechtshandhaving</w:t>
                          </w:r>
                        </w:p>
                        <w:p w14:paraId="6B9D3BBA" w14:textId="77777777" w:rsidR="00FC3465" w:rsidRDefault="00B22D09">
                          <w:pPr>
                            <w:pStyle w:val="Referentiegegevens"/>
                          </w:pPr>
                          <w:r>
                            <w:t>Directie Rechtsbestel</w:t>
                          </w:r>
                        </w:p>
                        <w:p w14:paraId="0A0932E7" w14:textId="77777777" w:rsidR="00FC3465" w:rsidRDefault="00B22D09">
                          <w:pPr>
                            <w:pStyle w:val="Referentiegegevens"/>
                          </w:pPr>
                          <w:r>
                            <w:t>Toegang Rechtsbestel</w:t>
                          </w:r>
                        </w:p>
                        <w:p w14:paraId="1DF283CA" w14:textId="77777777" w:rsidR="00FC3465" w:rsidRDefault="00FC3465">
                          <w:pPr>
                            <w:pStyle w:val="WitregelW1"/>
                          </w:pPr>
                        </w:p>
                        <w:p w14:paraId="7BB694E0" w14:textId="77777777" w:rsidR="00FC3465" w:rsidRDefault="00B22D09">
                          <w:pPr>
                            <w:pStyle w:val="Referentiegegevens"/>
                          </w:pPr>
                          <w:r>
                            <w:t>Turfmarkt 147</w:t>
                          </w:r>
                        </w:p>
                        <w:p w14:paraId="267A53EE" w14:textId="77777777" w:rsidR="00FC3465" w:rsidRDefault="00B22D09">
                          <w:pPr>
                            <w:pStyle w:val="Referentiegegevens"/>
                          </w:pPr>
                          <w:r>
                            <w:t>2511 DP   Den Haag</w:t>
                          </w:r>
                        </w:p>
                        <w:p w14:paraId="3DF2A35C" w14:textId="77777777" w:rsidR="00FC3465" w:rsidRPr="00934B5C" w:rsidRDefault="00B22D09">
                          <w:pPr>
                            <w:pStyle w:val="Referentiegegevens"/>
                            <w:rPr>
                              <w:lang w:val="de-DE"/>
                            </w:rPr>
                          </w:pPr>
                          <w:r w:rsidRPr="00934B5C">
                            <w:rPr>
                              <w:lang w:val="de-DE"/>
                            </w:rPr>
                            <w:t>Postbus 20301</w:t>
                          </w:r>
                        </w:p>
                        <w:p w14:paraId="2071C85B" w14:textId="77777777" w:rsidR="00FC3465" w:rsidRPr="00934B5C" w:rsidRDefault="00B22D09">
                          <w:pPr>
                            <w:pStyle w:val="Referentiegegevens"/>
                            <w:rPr>
                              <w:lang w:val="de-DE"/>
                            </w:rPr>
                          </w:pPr>
                          <w:r w:rsidRPr="00934B5C">
                            <w:rPr>
                              <w:lang w:val="de-DE"/>
                            </w:rPr>
                            <w:t xml:space="preserve">2500 EH  </w:t>
                          </w:r>
                          <w:r w:rsidRPr="00934B5C">
                            <w:rPr>
                              <w:lang w:val="de-DE"/>
                            </w:rPr>
                            <w:t xml:space="preserve"> Den Haag</w:t>
                          </w:r>
                        </w:p>
                        <w:p w14:paraId="48200CEC" w14:textId="77777777" w:rsidR="00FC3465" w:rsidRPr="00934B5C" w:rsidRDefault="00B22D09">
                          <w:pPr>
                            <w:pStyle w:val="Referentiegegevens"/>
                            <w:rPr>
                              <w:lang w:val="de-DE"/>
                            </w:rPr>
                          </w:pPr>
                          <w:r w:rsidRPr="00934B5C">
                            <w:rPr>
                              <w:lang w:val="de-DE"/>
                            </w:rPr>
                            <w:t>www.rijksoverheid.nl/jenv</w:t>
                          </w:r>
                        </w:p>
                        <w:p w14:paraId="109C869D" w14:textId="77777777" w:rsidR="00FC3465" w:rsidRPr="00934B5C" w:rsidRDefault="00FC3465">
                          <w:pPr>
                            <w:pStyle w:val="WitregelW2"/>
                            <w:rPr>
                              <w:lang w:val="de-DE"/>
                            </w:rPr>
                          </w:pPr>
                        </w:p>
                        <w:p w14:paraId="5FE4F672" w14:textId="77777777" w:rsidR="00FC3465" w:rsidRDefault="00B22D09">
                          <w:pPr>
                            <w:pStyle w:val="Referentiegegevensbold"/>
                          </w:pPr>
                          <w:r>
                            <w:t>Onze referentie</w:t>
                          </w:r>
                        </w:p>
                        <w:p w14:paraId="6DCF6334" w14:textId="77777777" w:rsidR="00FC3465" w:rsidRDefault="00B22D09">
                          <w:pPr>
                            <w:pStyle w:val="Referentiegegevens"/>
                          </w:pPr>
                          <w:r>
                            <w:t>6943540</w:t>
                          </w:r>
                        </w:p>
                        <w:p w14:paraId="5868BD0E" w14:textId="77777777" w:rsidR="00ED3EB9" w:rsidRDefault="00ED3EB9" w:rsidP="00ED3EB9"/>
                        <w:p w14:paraId="69F351E3" w14:textId="4A7903ED" w:rsidR="00ED3EB9" w:rsidRPr="00ED3EB9" w:rsidRDefault="00ED3EB9" w:rsidP="00ED3EB9">
                          <w:pPr>
                            <w:rPr>
                              <w:sz w:val="13"/>
                              <w:szCs w:val="13"/>
                            </w:rPr>
                          </w:pPr>
                          <w:r w:rsidRPr="00ED3EB9">
                            <w:rPr>
                              <w:b/>
                              <w:bCs/>
                              <w:sz w:val="13"/>
                              <w:szCs w:val="13"/>
                            </w:rPr>
                            <w:t>Bijlagen</w:t>
                          </w:r>
                          <w:r w:rsidRPr="00ED3EB9">
                            <w:rPr>
                              <w:sz w:val="13"/>
                              <w:szCs w:val="13"/>
                            </w:rPr>
                            <w:br/>
                            <w:t>2</w:t>
                          </w:r>
                        </w:p>
                      </w:txbxContent>
                    </wps:txbx>
                    <wps:bodyPr vert="horz" wrap="square" lIns="0" tIns="0" rIns="0" bIns="0" anchor="t" anchorCtr="0"/>
                  </wps:wsp>
                </a:graphicData>
              </a:graphic>
            </wp:anchor>
          </w:drawing>
        </mc:Choice>
        <mc:Fallback>
          <w:pict>
            <v:shape w14:anchorId="294DA25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D30CC1" w14:textId="77777777" w:rsidR="00FC3465" w:rsidRDefault="00B22D09">
                    <w:pPr>
                      <w:pStyle w:val="Referentiegegevensbold"/>
                    </w:pPr>
                    <w:r>
                      <w:t>Directoraat-Generaal Rechtspleging en Rechtshandhaving</w:t>
                    </w:r>
                  </w:p>
                  <w:p w14:paraId="6B9D3BBA" w14:textId="77777777" w:rsidR="00FC3465" w:rsidRDefault="00B22D09">
                    <w:pPr>
                      <w:pStyle w:val="Referentiegegevens"/>
                    </w:pPr>
                    <w:r>
                      <w:t>Directie Rechtsbestel</w:t>
                    </w:r>
                  </w:p>
                  <w:p w14:paraId="0A0932E7" w14:textId="77777777" w:rsidR="00FC3465" w:rsidRDefault="00B22D09">
                    <w:pPr>
                      <w:pStyle w:val="Referentiegegevens"/>
                    </w:pPr>
                    <w:r>
                      <w:t>Toegang Rechtsbestel</w:t>
                    </w:r>
                  </w:p>
                  <w:p w14:paraId="1DF283CA" w14:textId="77777777" w:rsidR="00FC3465" w:rsidRDefault="00FC3465">
                    <w:pPr>
                      <w:pStyle w:val="WitregelW1"/>
                    </w:pPr>
                  </w:p>
                  <w:p w14:paraId="7BB694E0" w14:textId="77777777" w:rsidR="00FC3465" w:rsidRDefault="00B22D09">
                    <w:pPr>
                      <w:pStyle w:val="Referentiegegevens"/>
                    </w:pPr>
                    <w:r>
                      <w:t>Turfmarkt 147</w:t>
                    </w:r>
                  </w:p>
                  <w:p w14:paraId="267A53EE" w14:textId="77777777" w:rsidR="00FC3465" w:rsidRDefault="00B22D09">
                    <w:pPr>
                      <w:pStyle w:val="Referentiegegevens"/>
                    </w:pPr>
                    <w:r>
                      <w:t>2511 DP   Den Haag</w:t>
                    </w:r>
                  </w:p>
                  <w:p w14:paraId="3DF2A35C" w14:textId="77777777" w:rsidR="00FC3465" w:rsidRPr="00934B5C" w:rsidRDefault="00B22D09">
                    <w:pPr>
                      <w:pStyle w:val="Referentiegegevens"/>
                      <w:rPr>
                        <w:lang w:val="de-DE"/>
                      </w:rPr>
                    </w:pPr>
                    <w:r w:rsidRPr="00934B5C">
                      <w:rPr>
                        <w:lang w:val="de-DE"/>
                      </w:rPr>
                      <w:t>Postbus 20301</w:t>
                    </w:r>
                  </w:p>
                  <w:p w14:paraId="2071C85B" w14:textId="77777777" w:rsidR="00FC3465" w:rsidRPr="00934B5C" w:rsidRDefault="00B22D09">
                    <w:pPr>
                      <w:pStyle w:val="Referentiegegevens"/>
                      <w:rPr>
                        <w:lang w:val="de-DE"/>
                      </w:rPr>
                    </w:pPr>
                    <w:r w:rsidRPr="00934B5C">
                      <w:rPr>
                        <w:lang w:val="de-DE"/>
                      </w:rPr>
                      <w:t xml:space="preserve">2500 EH  </w:t>
                    </w:r>
                    <w:r w:rsidRPr="00934B5C">
                      <w:rPr>
                        <w:lang w:val="de-DE"/>
                      </w:rPr>
                      <w:t xml:space="preserve"> Den Haag</w:t>
                    </w:r>
                  </w:p>
                  <w:p w14:paraId="48200CEC" w14:textId="77777777" w:rsidR="00FC3465" w:rsidRPr="00934B5C" w:rsidRDefault="00B22D09">
                    <w:pPr>
                      <w:pStyle w:val="Referentiegegevens"/>
                      <w:rPr>
                        <w:lang w:val="de-DE"/>
                      </w:rPr>
                    </w:pPr>
                    <w:r w:rsidRPr="00934B5C">
                      <w:rPr>
                        <w:lang w:val="de-DE"/>
                      </w:rPr>
                      <w:t>www.rijksoverheid.nl/jenv</w:t>
                    </w:r>
                  </w:p>
                  <w:p w14:paraId="109C869D" w14:textId="77777777" w:rsidR="00FC3465" w:rsidRPr="00934B5C" w:rsidRDefault="00FC3465">
                    <w:pPr>
                      <w:pStyle w:val="WitregelW2"/>
                      <w:rPr>
                        <w:lang w:val="de-DE"/>
                      </w:rPr>
                    </w:pPr>
                  </w:p>
                  <w:p w14:paraId="5FE4F672" w14:textId="77777777" w:rsidR="00FC3465" w:rsidRDefault="00B22D09">
                    <w:pPr>
                      <w:pStyle w:val="Referentiegegevensbold"/>
                    </w:pPr>
                    <w:r>
                      <w:t>Onze referentie</w:t>
                    </w:r>
                  </w:p>
                  <w:p w14:paraId="6DCF6334" w14:textId="77777777" w:rsidR="00FC3465" w:rsidRDefault="00B22D09">
                    <w:pPr>
                      <w:pStyle w:val="Referentiegegevens"/>
                    </w:pPr>
                    <w:r>
                      <w:t>6943540</w:t>
                    </w:r>
                  </w:p>
                  <w:p w14:paraId="5868BD0E" w14:textId="77777777" w:rsidR="00ED3EB9" w:rsidRDefault="00ED3EB9" w:rsidP="00ED3EB9"/>
                  <w:p w14:paraId="69F351E3" w14:textId="4A7903ED" w:rsidR="00ED3EB9" w:rsidRPr="00ED3EB9" w:rsidRDefault="00ED3EB9" w:rsidP="00ED3EB9">
                    <w:pPr>
                      <w:rPr>
                        <w:sz w:val="13"/>
                        <w:szCs w:val="13"/>
                      </w:rPr>
                    </w:pPr>
                    <w:r w:rsidRPr="00ED3EB9">
                      <w:rPr>
                        <w:b/>
                        <w:bCs/>
                        <w:sz w:val="13"/>
                        <w:szCs w:val="13"/>
                      </w:rPr>
                      <w:t>Bijlagen</w:t>
                    </w:r>
                    <w:r w:rsidRPr="00ED3EB9">
                      <w:rPr>
                        <w:sz w:val="13"/>
                        <w:szCs w:val="13"/>
                      </w:rPr>
                      <w:b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2B8F3D" wp14:editId="2822F07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B763F3" w14:textId="77777777" w:rsidR="004D6237" w:rsidRDefault="004D6237"/>
                      </w:txbxContent>
                    </wps:txbx>
                    <wps:bodyPr vert="horz" wrap="square" lIns="0" tIns="0" rIns="0" bIns="0" anchor="t" anchorCtr="0"/>
                  </wps:wsp>
                </a:graphicData>
              </a:graphic>
            </wp:anchor>
          </w:drawing>
        </mc:Choice>
        <mc:Fallback>
          <w:pict>
            <v:shape w14:anchorId="3E2B8F3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B763F3" w14:textId="77777777" w:rsidR="004D6237" w:rsidRDefault="004D623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703F93" wp14:editId="7043E0A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A470C6" w14:textId="77777777" w:rsidR="00FC3465" w:rsidRDefault="00B22D09">
                          <w:pPr>
                            <w:pStyle w:val="Referentiegegevens"/>
                          </w:pPr>
                          <w:r>
                            <w:t xml:space="preserve">Pagina </w:t>
                          </w:r>
                          <w:r>
                            <w:fldChar w:fldCharType="begin"/>
                          </w:r>
                          <w:r>
                            <w:instrText>PAGE</w:instrText>
                          </w:r>
                          <w:r>
                            <w:fldChar w:fldCharType="separate"/>
                          </w:r>
                          <w:r w:rsidR="00321226">
                            <w:rPr>
                              <w:noProof/>
                            </w:rPr>
                            <w:t>1</w:t>
                          </w:r>
                          <w:r>
                            <w:fldChar w:fldCharType="end"/>
                          </w:r>
                          <w:r>
                            <w:t xml:space="preserve"> van </w:t>
                          </w:r>
                          <w:r>
                            <w:fldChar w:fldCharType="begin"/>
                          </w:r>
                          <w:r>
                            <w:instrText>NUMPAGES</w:instrText>
                          </w:r>
                          <w:r>
                            <w:fldChar w:fldCharType="separate"/>
                          </w:r>
                          <w:r w:rsidR="00321226">
                            <w:rPr>
                              <w:noProof/>
                            </w:rPr>
                            <w:t>1</w:t>
                          </w:r>
                          <w:r>
                            <w:fldChar w:fldCharType="end"/>
                          </w:r>
                        </w:p>
                      </w:txbxContent>
                    </wps:txbx>
                    <wps:bodyPr vert="horz" wrap="square" lIns="0" tIns="0" rIns="0" bIns="0" anchor="t" anchorCtr="0"/>
                  </wps:wsp>
                </a:graphicData>
              </a:graphic>
            </wp:anchor>
          </w:drawing>
        </mc:Choice>
        <mc:Fallback>
          <w:pict>
            <v:shape w14:anchorId="5F703F9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A470C6" w14:textId="77777777" w:rsidR="00FC3465" w:rsidRDefault="00B22D09">
                    <w:pPr>
                      <w:pStyle w:val="Referentiegegevens"/>
                    </w:pPr>
                    <w:r>
                      <w:t xml:space="preserve">Pagina </w:t>
                    </w:r>
                    <w:r>
                      <w:fldChar w:fldCharType="begin"/>
                    </w:r>
                    <w:r>
                      <w:instrText>PAGE</w:instrText>
                    </w:r>
                    <w:r>
                      <w:fldChar w:fldCharType="separate"/>
                    </w:r>
                    <w:r w:rsidR="00321226">
                      <w:rPr>
                        <w:noProof/>
                      </w:rPr>
                      <w:t>1</w:t>
                    </w:r>
                    <w:r>
                      <w:fldChar w:fldCharType="end"/>
                    </w:r>
                    <w:r>
                      <w:t xml:space="preserve"> van </w:t>
                    </w:r>
                    <w:r>
                      <w:fldChar w:fldCharType="begin"/>
                    </w:r>
                    <w:r>
                      <w:instrText>NUMPAGES</w:instrText>
                    </w:r>
                    <w:r>
                      <w:fldChar w:fldCharType="separate"/>
                    </w:r>
                    <w:r w:rsidR="0032122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0DBF2E" wp14:editId="656C2C3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FF0817" w14:textId="77777777" w:rsidR="00FC3465" w:rsidRDefault="00B22D09">
                          <w:pPr>
                            <w:spacing w:line="240" w:lineRule="auto"/>
                          </w:pPr>
                          <w:r>
                            <w:rPr>
                              <w:noProof/>
                            </w:rPr>
                            <w:drawing>
                              <wp:inline distT="0" distB="0" distL="0" distR="0" wp14:anchorId="4EA3C12F" wp14:editId="7B370A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0DBF2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FF0817" w14:textId="77777777" w:rsidR="00FC3465" w:rsidRDefault="00B22D09">
                    <w:pPr>
                      <w:spacing w:line="240" w:lineRule="auto"/>
                    </w:pPr>
                    <w:r>
                      <w:rPr>
                        <w:noProof/>
                      </w:rPr>
                      <w:drawing>
                        <wp:inline distT="0" distB="0" distL="0" distR="0" wp14:anchorId="4EA3C12F" wp14:editId="7B370A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E81D9C" wp14:editId="40C499E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E6456E" w14:textId="77777777" w:rsidR="00FC3465" w:rsidRDefault="00B22D09">
                          <w:pPr>
                            <w:spacing w:line="240" w:lineRule="auto"/>
                          </w:pPr>
                          <w:r>
                            <w:rPr>
                              <w:noProof/>
                            </w:rPr>
                            <w:drawing>
                              <wp:inline distT="0" distB="0" distL="0" distR="0" wp14:anchorId="09905154" wp14:editId="008CB98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E81D9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E6456E" w14:textId="77777777" w:rsidR="00FC3465" w:rsidRDefault="00B22D09">
                    <w:pPr>
                      <w:spacing w:line="240" w:lineRule="auto"/>
                    </w:pPr>
                    <w:r>
                      <w:rPr>
                        <w:noProof/>
                      </w:rPr>
                      <w:drawing>
                        <wp:inline distT="0" distB="0" distL="0" distR="0" wp14:anchorId="09905154" wp14:editId="008CB98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51F20A" wp14:editId="4FBF4B6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2474BF" w14:textId="77777777" w:rsidR="00FC3465" w:rsidRDefault="00B22D0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51F20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2474BF" w14:textId="77777777" w:rsidR="00FC3465" w:rsidRDefault="00B22D0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32A16"/>
    <w:multiLevelType w:val="multilevel"/>
    <w:tmpl w:val="524913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130D6F2"/>
    <w:multiLevelType w:val="multilevel"/>
    <w:tmpl w:val="055C98B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E45A67"/>
    <w:multiLevelType w:val="multilevel"/>
    <w:tmpl w:val="F82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7A16D"/>
    <w:multiLevelType w:val="multilevel"/>
    <w:tmpl w:val="18149A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18118B9"/>
    <w:multiLevelType w:val="hybridMultilevel"/>
    <w:tmpl w:val="4CD4DC0C"/>
    <w:lvl w:ilvl="0" w:tplc="EEBC6A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E2373A"/>
    <w:multiLevelType w:val="multilevel"/>
    <w:tmpl w:val="1CD51FA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90182D9"/>
    <w:multiLevelType w:val="multilevel"/>
    <w:tmpl w:val="ABDFC6B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4BFC6C1"/>
    <w:multiLevelType w:val="multilevel"/>
    <w:tmpl w:val="9B2A8E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81370944">
    <w:abstractNumId w:val="5"/>
  </w:num>
  <w:num w:numId="2" w16cid:durableId="1209881205">
    <w:abstractNumId w:val="6"/>
  </w:num>
  <w:num w:numId="3" w16cid:durableId="1752311992">
    <w:abstractNumId w:val="0"/>
  </w:num>
  <w:num w:numId="4" w16cid:durableId="1098984588">
    <w:abstractNumId w:val="1"/>
  </w:num>
  <w:num w:numId="5" w16cid:durableId="839005479">
    <w:abstractNumId w:val="3"/>
  </w:num>
  <w:num w:numId="6" w16cid:durableId="1647663690">
    <w:abstractNumId w:val="7"/>
  </w:num>
  <w:num w:numId="7" w16cid:durableId="11613482">
    <w:abstractNumId w:val="2"/>
  </w:num>
  <w:num w:numId="8" w16cid:durableId="840004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26"/>
    <w:rsid w:val="00004422"/>
    <w:rsid w:val="000121F8"/>
    <w:rsid w:val="00017373"/>
    <w:rsid w:val="00057F7F"/>
    <w:rsid w:val="0006184F"/>
    <w:rsid w:val="00070178"/>
    <w:rsid w:val="0007433A"/>
    <w:rsid w:val="00086A0D"/>
    <w:rsid w:val="0009290B"/>
    <w:rsid w:val="000C784B"/>
    <w:rsid w:val="000E61FB"/>
    <w:rsid w:val="000F2F8F"/>
    <w:rsid w:val="0014760B"/>
    <w:rsid w:val="001509F8"/>
    <w:rsid w:val="00161DCA"/>
    <w:rsid w:val="00163131"/>
    <w:rsid w:val="0017107B"/>
    <w:rsid w:val="0019779B"/>
    <w:rsid w:val="001A1BC1"/>
    <w:rsid w:val="001B1BA8"/>
    <w:rsid w:val="001D3CEB"/>
    <w:rsid w:val="001E66BC"/>
    <w:rsid w:val="001E7048"/>
    <w:rsid w:val="00200216"/>
    <w:rsid w:val="002243C4"/>
    <w:rsid w:val="00232A1B"/>
    <w:rsid w:val="00253759"/>
    <w:rsid w:val="00257489"/>
    <w:rsid w:val="0026401E"/>
    <w:rsid w:val="00266839"/>
    <w:rsid w:val="0028257E"/>
    <w:rsid w:val="002A17E4"/>
    <w:rsid w:val="002A63EC"/>
    <w:rsid w:val="002B16E3"/>
    <w:rsid w:val="002B5584"/>
    <w:rsid w:val="002B5A1C"/>
    <w:rsid w:val="002D28F5"/>
    <w:rsid w:val="002D6097"/>
    <w:rsid w:val="002F1954"/>
    <w:rsid w:val="002F7A7E"/>
    <w:rsid w:val="00321226"/>
    <w:rsid w:val="0032476C"/>
    <w:rsid w:val="00332BF9"/>
    <w:rsid w:val="00374D1F"/>
    <w:rsid w:val="00386023"/>
    <w:rsid w:val="003877D9"/>
    <w:rsid w:val="00395FF4"/>
    <w:rsid w:val="003A17D3"/>
    <w:rsid w:val="003A2230"/>
    <w:rsid w:val="003A3E54"/>
    <w:rsid w:val="003C0E4C"/>
    <w:rsid w:val="003C5FD3"/>
    <w:rsid w:val="003E711C"/>
    <w:rsid w:val="003F6B67"/>
    <w:rsid w:val="004051D5"/>
    <w:rsid w:val="004144A6"/>
    <w:rsid w:val="004215AC"/>
    <w:rsid w:val="00426732"/>
    <w:rsid w:val="004279D0"/>
    <w:rsid w:val="00444657"/>
    <w:rsid w:val="00452E21"/>
    <w:rsid w:val="0045489E"/>
    <w:rsid w:val="00463DAE"/>
    <w:rsid w:val="00486B98"/>
    <w:rsid w:val="004A4DBE"/>
    <w:rsid w:val="004B6B10"/>
    <w:rsid w:val="004D3D1C"/>
    <w:rsid w:val="004D6237"/>
    <w:rsid w:val="004D7EAD"/>
    <w:rsid w:val="004F47FF"/>
    <w:rsid w:val="005000A9"/>
    <w:rsid w:val="0052720E"/>
    <w:rsid w:val="00540341"/>
    <w:rsid w:val="00541C6C"/>
    <w:rsid w:val="00554639"/>
    <w:rsid w:val="00555219"/>
    <w:rsid w:val="00572D9D"/>
    <w:rsid w:val="00573360"/>
    <w:rsid w:val="00573812"/>
    <w:rsid w:val="005753DA"/>
    <w:rsid w:val="005A54B3"/>
    <w:rsid w:val="005A65CF"/>
    <w:rsid w:val="005C4306"/>
    <w:rsid w:val="005C43FB"/>
    <w:rsid w:val="005D537E"/>
    <w:rsid w:val="00615FF2"/>
    <w:rsid w:val="006276D2"/>
    <w:rsid w:val="006357CE"/>
    <w:rsid w:val="00686507"/>
    <w:rsid w:val="006872A3"/>
    <w:rsid w:val="00694EB9"/>
    <w:rsid w:val="006D5D8B"/>
    <w:rsid w:val="006E387E"/>
    <w:rsid w:val="006E42CC"/>
    <w:rsid w:val="006F17A4"/>
    <w:rsid w:val="007176A4"/>
    <w:rsid w:val="007337F6"/>
    <w:rsid w:val="0073625C"/>
    <w:rsid w:val="00745F80"/>
    <w:rsid w:val="00753048"/>
    <w:rsid w:val="007562FC"/>
    <w:rsid w:val="00764627"/>
    <w:rsid w:val="00766481"/>
    <w:rsid w:val="0077292E"/>
    <w:rsid w:val="00793132"/>
    <w:rsid w:val="00797E2F"/>
    <w:rsid w:val="007F40B7"/>
    <w:rsid w:val="008033AE"/>
    <w:rsid w:val="00804C43"/>
    <w:rsid w:val="008373FF"/>
    <w:rsid w:val="0085286E"/>
    <w:rsid w:val="00854FDC"/>
    <w:rsid w:val="00876E4B"/>
    <w:rsid w:val="008869CC"/>
    <w:rsid w:val="00892118"/>
    <w:rsid w:val="00896FEE"/>
    <w:rsid w:val="00897350"/>
    <w:rsid w:val="008A06A3"/>
    <w:rsid w:val="008A0D31"/>
    <w:rsid w:val="008C78C3"/>
    <w:rsid w:val="008D7280"/>
    <w:rsid w:val="008F0710"/>
    <w:rsid w:val="008F1343"/>
    <w:rsid w:val="008F155C"/>
    <w:rsid w:val="008F4003"/>
    <w:rsid w:val="008F60CA"/>
    <w:rsid w:val="0090522B"/>
    <w:rsid w:val="009054A5"/>
    <w:rsid w:val="00924D6D"/>
    <w:rsid w:val="00934B5C"/>
    <w:rsid w:val="00944B31"/>
    <w:rsid w:val="00991296"/>
    <w:rsid w:val="009A5567"/>
    <w:rsid w:val="009B2C99"/>
    <w:rsid w:val="009B3697"/>
    <w:rsid w:val="009E3A18"/>
    <w:rsid w:val="009F2329"/>
    <w:rsid w:val="00A23139"/>
    <w:rsid w:val="00A30B52"/>
    <w:rsid w:val="00A36027"/>
    <w:rsid w:val="00A44CE1"/>
    <w:rsid w:val="00A70260"/>
    <w:rsid w:val="00A84E50"/>
    <w:rsid w:val="00AD1A49"/>
    <w:rsid w:val="00AE0F84"/>
    <w:rsid w:val="00AE3026"/>
    <w:rsid w:val="00AE404C"/>
    <w:rsid w:val="00AE6D91"/>
    <w:rsid w:val="00AF02EA"/>
    <w:rsid w:val="00B07675"/>
    <w:rsid w:val="00B13036"/>
    <w:rsid w:val="00B170C7"/>
    <w:rsid w:val="00B22D09"/>
    <w:rsid w:val="00B26EAF"/>
    <w:rsid w:val="00B3593F"/>
    <w:rsid w:val="00B539D5"/>
    <w:rsid w:val="00B64BD8"/>
    <w:rsid w:val="00B7125D"/>
    <w:rsid w:val="00B750F7"/>
    <w:rsid w:val="00B9444B"/>
    <w:rsid w:val="00BB12C0"/>
    <w:rsid w:val="00BD241A"/>
    <w:rsid w:val="00BD4348"/>
    <w:rsid w:val="00BD6953"/>
    <w:rsid w:val="00BE2549"/>
    <w:rsid w:val="00BF7979"/>
    <w:rsid w:val="00C02620"/>
    <w:rsid w:val="00C04A55"/>
    <w:rsid w:val="00C168B7"/>
    <w:rsid w:val="00C318D7"/>
    <w:rsid w:val="00C56603"/>
    <w:rsid w:val="00C649B0"/>
    <w:rsid w:val="00C7734D"/>
    <w:rsid w:val="00C80215"/>
    <w:rsid w:val="00C967AA"/>
    <w:rsid w:val="00CA260B"/>
    <w:rsid w:val="00CB202D"/>
    <w:rsid w:val="00CB5370"/>
    <w:rsid w:val="00CB558C"/>
    <w:rsid w:val="00CC02AB"/>
    <w:rsid w:val="00CC64DD"/>
    <w:rsid w:val="00CE7828"/>
    <w:rsid w:val="00D11BE6"/>
    <w:rsid w:val="00D13D2F"/>
    <w:rsid w:val="00D1551B"/>
    <w:rsid w:val="00D26414"/>
    <w:rsid w:val="00D27F89"/>
    <w:rsid w:val="00D35E46"/>
    <w:rsid w:val="00D36929"/>
    <w:rsid w:val="00D47289"/>
    <w:rsid w:val="00D51EC2"/>
    <w:rsid w:val="00D55DD1"/>
    <w:rsid w:val="00D666F0"/>
    <w:rsid w:val="00D75CB0"/>
    <w:rsid w:val="00D76F59"/>
    <w:rsid w:val="00D81BFD"/>
    <w:rsid w:val="00D842ED"/>
    <w:rsid w:val="00D94288"/>
    <w:rsid w:val="00DA7600"/>
    <w:rsid w:val="00DB0FB3"/>
    <w:rsid w:val="00DB2926"/>
    <w:rsid w:val="00DF0BD3"/>
    <w:rsid w:val="00DF4671"/>
    <w:rsid w:val="00DF61C3"/>
    <w:rsid w:val="00DF62D6"/>
    <w:rsid w:val="00E05259"/>
    <w:rsid w:val="00E15D73"/>
    <w:rsid w:val="00E33C78"/>
    <w:rsid w:val="00E36803"/>
    <w:rsid w:val="00E46C1E"/>
    <w:rsid w:val="00E52DC3"/>
    <w:rsid w:val="00E76EF0"/>
    <w:rsid w:val="00E90977"/>
    <w:rsid w:val="00EB0CD2"/>
    <w:rsid w:val="00ED3BBA"/>
    <w:rsid w:val="00ED3EB9"/>
    <w:rsid w:val="00EE39F0"/>
    <w:rsid w:val="00EE736C"/>
    <w:rsid w:val="00EF36DE"/>
    <w:rsid w:val="00EF6770"/>
    <w:rsid w:val="00EF70AD"/>
    <w:rsid w:val="00F1413A"/>
    <w:rsid w:val="00F41518"/>
    <w:rsid w:val="00F44BA0"/>
    <w:rsid w:val="00F6295B"/>
    <w:rsid w:val="00F90DE3"/>
    <w:rsid w:val="00F94852"/>
    <w:rsid w:val="00F97033"/>
    <w:rsid w:val="00FB359B"/>
    <w:rsid w:val="00FC3465"/>
    <w:rsid w:val="00FF0813"/>
    <w:rsid w:val="00FF2987"/>
    <w:rsid w:val="00FF5984"/>
    <w:rsid w:val="00FF7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3212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1226"/>
    <w:rPr>
      <w:rFonts w:ascii="Verdana" w:hAnsi="Verdana"/>
      <w:color w:val="000000"/>
    </w:rPr>
  </w:style>
  <w:style w:type="character" w:styleId="Voetnootmarkering">
    <w:name w:val="footnote reference"/>
    <w:basedOn w:val="Standaardalinea-lettertype"/>
    <w:uiPriority w:val="99"/>
    <w:semiHidden/>
    <w:unhideWhenUsed/>
    <w:rsid w:val="00321226"/>
    <w:rPr>
      <w:vertAlign w:val="superscript"/>
    </w:rPr>
  </w:style>
  <w:style w:type="paragraph" w:styleId="Lijstalinea">
    <w:name w:val="List Paragraph"/>
    <w:basedOn w:val="Standaard"/>
    <w:uiPriority w:val="34"/>
    <w:qFormat/>
    <w:rsid w:val="004279D0"/>
    <w:pPr>
      <w:ind w:left="720"/>
      <w:contextualSpacing/>
    </w:pPr>
  </w:style>
  <w:style w:type="paragraph" w:styleId="Revisie">
    <w:name w:val="Revision"/>
    <w:hidden/>
    <w:uiPriority w:val="99"/>
    <w:semiHidden/>
    <w:rsid w:val="0017107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32A1B"/>
    <w:rPr>
      <w:sz w:val="16"/>
      <w:szCs w:val="16"/>
    </w:rPr>
  </w:style>
  <w:style w:type="paragraph" w:styleId="Tekstopmerking">
    <w:name w:val="annotation text"/>
    <w:basedOn w:val="Standaard"/>
    <w:link w:val="TekstopmerkingChar"/>
    <w:uiPriority w:val="99"/>
    <w:unhideWhenUsed/>
    <w:rsid w:val="00232A1B"/>
    <w:pPr>
      <w:spacing w:line="240" w:lineRule="auto"/>
    </w:pPr>
    <w:rPr>
      <w:sz w:val="20"/>
      <w:szCs w:val="20"/>
    </w:rPr>
  </w:style>
  <w:style w:type="character" w:customStyle="1" w:styleId="TekstopmerkingChar">
    <w:name w:val="Tekst opmerking Char"/>
    <w:basedOn w:val="Standaardalinea-lettertype"/>
    <w:link w:val="Tekstopmerking"/>
    <w:uiPriority w:val="99"/>
    <w:rsid w:val="00232A1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2A1B"/>
    <w:rPr>
      <w:b/>
      <w:bCs/>
    </w:rPr>
  </w:style>
  <w:style w:type="character" w:customStyle="1" w:styleId="OnderwerpvanopmerkingChar">
    <w:name w:val="Onderwerp van opmerking Char"/>
    <w:basedOn w:val="TekstopmerkingChar"/>
    <w:link w:val="Onderwerpvanopmerking"/>
    <w:uiPriority w:val="99"/>
    <w:semiHidden/>
    <w:rsid w:val="00232A1B"/>
    <w:rPr>
      <w:rFonts w:ascii="Verdana" w:hAnsi="Verdana"/>
      <w:b/>
      <w:bCs/>
      <w:color w:val="000000"/>
    </w:rPr>
  </w:style>
  <w:style w:type="paragraph" w:styleId="Koptekst">
    <w:name w:val="header"/>
    <w:basedOn w:val="Standaard"/>
    <w:link w:val="KoptekstChar"/>
    <w:uiPriority w:val="99"/>
    <w:unhideWhenUsed/>
    <w:rsid w:val="00E909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0977"/>
    <w:rPr>
      <w:rFonts w:ascii="Verdana" w:hAnsi="Verdana"/>
      <w:color w:val="000000"/>
      <w:sz w:val="18"/>
      <w:szCs w:val="18"/>
    </w:rPr>
  </w:style>
  <w:style w:type="character" w:styleId="Onopgelostemelding">
    <w:name w:val="Unresolved Mention"/>
    <w:basedOn w:val="Standaardalinea-lettertype"/>
    <w:uiPriority w:val="99"/>
    <w:semiHidden/>
    <w:unhideWhenUsed/>
    <w:rsid w:val="0052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1887">
      <w:bodyDiv w:val="1"/>
      <w:marLeft w:val="0"/>
      <w:marRight w:val="0"/>
      <w:marTop w:val="0"/>
      <w:marBottom w:val="0"/>
      <w:divBdr>
        <w:top w:val="none" w:sz="0" w:space="0" w:color="auto"/>
        <w:left w:val="none" w:sz="0" w:space="0" w:color="auto"/>
        <w:bottom w:val="none" w:sz="0" w:space="0" w:color="auto"/>
        <w:right w:val="none" w:sz="0" w:space="0" w:color="auto"/>
      </w:divBdr>
      <w:divsChild>
        <w:div w:id="1416124846">
          <w:marLeft w:val="0"/>
          <w:marRight w:val="0"/>
          <w:marTop w:val="0"/>
          <w:marBottom w:val="0"/>
          <w:divBdr>
            <w:top w:val="none" w:sz="0" w:space="0" w:color="auto"/>
            <w:left w:val="none" w:sz="0" w:space="0" w:color="auto"/>
            <w:bottom w:val="none" w:sz="0" w:space="0" w:color="auto"/>
            <w:right w:val="none" w:sz="0" w:space="0" w:color="auto"/>
          </w:divBdr>
        </w:div>
      </w:divsChild>
    </w:div>
    <w:div w:id="178475248">
      <w:bodyDiv w:val="1"/>
      <w:marLeft w:val="0"/>
      <w:marRight w:val="0"/>
      <w:marTop w:val="0"/>
      <w:marBottom w:val="0"/>
      <w:divBdr>
        <w:top w:val="none" w:sz="0" w:space="0" w:color="auto"/>
        <w:left w:val="none" w:sz="0" w:space="0" w:color="auto"/>
        <w:bottom w:val="none" w:sz="0" w:space="0" w:color="auto"/>
        <w:right w:val="none" w:sz="0" w:space="0" w:color="auto"/>
      </w:divBdr>
      <w:divsChild>
        <w:div w:id="1194195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1325</ap:Words>
  <ap:Characters>7291</ap:Characters>
  <ap:DocSecurity>0</ap:DocSecurity>
  <ap:Lines>60</ap:Lines>
  <ap:Paragraphs>17</ap:Paragraphs>
  <ap:ScaleCrop>false</ap:ScaleCrop>
  <ap:LinksUpToDate>false</ap:LinksUpToDate>
  <ap:CharactersWithSpaces>8599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2025-12-18T10:35:00.0000000Z</dcterms:created>
  <dcterms:modified xsi:type="dcterms:W3CDTF">2025-12-18T10:35:00.0000000Z</dcterms:modified>
  <dc:description>------------------------</dc:description>
  <version/>
  <category/>
</coreProperties>
</file>