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33CA" w:rsidR="00F40CDB" w:rsidP="00F40CDB" w:rsidRDefault="00F40CDB" w14:paraId="5AC84E85" w14:textId="77777777">
      <w:pPr>
        <w:rPr>
          <w:rFonts w:eastAsia="Calibri" w:cs="Times New Roman"/>
          <w:b/>
          <w:color w:val="auto"/>
          <w:lang w:eastAsia="en-US"/>
        </w:rPr>
      </w:pPr>
      <w:bookmarkStart w:name="_Hlk153357664" w:id="0"/>
      <w:r>
        <w:rPr>
          <w:rFonts w:eastAsia="Calibri" w:cs="Times New Roman"/>
          <w:b/>
          <w:color w:val="auto"/>
          <w:lang w:eastAsia="en-US"/>
        </w:rPr>
        <w:t>Akkoord Europese jaarbegroting 2026</w:t>
      </w:r>
    </w:p>
    <w:p w:rsidR="00F40CDB" w:rsidP="00F40CDB" w:rsidRDefault="00F40CDB" w14:paraId="51792F8A" w14:textId="77777777">
      <w:pPr>
        <w:rPr>
          <w:rFonts w:eastAsia="Calibri" w:cs="Times New Roman"/>
          <w:color w:val="auto"/>
          <w:lang w:eastAsia="en-US"/>
        </w:rPr>
      </w:pPr>
      <w:r>
        <w:rPr>
          <w:rFonts w:eastAsia="Calibri" w:cs="Times New Roman"/>
          <w:color w:val="auto"/>
          <w:lang w:eastAsia="en-US"/>
        </w:rPr>
        <w:t xml:space="preserve">In het akkoord heeft de Europese jaarbegroting 2026 een totale omvang van 192,8 </w:t>
      </w:r>
      <w:r w:rsidR="005C0DEA">
        <w:rPr>
          <w:rFonts w:eastAsia="Calibri" w:cs="Times New Roman"/>
          <w:color w:val="auto"/>
          <w:lang w:eastAsia="en-US"/>
        </w:rPr>
        <w:t>miljard</w:t>
      </w:r>
      <w:r>
        <w:rPr>
          <w:rFonts w:eastAsia="Calibri" w:cs="Times New Roman"/>
          <w:color w:val="auto"/>
          <w:lang w:eastAsia="en-US"/>
        </w:rPr>
        <w:t xml:space="preserve"> euro in vastleggingen</w:t>
      </w:r>
      <w:r w:rsidRPr="00417C94">
        <w:rPr>
          <w:rFonts w:eastAsia="Calibri" w:cs="Times New Roman"/>
          <w:color w:val="auto"/>
          <w:lang w:eastAsia="en-US"/>
        </w:rPr>
        <w:t xml:space="preserve"> </w:t>
      </w:r>
      <w:r>
        <w:rPr>
          <w:rFonts w:eastAsia="Calibri" w:cs="Times New Roman"/>
          <w:color w:val="auto"/>
          <w:lang w:eastAsia="en-US"/>
        </w:rPr>
        <w:t>en 190,1 m</w:t>
      </w:r>
      <w:r w:rsidR="005C0DEA">
        <w:rPr>
          <w:rFonts w:eastAsia="Calibri" w:cs="Times New Roman"/>
          <w:color w:val="auto"/>
          <w:lang w:eastAsia="en-US"/>
        </w:rPr>
        <w:t>iljard</w:t>
      </w:r>
      <w:r>
        <w:rPr>
          <w:rFonts w:eastAsia="Calibri" w:cs="Times New Roman"/>
          <w:color w:val="auto"/>
          <w:lang w:eastAsia="en-US"/>
        </w:rPr>
        <w:t xml:space="preserve"> euro in betalingen.</w:t>
      </w:r>
      <w:r>
        <w:rPr>
          <w:rFonts w:eastAsia="Calibri" w:cs="Times New Roman"/>
          <w:color w:val="auto"/>
          <w:vertAlign w:val="superscript"/>
          <w:lang w:val="en-US" w:eastAsia="en-US"/>
        </w:rPr>
        <w:footnoteReference w:id="1"/>
      </w:r>
      <w:r w:rsidRPr="00CE271A">
        <w:rPr>
          <w:rFonts w:eastAsia="Calibri" w:cs="Times New Roman"/>
          <w:color w:val="auto"/>
          <w:vertAlign w:val="superscript"/>
          <w:lang w:eastAsia="en-US"/>
        </w:rPr>
        <w:t xml:space="preserve"> </w:t>
      </w:r>
      <w:r>
        <w:rPr>
          <w:rFonts w:eastAsia="Calibri" w:cs="Times New Roman"/>
          <w:color w:val="auto"/>
          <w:lang w:eastAsia="en-US"/>
        </w:rPr>
        <w:t xml:space="preserve">In totaal bedraagt het vastleggingenmarge ca. 0,7 </w:t>
      </w:r>
      <w:r w:rsidR="005C0DEA">
        <w:rPr>
          <w:rFonts w:eastAsia="Calibri" w:cs="Times New Roman"/>
          <w:color w:val="auto"/>
          <w:lang w:eastAsia="en-US"/>
        </w:rPr>
        <w:t>miljard</w:t>
      </w:r>
      <w:r>
        <w:rPr>
          <w:rFonts w:eastAsia="Calibri" w:cs="Times New Roman"/>
          <w:color w:val="auto"/>
          <w:lang w:eastAsia="en-US"/>
        </w:rPr>
        <w:t xml:space="preserve"> euro en de betalingsmarge 20,4 </w:t>
      </w:r>
      <w:r w:rsidR="005C0DEA">
        <w:rPr>
          <w:rFonts w:eastAsia="Calibri" w:cs="Times New Roman"/>
          <w:color w:val="auto"/>
          <w:lang w:eastAsia="en-US"/>
        </w:rPr>
        <w:t>miljard</w:t>
      </w:r>
      <w:r>
        <w:rPr>
          <w:rFonts w:eastAsia="Calibri" w:cs="Times New Roman"/>
          <w:color w:val="auto"/>
          <w:lang w:eastAsia="en-US"/>
        </w:rPr>
        <w:t xml:space="preserve"> euro. De omvang van de begroting ligt boven de door de lidstaten ingenomen Raadspositie en blijft dicht bij de omvang uit het aangepaste Commissievoorstel (</w:t>
      </w:r>
      <w:r>
        <w:rPr>
          <w:rFonts w:eastAsia="Calibri" w:cs="Times New Roman"/>
          <w:i/>
          <w:iCs/>
          <w:color w:val="auto"/>
          <w:lang w:eastAsia="en-US"/>
        </w:rPr>
        <w:t>Amending Letter 1</w:t>
      </w:r>
      <w:r>
        <w:rPr>
          <w:rFonts w:eastAsia="Calibri" w:cs="Times New Roman"/>
          <w:color w:val="auto"/>
          <w:lang w:eastAsia="en-US"/>
        </w:rPr>
        <w:t xml:space="preserve">; AL1). </w:t>
      </w:r>
      <w:bookmarkEnd w:id="0"/>
      <w:r w:rsidRPr="00576AD0">
        <w:rPr>
          <w:rFonts w:eastAsia="Calibri" w:cs="Times New Roman"/>
          <w:color w:val="auto"/>
          <w:lang w:eastAsia="en-US"/>
        </w:rPr>
        <w:t xml:space="preserve">Tabel </w:t>
      </w:r>
      <w:r>
        <w:rPr>
          <w:rFonts w:eastAsia="Calibri" w:cs="Times New Roman"/>
          <w:color w:val="auto"/>
          <w:lang w:eastAsia="en-US"/>
        </w:rPr>
        <w:t>1</w:t>
      </w:r>
      <w:r w:rsidRPr="00576AD0">
        <w:rPr>
          <w:rFonts w:eastAsia="Calibri" w:cs="Times New Roman"/>
          <w:color w:val="auto"/>
          <w:lang w:eastAsia="en-US"/>
        </w:rPr>
        <w:t xml:space="preserve"> in de bijlage geeft een overzicht van het akkoord en een vergelijking met het Commissievoorstel, de Raadspositie en de positie van het EP.</w:t>
      </w:r>
      <w:r>
        <w:rPr>
          <w:rFonts w:eastAsia="Calibri" w:cs="Times New Roman"/>
          <w:color w:val="auto"/>
          <w:lang w:eastAsia="en-US"/>
        </w:rPr>
        <w:t xml:space="preserve"> </w:t>
      </w:r>
    </w:p>
    <w:p w:rsidR="00F40CDB" w:rsidP="00F40CDB" w:rsidRDefault="00F40CDB" w14:paraId="31219833" w14:textId="77777777">
      <w:pPr>
        <w:rPr>
          <w:rFonts w:eastAsia="Calibri" w:cs="Times New Roman"/>
          <w:color w:val="auto"/>
          <w:lang w:eastAsia="en-US"/>
        </w:rPr>
      </w:pPr>
    </w:p>
    <w:p w:rsidRPr="00E233CA" w:rsidR="00F40CDB" w:rsidP="1B34CB36" w:rsidRDefault="1B34CB36" w14:paraId="70D8B8E9" w14:textId="77777777">
      <w:pPr>
        <w:rPr>
          <w:rFonts w:eastAsia="Calibri" w:cs="Times New Roman"/>
          <w:color w:val="auto"/>
          <w:lang w:eastAsia="en-US"/>
        </w:rPr>
      </w:pPr>
      <w:r w:rsidRPr="1B34CB36">
        <w:rPr>
          <w:rFonts w:eastAsia="Calibri" w:cs="Times New Roman"/>
          <w:color w:val="auto"/>
          <w:lang w:eastAsia="en-US"/>
        </w:rPr>
        <w:t xml:space="preserve">Per saldo bevat het akkoord voor 107,8 miljoen euro minder in vastleggingen ten opzichte van AL1. De lagere uitgaven komen voornamelijk door meevallers op het Europees Landbouwgarantiefonds (ELGF) van 118,8 miljoen euro en administratieve uitgaven van 197,7 miljoen euro. Daarnaast is er in totaal 58,1 miljoen euro aan </w:t>
      </w:r>
      <w:proofErr w:type="spellStart"/>
      <w:r w:rsidRPr="1B34CB36">
        <w:rPr>
          <w:rFonts w:eastAsia="Calibri" w:cs="Times New Roman"/>
          <w:color w:val="auto"/>
          <w:lang w:eastAsia="en-US"/>
        </w:rPr>
        <w:t>herprioriteringen</w:t>
      </w:r>
      <w:proofErr w:type="spellEnd"/>
      <w:r w:rsidRPr="1B34CB36">
        <w:rPr>
          <w:rFonts w:eastAsia="Calibri" w:cs="Times New Roman"/>
          <w:color w:val="auto"/>
          <w:lang w:eastAsia="en-US"/>
        </w:rPr>
        <w:t xml:space="preserve">, waarvan 57 miljoen euro voor het instrument voor technische ondersteuning (TSI) en 1,1 miljoen euro voor </w:t>
      </w:r>
      <w:proofErr w:type="spellStart"/>
      <w:r w:rsidRPr="1B34CB36">
        <w:rPr>
          <w:rFonts w:eastAsia="Calibri" w:cs="Times New Roman"/>
          <w:color w:val="auto"/>
          <w:lang w:eastAsia="en-US"/>
        </w:rPr>
        <w:t>Frontex</w:t>
      </w:r>
      <w:proofErr w:type="spellEnd"/>
      <w:r w:rsidRPr="1B34CB36">
        <w:rPr>
          <w:rFonts w:eastAsia="Calibri" w:cs="Times New Roman"/>
          <w:color w:val="auto"/>
          <w:lang w:eastAsia="en-US"/>
        </w:rPr>
        <w:t xml:space="preserve">. Er zijn ook intensiveringen afgesproken voor een aantal programma’s. De grootste intensiveringen zijn 20 miljoen euro voor Horizon, 10 miljoen euro voor het fonds voor Geïntegreerd Grensbeheer (BMVI), 35 miljoen euro voor humanitaire hulp, 60 miljoen euro voor het instrument voor Nabuurschap, Ontwikkeling en Internationale Samenwerking (NDICI) en 10 miljoen euro voor militaire mobiliteit. Er worden ook extra uitgaven van 75,1 miljoen euro ingezet voor </w:t>
      </w:r>
      <w:proofErr w:type="gramStart"/>
      <w:r w:rsidRPr="1B34CB36">
        <w:rPr>
          <w:rFonts w:eastAsia="Calibri" w:cs="Times New Roman"/>
          <w:color w:val="auto"/>
          <w:lang w:eastAsia="en-US"/>
        </w:rPr>
        <w:t>pilot projecten</w:t>
      </w:r>
      <w:proofErr w:type="gramEnd"/>
      <w:r w:rsidRPr="1B34CB36">
        <w:rPr>
          <w:rFonts w:eastAsia="Calibri" w:cs="Times New Roman"/>
          <w:color w:val="auto"/>
          <w:lang w:eastAsia="en-US"/>
        </w:rPr>
        <w:t>. Dit zijn projecten in de begroting om nieuwe beleidsinitiatieven te testen en nieuwe programma’s voor te bereiden. Tabel 2 geeft een overzicht van de wijzigingen ten opzichte van AL1.</w:t>
      </w:r>
    </w:p>
    <w:p w:rsidR="00F40CDB" w:rsidP="00F40CDB" w:rsidRDefault="00F40CDB" w14:paraId="453AC16C" w14:textId="77777777"/>
    <w:p w:rsidR="00F40CDB" w:rsidP="00F40CDB" w:rsidRDefault="00F40CDB" w14:paraId="7A1B32F5" w14:textId="77777777">
      <w:r>
        <w:t xml:space="preserve">In het akkoord is een oplossing gevonden voor de kostenoverschrijding van de rentekosten van het coronaherstelfonds </w:t>
      </w:r>
      <w:proofErr w:type="spellStart"/>
      <w:r w:rsidRPr="1B34CB36">
        <w:rPr>
          <w:i/>
          <w:iCs/>
        </w:rPr>
        <w:t>NextGenerationEU</w:t>
      </w:r>
      <w:proofErr w:type="spellEnd"/>
      <w:r>
        <w:t xml:space="preserve"> (NGEU) van 4,2 m</w:t>
      </w:r>
      <w:r w:rsidR="005C0DEA">
        <w:t>iljard</w:t>
      </w:r>
      <w:r>
        <w:t xml:space="preserve"> euro in 2026. In de herziening van het Meerjarig Financieel Kader (MFK) in 2024 is een ‘cascademechanisme’ afgesproken voor de financiering van de rentekosten voor NGEU </w:t>
      </w:r>
      <w:proofErr w:type="gramStart"/>
      <w:r>
        <w:t>middels</w:t>
      </w:r>
      <w:proofErr w:type="gramEnd"/>
      <w:r>
        <w:t xml:space="preserve"> een vaste volgorde. In de eerste stap wordt het </w:t>
      </w:r>
      <w:proofErr w:type="gramStart"/>
      <w:r>
        <w:t>reeds</w:t>
      </w:r>
      <w:proofErr w:type="gramEnd"/>
      <w:r>
        <w:t xml:space="preserve"> begrote budget gebruikt. </w:t>
      </w:r>
      <w:proofErr w:type="gramStart"/>
      <w:r>
        <w:t>Indien</w:t>
      </w:r>
      <w:proofErr w:type="gramEnd"/>
      <w:r>
        <w:t xml:space="preserve"> dit onvoldoende is, wordt voor de overschrijding middels stap 2 financiering gezocht door middel van </w:t>
      </w:r>
      <w:proofErr w:type="spellStart"/>
      <w:r>
        <w:t>herprioriteringen</w:t>
      </w:r>
      <w:proofErr w:type="spellEnd"/>
      <w:r>
        <w:t xml:space="preserve"> en de inzet van de marges en speciale instrumenten. Op de Europese Raad van februari 2024</w:t>
      </w:r>
      <w:r>
        <w:rPr>
          <w:rStyle w:val="Voetnootmarkering"/>
        </w:rPr>
        <w:footnoteReference w:id="2"/>
      </w:r>
      <w:r>
        <w:t xml:space="preserve"> is afgesproken dat, als benchmark, 50% van de overschrijding via stap 2 moet worden gefinancierd. </w:t>
      </w:r>
      <w:proofErr w:type="gramStart"/>
      <w:r>
        <w:t>Indien</w:t>
      </w:r>
      <w:proofErr w:type="gramEnd"/>
      <w:r>
        <w:t xml:space="preserve"> dit onvoldoende middelen oplevert, wordt middels stap 3 het in de MFK-herziening overeengekomen EURI-instrument ingezet</w:t>
      </w:r>
      <w:r w:rsidR="005C0DEA">
        <w:t>; h</w:t>
      </w:r>
      <w:r>
        <w:t xml:space="preserve">iermee kunnen </w:t>
      </w:r>
      <w:proofErr w:type="spellStart"/>
      <w:r>
        <w:t>decommiteringen</w:t>
      </w:r>
      <w:proofErr w:type="spellEnd"/>
      <w:r>
        <w:t xml:space="preserve"> (niet tot betaling gekomen vastleggingen) opnieuw worden ingezet. </w:t>
      </w:r>
      <w:proofErr w:type="gramStart"/>
      <w:r>
        <w:t>Indien</w:t>
      </w:r>
      <w:proofErr w:type="gramEnd"/>
      <w:r>
        <w:t xml:space="preserve"> er onvoldoende </w:t>
      </w:r>
      <w:proofErr w:type="spellStart"/>
      <w:r>
        <w:t>decommiteringen</w:t>
      </w:r>
      <w:proofErr w:type="spellEnd"/>
      <w:r>
        <w:t xml:space="preserve"> zijn geldt de </w:t>
      </w:r>
      <w:r w:rsidRPr="1B34CB36">
        <w:rPr>
          <w:i/>
          <w:iCs/>
        </w:rPr>
        <w:t>backstop</w:t>
      </w:r>
      <w:r>
        <w:t xml:space="preserve">, die ertoe leidt dat de lidstaten via de afdrachten aan de Unie op basis van het Eigenmiddelenbesluit extra bijdragen om de overschrijding te dekken. Het inzetten van deze backstop is momenteel niet aan de orde. </w:t>
      </w:r>
    </w:p>
    <w:p w:rsidR="00F40CDB" w:rsidP="00F40CDB" w:rsidRDefault="00F40CDB" w14:paraId="007EE256" w14:textId="77777777"/>
    <w:p w:rsidR="00F40CDB" w:rsidP="00F40CDB" w:rsidRDefault="00F40CDB" w14:paraId="1EBD9E23" w14:textId="77777777">
      <w:r>
        <w:t>In het akkoord wordt de kostenoverschrijding van 4,2 m</w:t>
      </w:r>
      <w:r w:rsidR="005C0DEA">
        <w:t>iljard</w:t>
      </w:r>
      <w:r>
        <w:t xml:space="preserve"> euro met 50% uit stap 2 van het cascademechanisme gefinancierd, met 99,6 m</w:t>
      </w:r>
      <w:r w:rsidR="005C0DEA">
        <w:t>iljoen</w:t>
      </w:r>
      <w:r>
        <w:t xml:space="preserve"> euro uit de marge van begrotingscategorie 2b en 2,1 m</w:t>
      </w:r>
      <w:r w:rsidR="005C0DEA">
        <w:t>iljard</w:t>
      </w:r>
      <w:r>
        <w:t xml:space="preserve">. </w:t>
      </w:r>
      <w:proofErr w:type="gramStart"/>
      <w:r>
        <w:t>euro</w:t>
      </w:r>
      <w:proofErr w:type="gramEnd"/>
      <w:r>
        <w:t xml:space="preserve"> uit het Flexibiliteitsinstrument. De overige 50% wordt gedekt uit het EURI-instrument (stap 3). </w:t>
      </w:r>
    </w:p>
    <w:p w:rsidR="00F40CDB" w:rsidP="00F40CDB" w:rsidRDefault="00F40CDB" w14:paraId="6B687496" w14:textId="77777777"/>
    <w:p w:rsidR="00F40CDB" w:rsidP="00F40CDB" w:rsidRDefault="00F40CDB" w14:paraId="214D9BF6" w14:textId="77777777">
      <w:pPr>
        <w:rPr>
          <w:rFonts w:eastAsia="Calibri" w:cs="Times New Roman"/>
          <w:color w:val="auto"/>
          <w:lang w:eastAsia="en-US"/>
        </w:rPr>
      </w:pPr>
      <w:r>
        <w:rPr>
          <w:rFonts w:eastAsia="Calibri" w:cs="Times New Roman"/>
          <w:color w:val="auto"/>
          <w:lang w:eastAsia="en-US"/>
        </w:rPr>
        <w:lastRenderedPageBreak/>
        <w:t>Bij het akkoord over de Europese jaarbegroting voor 2026 zijn ook drie verklaringen aangenomen.</w:t>
      </w:r>
      <w:r>
        <w:rPr>
          <w:rStyle w:val="Voetnootmarkering"/>
          <w:rFonts w:eastAsia="Calibri" w:cs="Times New Roman"/>
          <w:color w:val="auto"/>
          <w:lang w:eastAsia="en-US"/>
        </w:rPr>
        <w:footnoteReference w:id="3"/>
      </w:r>
      <w:r>
        <w:rPr>
          <w:rFonts w:eastAsia="Calibri" w:cs="Times New Roman"/>
          <w:color w:val="auto"/>
          <w:lang w:eastAsia="en-US"/>
        </w:rPr>
        <w:t xml:space="preserve"> De Raad en het EP roepen met een verklaring voor de betalingen de Commissie op om in 2026 actief toezicht te blijven houden op de uitvoering van programma’s. Dit gaat met name om de programma’s in begrotingscategorie 2b Veerkracht en Waarden en </w:t>
      </w:r>
      <w:r w:rsidRPr="00A1736B">
        <w:rPr>
          <w:rFonts w:eastAsia="Calibri" w:cs="Times New Roman"/>
          <w:color w:val="auto"/>
          <w:lang w:eastAsia="en-US"/>
        </w:rPr>
        <w:t>het Europees Landbouwfonds voor plattelandsontwikkeling (</w:t>
      </w:r>
      <w:r>
        <w:rPr>
          <w:rFonts w:eastAsia="Calibri" w:cs="Times New Roman"/>
          <w:color w:val="auto"/>
          <w:lang w:eastAsia="en-US"/>
        </w:rPr>
        <w:t>ELFPO</w:t>
      </w:r>
      <w:r w:rsidRPr="00A1736B">
        <w:rPr>
          <w:rFonts w:eastAsia="Calibri" w:cs="Times New Roman"/>
          <w:color w:val="auto"/>
          <w:lang w:eastAsia="en-US"/>
        </w:rPr>
        <w:t>)</w:t>
      </w:r>
      <w:r>
        <w:rPr>
          <w:rFonts w:eastAsia="Calibri" w:cs="Times New Roman"/>
          <w:color w:val="auto"/>
          <w:lang w:eastAsia="en-US"/>
        </w:rPr>
        <w:t>.</w:t>
      </w:r>
      <w:r w:rsidRPr="00A1736B">
        <w:t xml:space="preserve"> </w:t>
      </w:r>
      <w:r w:rsidRPr="00A1736B">
        <w:rPr>
          <w:rFonts w:eastAsia="Calibri" w:cs="Times New Roman"/>
          <w:color w:val="auto"/>
          <w:lang w:eastAsia="en-US"/>
        </w:rPr>
        <w:t>Daartoe wordt de Commissie verzocht om tijdig bijgewerkte cijfers en ramingen te presenteren met betrekking tot de betalingen voor 2025.</w:t>
      </w:r>
      <w:r>
        <w:rPr>
          <w:rFonts w:eastAsia="Calibri" w:cs="Times New Roman"/>
          <w:color w:val="auto"/>
          <w:lang w:eastAsia="en-US"/>
        </w:rPr>
        <w:t xml:space="preserve"> Daarnaast erkent de Commissie in haar verklaring dat zij waakzaam moet blijven op de budgettaire noden van de agentschappen en tegelijkertijd moet streven naar efficiëntie. </w:t>
      </w:r>
    </w:p>
    <w:p w:rsidR="00F40CDB" w:rsidP="00F40CDB" w:rsidRDefault="00F40CDB" w14:paraId="3964F92B" w14:textId="77777777">
      <w:pPr>
        <w:rPr>
          <w:rFonts w:eastAsia="Calibri" w:cs="Times New Roman"/>
          <w:color w:val="auto"/>
          <w:lang w:eastAsia="en-US"/>
        </w:rPr>
      </w:pPr>
    </w:p>
    <w:p w:rsidRPr="00795991" w:rsidR="00F40CDB" w:rsidP="00F40CDB" w:rsidRDefault="00F40CDB" w14:paraId="71B7C76D" w14:textId="77777777">
      <w:pPr>
        <w:rPr>
          <w:rFonts w:eastAsia="Calibri" w:cs="Times New Roman"/>
          <w:bCs/>
          <w:i/>
          <w:iCs/>
          <w:color w:val="auto"/>
          <w:lang w:eastAsia="en-US"/>
        </w:rPr>
      </w:pPr>
      <w:r w:rsidRPr="00795991">
        <w:rPr>
          <w:rFonts w:eastAsia="Calibri" w:cs="Times New Roman"/>
          <w:bCs/>
          <w:i/>
          <w:iCs/>
          <w:color w:val="auto"/>
          <w:lang w:eastAsia="en-US"/>
        </w:rPr>
        <w:t>Nederlandse appreciatie</w:t>
      </w:r>
    </w:p>
    <w:p w:rsidR="00F40CDB" w:rsidP="00F40CDB" w:rsidRDefault="00F40CDB" w14:paraId="326A9483" w14:textId="77777777">
      <w:pPr>
        <w:rPr>
          <w:rFonts w:eastAsia="Calibri" w:cs="Times New Roman"/>
          <w:color w:val="auto"/>
          <w:lang w:eastAsia="en-US"/>
        </w:rPr>
      </w:pPr>
      <w:r>
        <w:rPr>
          <w:rFonts w:eastAsia="Calibri" w:cs="Times New Roman"/>
          <w:color w:val="auto"/>
          <w:lang w:eastAsia="en-US"/>
        </w:rPr>
        <w:t xml:space="preserve">Zoals voorafgaand aan de onderhandelingen aan de Kamer gecommuniceerd is, heeft Nederland zich samen met gelijkgestemde lidstaten ingezet voor </w:t>
      </w:r>
      <w:bookmarkStart w:name="_Hlk119420890" w:id="1"/>
      <w:r>
        <w:rPr>
          <w:rFonts w:eastAsia="Calibri" w:cs="Times New Roman"/>
          <w:color w:val="auto"/>
          <w:lang w:eastAsia="en-US"/>
        </w:rPr>
        <w:t>een prudente, realistische en moderne begroting.</w:t>
      </w:r>
      <w:r>
        <w:rPr>
          <w:rFonts w:eastAsia="Calibri" w:cs="Times New Roman"/>
          <w:color w:val="auto"/>
          <w:vertAlign w:val="superscript"/>
          <w:lang w:val="en-US" w:eastAsia="en-US"/>
        </w:rPr>
        <w:footnoteReference w:id="4"/>
      </w:r>
      <w:r>
        <w:rPr>
          <w:rFonts w:eastAsia="Calibri" w:cs="Times New Roman"/>
          <w:color w:val="auto"/>
          <w:lang w:eastAsia="en-US"/>
        </w:rPr>
        <w:t xml:space="preserve"> </w:t>
      </w:r>
      <w:bookmarkEnd w:id="1"/>
      <w:r>
        <w:rPr>
          <w:rFonts w:eastAsia="Calibri" w:cs="Times New Roman"/>
          <w:color w:val="auto"/>
          <w:lang w:eastAsia="en-US"/>
        </w:rPr>
        <w:t>D</w:t>
      </w:r>
      <w:r w:rsidRPr="00726F8F">
        <w:rPr>
          <w:rFonts w:eastAsia="Calibri" w:cs="Times New Roman"/>
          <w:color w:val="auto"/>
          <w:lang w:eastAsia="en-US"/>
        </w:rPr>
        <w:t xml:space="preserve">it wil zeggen dat er volgens Nederland voldoende flexibele bestedingsruimte moet zijn om in te spelen op onvoorziene omstandigheden </w:t>
      </w:r>
      <w:r>
        <w:rPr>
          <w:rFonts w:eastAsia="Calibri" w:cs="Times New Roman"/>
          <w:color w:val="auto"/>
          <w:lang w:eastAsia="en-US"/>
        </w:rPr>
        <w:t xml:space="preserve">en de verder oplopende rentekosten in 2027. </w:t>
      </w:r>
    </w:p>
    <w:p w:rsidR="00F40CDB" w:rsidP="00F40CDB" w:rsidRDefault="00F40CDB" w14:paraId="3DD03F6E" w14:textId="77777777">
      <w:pPr>
        <w:rPr>
          <w:rFonts w:eastAsia="Calibri" w:cs="Times New Roman"/>
          <w:color w:val="auto"/>
          <w:lang w:eastAsia="en-US"/>
        </w:rPr>
      </w:pPr>
    </w:p>
    <w:p w:rsidR="00F40CDB" w:rsidP="00F40CDB" w:rsidRDefault="00F40CDB" w14:paraId="791E30A1" w14:textId="77777777">
      <w:pPr>
        <w:rPr>
          <w:rFonts w:eastAsia="Calibri" w:cs="Times New Roman"/>
          <w:color w:val="auto"/>
          <w:lang w:eastAsia="en-US"/>
        </w:rPr>
      </w:pPr>
      <w:r>
        <w:rPr>
          <w:rFonts w:eastAsia="Calibri" w:cs="Times New Roman"/>
          <w:color w:val="auto"/>
          <w:lang w:eastAsia="en-US"/>
        </w:rPr>
        <w:t xml:space="preserve">Nederland heeft prioriteit gegeven aan het dekken van de gestegen rentekosten voor NGEU in </w:t>
      </w:r>
      <w:r w:rsidRPr="00726F8F">
        <w:rPr>
          <w:rFonts w:eastAsia="Calibri" w:cs="Times New Roman"/>
          <w:color w:val="auto"/>
          <w:lang w:eastAsia="en-US"/>
        </w:rPr>
        <w:t>de context van de in de MFK-herziening gemaakte afspraken over het EURI-instrument</w:t>
      </w:r>
      <w:r>
        <w:rPr>
          <w:rFonts w:eastAsia="Calibri" w:cs="Times New Roman"/>
          <w:color w:val="auto"/>
          <w:lang w:eastAsia="en-US"/>
        </w:rPr>
        <w:t xml:space="preserve">. Hierbij is ingezet op minimaal 50% dekking uit stap 2 van het cascademechanisme met substantiële </w:t>
      </w:r>
      <w:proofErr w:type="spellStart"/>
      <w:r>
        <w:rPr>
          <w:rFonts w:eastAsia="Calibri" w:cs="Times New Roman"/>
          <w:color w:val="auto"/>
          <w:lang w:eastAsia="en-US"/>
        </w:rPr>
        <w:t>herprioriteringen</w:t>
      </w:r>
      <w:proofErr w:type="spellEnd"/>
      <w:r>
        <w:rPr>
          <w:rFonts w:eastAsia="Calibri" w:cs="Times New Roman"/>
          <w:color w:val="auto"/>
          <w:lang w:eastAsia="en-US"/>
        </w:rPr>
        <w:t xml:space="preserve">. Hoewel inderdaad 50% van de overschrijding wordt gedekt uit stap 2, bevat het akkoord slechts </w:t>
      </w:r>
      <w:r w:rsidRPr="00D245F0">
        <w:rPr>
          <w:rFonts w:eastAsia="Calibri" w:cs="Times New Roman"/>
          <w:color w:val="auto"/>
          <w:lang w:eastAsia="en-US"/>
        </w:rPr>
        <w:t>58,1</w:t>
      </w:r>
      <w:r>
        <w:rPr>
          <w:rFonts w:eastAsia="Calibri" w:cs="Times New Roman"/>
          <w:color w:val="auto"/>
          <w:lang w:eastAsia="en-US"/>
        </w:rPr>
        <w:t xml:space="preserve"> m</w:t>
      </w:r>
      <w:r w:rsidR="005C0DEA">
        <w:rPr>
          <w:rFonts w:eastAsia="Calibri" w:cs="Times New Roman"/>
          <w:color w:val="auto"/>
          <w:lang w:eastAsia="en-US"/>
        </w:rPr>
        <w:t>iljoen</w:t>
      </w:r>
      <w:r>
        <w:rPr>
          <w:rFonts w:eastAsia="Calibri" w:cs="Times New Roman"/>
          <w:color w:val="auto"/>
          <w:lang w:eastAsia="en-US"/>
        </w:rPr>
        <w:t xml:space="preserve"> euro aan </w:t>
      </w:r>
      <w:proofErr w:type="spellStart"/>
      <w:r>
        <w:rPr>
          <w:rFonts w:eastAsia="Calibri" w:cs="Times New Roman"/>
          <w:color w:val="auto"/>
          <w:lang w:eastAsia="en-US"/>
        </w:rPr>
        <w:t>herprioriteringen</w:t>
      </w:r>
      <w:proofErr w:type="spellEnd"/>
      <w:r>
        <w:rPr>
          <w:rFonts w:eastAsia="Calibri" w:cs="Times New Roman"/>
          <w:color w:val="auto"/>
          <w:lang w:eastAsia="en-US"/>
        </w:rPr>
        <w:t xml:space="preserve">. De dekking van de kostenoverschrijding van de rentekosten in stap 2 komt vrijwel volledig uit de inzet van het Flexibiliteitsinstrument. Het kabinet is van mening dat het prudenter zou zijn om deze flexibele ruimte te waarborgen voor onvoorziene omstandigheden en de dekking van de rentekosten in 2027, aangezien de overschrijding van de rentekosten dan naar verwachting groter is. </w:t>
      </w:r>
    </w:p>
    <w:p w:rsidR="00F40CDB" w:rsidP="00F40CDB" w:rsidRDefault="00F40CDB" w14:paraId="163C903E" w14:textId="77777777">
      <w:pPr>
        <w:rPr>
          <w:rFonts w:eastAsia="Calibri" w:cs="Times New Roman"/>
          <w:color w:val="auto"/>
          <w:lang w:eastAsia="en-US"/>
        </w:rPr>
      </w:pPr>
    </w:p>
    <w:p w:rsidR="00F40CDB" w:rsidP="00F40CDB" w:rsidRDefault="00F40CDB" w14:paraId="2C7668D3" w14:textId="77777777">
      <w:pPr>
        <w:rPr>
          <w:rFonts w:eastAsia="Calibri" w:cs="Times New Roman"/>
          <w:color w:val="auto"/>
          <w:lang w:eastAsia="en-US"/>
        </w:rPr>
      </w:pPr>
      <w:r>
        <w:rPr>
          <w:rFonts w:eastAsia="Calibri" w:cs="Times New Roman"/>
          <w:color w:val="auto"/>
          <w:lang w:eastAsia="en-US"/>
        </w:rPr>
        <w:t>Daarnaast wordt het Enkelvoudig Marge-instrument (</w:t>
      </w:r>
      <w:r>
        <w:rPr>
          <w:rFonts w:eastAsia="Calibri" w:cs="Times New Roman"/>
          <w:i/>
          <w:iCs/>
          <w:color w:val="auto"/>
          <w:lang w:eastAsia="en-US"/>
        </w:rPr>
        <w:t xml:space="preserve">Single </w:t>
      </w:r>
      <w:proofErr w:type="spellStart"/>
      <w:r>
        <w:rPr>
          <w:rFonts w:eastAsia="Calibri" w:cs="Times New Roman"/>
          <w:i/>
          <w:iCs/>
          <w:color w:val="auto"/>
          <w:lang w:eastAsia="en-US"/>
        </w:rPr>
        <w:t>Margin</w:t>
      </w:r>
      <w:proofErr w:type="spellEnd"/>
      <w:r>
        <w:rPr>
          <w:rFonts w:eastAsia="Calibri" w:cs="Times New Roman"/>
          <w:i/>
          <w:iCs/>
          <w:color w:val="auto"/>
          <w:lang w:eastAsia="en-US"/>
        </w:rPr>
        <w:t xml:space="preserve"> </w:t>
      </w:r>
      <w:r w:rsidRPr="000F78CA">
        <w:rPr>
          <w:rFonts w:eastAsia="Calibri" w:cs="Times New Roman"/>
          <w:color w:val="auto"/>
          <w:lang w:eastAsia="en-US"/>
        </w:rPr>
        <w:t>Instrument</w:t>
      </w:r>
      <w:r>
        <w:rPr>
          <w:rFonts w:eastAsia="Calibri" w:cs="Times New Roman"/>
          <w:color w:val="auto"/>
          <w:lang w:eastAsia="en-US"/>
        </w:rPr>
        <w:t xml:space="preserve">; </w:t>
      </w:r>
      <w:r w:rsidRPr="00A1736B">
        <w:rPr>
          <w:rFonts w:eastAsia="Calibri" w:cs="Times New Roman"/>
          <w:color w:val="auto"/>
          <w:lang w:eastAsia="en-US"/>
        </w:rPr>
        <w:t>SMI</w:t>
      </w:r>
      <w:r>
        <w:rPr>
          <w:rFonts w:eastAsia="Calibri" w:cs="Times New Roman"/>
          <w:color w:val="auto"/>
          <w:lang w:eastAsia="en-US"/>
        </w:rPr>
        <w:t>) met 0,7 m</w:t>
      </w:r>
      <w:r w:rsidR="005C0DEA">
        <w:rPr>
          <w:rFonts w:eastAsia="Calibri" w:cs="Times New Roman"/>
          <w:color w:val="auto"/>
          <w:lang w:eastAsia="en-US"/>
        </w:rPr>
        <w:t>iljard</w:t>
      </w:r>
      <w:r>
        <w:rPr>
          <w:rFonts w:eastAsia="Calibri" w:cs="Times New Roman"/>
          <w:color w:val="auto"/>
          <w:lang w:eastAsia="en-US"/>
        </w:rPr>
        <w:t xml:space="preserve"> euro ingezet voor de financiering van de administratieve uitgaven. Nederland heeft zich eerder al kritisch geuit over dekking van administratieve uitgaven via speciale instrumenten en heeft de Commissie opgeroepen om met structurele oplossingen binnen de begroting te komen.</w:t>
      </w:r>
    </w:p>
    <w:p w:rsidR="00F40CDB" w:rsidP="00F40CDB" w:rsidRDefault="00F40CDB" w14:paraId="55A0395F" w14:textId="77777777">
      <w:pPr>
        <w:rPr>
          <w:rFonts w:eastAsia="Calibri" w:cs="Times New Roman"/>
          <w:color w:val="auto"/>
          <w:lang w:eastAsia="en-US"/>
        </w:rPr>
      </w:pPr>
    </w:p>
    <w:p w:rsidR="00F40CDB" w:rsidP="1B34CB36" w:rsidRDefault="1B34CB36" w14:paraId="7EC5DFBA" w14:textId="77777777">
      <w:pPr>
        <w:rPr>
          <w:rFonts w:eastAsia="Calibri" w:cs="Times New Roman"/>
          <w:color w:val="auto"/>
          <w:lang w:eastAsia="en-US"/>
        </w:rPr>
      </w:pPr>
      <w:r w:rsidRPr="1B34CB36">
        <w:rPr>
          <w:rFonts w:eastAsia="Calibri" w:cs="Times New Roman"/>
          <w:color w:val="auto"/>
          <w:lang w:eastAsia="en-US"/>
        </w:rPr>
        <w:t>Nederland is tevreden dat de intensiveringen die in het akkoord zijn opgenomen ten goede komen aan programma’s die voor Nederland prioritair zijn zoals onderzoek en innovatie respectievelijk migratie.</w:t>
      </w:r>
    </w:p>
    <w:p w:rsidR="00F40CDB" w:rsidP="00F40CDB" w:rsidRDefault="00F40CDB" w14:paraId="0824EA32" w14:textId="77777777">
      <w:pPr>
        <w:rPr>
          <w:rFonts w:eastAsia="Calibri" w:cs="Times New Roman"/>
          <w:color w:val="auto"/>
          <w:lang w:eastAsia="en-US"/>
        </w:rPr>
      </w:pPr>
    </w:p>
    <w:p w:rsidR="0065647A" w:rsidP="0065647A" w:rsidRDefault="1B34CB36" w14:paraId="0B392AF4" w14:textId="77777777">
      <w:pPr>
        <w:rPr>
          <w:rFonts w:eastAsia="Calibri" w:cs="Times New Roman"/>
          <w:color w:val="auto"/>
          <w:lang w:eastAsia="en-US"/>
        </w:rPr>
      </w:pPr>
      <w:r w:rsidRPr="1B34CB36">
        <w:rPr>
          <w:rFonts w:eastAsia="Calibri" w:cs="Times New Roman"/>
          <w:color w:val="auto"/>
          <w:lang w:eastAsia="en-US"/>
        </w:rPr>
        <w:t xml:space="preserve">Alles overziend heeft Nederland besloten, samen met Oostenrijk en Finland, zich te onthouden van stemming over de Europese jaarbegroting 2026. Zweden heeft tegengestemd. Alhoewel de rentekosten voor 2026 volgens het afgesproken cascademechanisme worden gedekt, bevat het akkoord geen substantiële </w:t>
      </w:r>
      <w:proofErr w:type="spellStart"/>
      <w:r w:rsidRPr="1B34CB36">
        <w:rPr>
          <w:rFonts w:eastAsia="Calibri" w:cs="Times New Roman"/>
          <w:color w:val="auto"/>
          <w:lang w:eastAsia="en-US"/>
        </w:rPr>
        <w:t>herprioriteringen</w:t>
      </w:r>
      <w:proofErr w:type="spellEnd"/>
      <w:r w:rsidRPr="1B34CB36">
        <w:rPr>
          <w:rFonts w:eastAsia="Calibri" w:cs="Times New Roman"/>
          <w:color w:val="auto"/>
          <w:lang w:eastAsia="en-US"/>
        </w:rPr>
        <w:t>. Nederland heeft met een aantal gelijkgestemde landen een stemverklaring afgegeven.</w:t>
      </w:r>
      <w:r w:rsidRPr="0065647A" w:rsidR="0065647A">
        <w:rPr>
          <w:rStyle w:val="Voetnootmarkering"/>
          <w:rFonts w:eastAsia="Calibri" w:cs="Times New Roman"/>
          <w:color w:val="auto"/>
          <w:lang w:eastAsia="en-US"/>
        </w:rPr>
        <w:t xml:space="preserve"> </w:t>
      </w:r>
      <w:r w:rsidR="0065647A">
        <w:rPr>
          <w:rStyle w:val="Voetnootmarkering"/>
          <w:rFonts w:eastAsia="Calibri" w:cs="Times New Roman"/>
          <w:color w:val="auto"/>
          <w:lang w:eastAsia="en-US"/>
        </w:rPr>
        <w:footnoteReference w:id="5"/>
      </w:r>
      <w:r w:rsidRPr="1B34CB36">
        <w:rPr>
          <w:rFonts w:eastAsia="Calibri" w:cs="Times New Roman"/>
          <w:color w:val="auto"/>
          <w:lang w:eastAsia="en-US"/>
        </w:rPr>
        <w:t xml:space="preserve"> Hierin is opgenomen dat met het oog op de onzekere toekomst een prudente begroting belangrijk is. Dat wil zeggen, een begroting met voldoende marges waarbij speciale instrumenten alleen gebruikt worden voor echt onvoorziene omstandigheden. Hongarije (dat ook heeft onthouden) heeft ook een verklaring ingediend; hierin geven ze aan nieuwe gelden ten behoeve </w:t>
      </w:r>
      <w:r w:rsidRPr="1B34CB36">
        <w:rPr>
          <w:rFonts w:eastAsia="Calibri" w:cs="Times New Roman"/>
          <w:color w:val="auto"/>
          <w:lang w:eastAsia="en-US"/>
        </w:rPr>
        <w:lastRenderedPageBreak/>
        <w:t xml:space="preserve">van militaire uitgaven aan Oekraïne niet te kunnen steunen. </w:t>
      </w:r>
      <w:r w:rsidR="0065647A">
        <w:rPr>
          <w:rFonts w:eastAsia="Calibri" w:cs="Times New Roman"/>
          <w:color w:val="auto"/>
          <w:lang w:eastAsia="en-US"/>
        </w:rPr>
        <w:t xml:space="preserve">Aangezien over de Europese jaarbegroting met gekwalificeerde meerderheid gestemd wordt, is de begroting voor 2026 aangenomen. </w:t>
      </w:r>
    </w:p>
    <w:p w:rsidR="005D3AF4" w:rsidP="0065647A" w:rsidRDefault="005D3AF4" w14:paraId="2B317B41" w14:textId="77777777">
      <w:pPr>
        <w:rPr>
          <w:rFonts w:eastAsia="Calibri" w:cs="Times New Roman"/>
          <w:color w:val="auto"/>
          <w:lang w:eastAsia="en-US"/>
        </w:rPr>
      </w:pPr>
    </w:p>
    <w:p w:rsidR="00F40CDB" w:rsidP="00F40CDB" w:rsidRDefault="00F40CDB" w14:paraId="24523153" w14:textId="77777777">
      <w:pPr>
        <w:rPr>
          <w:rFonts w:eastAsia="Calibri" w:cs="Times New Roman"/>
          <w:bCs/>
          <w:i/>
          <w:iCs/>
          <w:color w:val="auto"/>
          <w:lang w:eastAsia="en-US"/>
        </w:rPr>
      </w:pPr>
      <w:r w:rsidRPr="00795991">
        <w:rPr>
          <w:rFonts w:eastAsia="Calibri" w:cs="Times New Roman"/>
          <w:bCs/>
          <w:i/>
          <w:iCs/>
          <w:color w:val="auto"/>
          <w:lang w:eastAsia="en-US"/>
        </w:rPr>
        <w:t>Gevolgen Nederlandse afdrachten</w:t>
      </w:r>
    </w:p>
    <w:p w:rsidR="00F40CDB" w:rsidP="00F40CDB" w:rsidRDefault="00F40CDB" w14:paraId="003B0649" w14:textId="77777777">
      <w:r>
        <w:t>Zoals toegelicht in de begroting van het ministerie van Buitenlandse Zaken, artikel 3.1, is de raming van de Nederlandse afdrachten aan de Europese begroting normaliter gebaseerd op de omvang van het jaarlijkse betalingenplafond uit het MFK plus de maximale inzet van speciale instrumenten die boven dit plafond worden gefinancierd. Uw Kamer is op 7 november jl. geïnformeerd over de afwijking van de gebruikelijke systematiek, omdat de marge tussen het betalingenplafond en het betalingenniveau erg groot was.</w:t>
      </w:r>
      <w:r>
        <w:rPr>
          <w:rStyle w:val="Voetnootmarkering"/>
        </w:rPr>
        <w:footnoteReference w:id="6"/>
      </w:r>
      <w:r>
        <w:t xml:space="preserve"> </w:t>
      </w:r>
      <w:r w:rsidRPr="002E3AE7">
        <w:t xml:space="preserve">Dit zou immers kunnen leiden tot </w:t>
      </w:r>
      <w:proofErr w:type="spellStart"/>
      <w:r w:rsidRPr="002E3AE7">
        <w:t>onderuitputting</w:t>
      </w:r>
      <w:proofErr w:type="spellEnd"/>
      <w:r w:rsidRPr="002E3AE7">
        <w:t xml:space="preserve"> op de Rijksbegroting eind volgend jaar. </w:t>
      </w:r>
      <w:r>
        <w:rPr>
          <w:color w:val="auto"/>
        </w:rPr>
        <w:t>Er</w:t>
      </w:r>
      <w:r w:rsidRPr="005F169B">
        <w:rPr>
          <w:color w:val="auto"/>
        </w:rPr>
        <w:t xml:space="preserve"> is</w:t>
      </w:r>
      <w:r>
        <w:rPr>
          <w:color w:val="auto"/>
        </w:rPr>
        <w:t xml:space="preserve"> </w:t>
      </w:r>
      <w:r w:rsidRPr="005F169B">
        <w:rPr>
          <w:color w:val="auto"/>
        </w:rPr>
        <w:t>gekozen om te ramen op basis van het</w:t>
      </w:r>
      <w:r>
        <w:rPr>
          <w:color w:val="auto"/>
        </w:rPr>
        <w:t xml:space="preserve"> </w:t>
      </w:r>
      <w:r w:rsidRPr="008B0D30">
        <w:rPr>
          <w:color w:val="auto"/>
        </w:rPr>
        <w:t>betalingenniveau</w:t>
      </w:r>
      <w:r w:rsidRPr="005F169B">
        <w:rPr>
          <w:color w:val="auto"/>
        </w:rPr>
        <w:t xml:space="preserve"> zoals door de Commissie voorgesteld in het eerste Commissievoorstel (192,2 m</w:t>
      </w:r>
      <w:r w:rsidR="002C062A">
        <w:rPr>
          <w:color w:val="auto"/>
        </w:rPr>
        <w:t xml:space="preserve">iljard </w:t>
      </w:r>
      <w:r w:rsidRPr="005F169B">
        <w:rPr>
          <w:color w:val="auto"/>
        </w:rPr>
        <w:t>euro)</w:t>
      </w:r>
      <w:r w:rsidR="008B0D30">
        <w:rPr>
          <w:color w:val="auto"/>
        </w:rPr>
        <w:t xml:space="preserve"> van juni jl.</w:t>
      </w:r>
      <w:r w:rsidRPr="005F169B">
        <w:rPr>
          <w:color w:val="auto"/>
        </w:rPr>
        <w:t xml:space="preserve"> Daarbij is gekozen om een marge van 7 m</w:t>
      </w:r>
      <w:r w:rsidR="002C062A">
        <w:rPr>
          <w:color w:val="auto"/>
        </w:rPr>
        <w:t>iljard</w:t>
      </w:r>
      <w:r w:rsidRPr="005F169B">
        <w:rPr>
          <w:color w:val="auto"/>
        </w:rPr>
        <w:t xml:space="preserve"> euro</w:t>
      </w:r>
      <w:r>
        <w:rPr>
          <w:color w:val="auto"/>
        </w:rPr>
        <w:t xml:space="preserve"> op EU-niveau</w:t>
      </w:r>
      <w:r w:rsidRPr="005F169B">
        <w:rPr>
          <w:color w:val="auto"/>
        </w:rPr>
        <w:t xml:space="preserve"> aan te houden.</w:t>
      </w:r>
    </w:p>
    <w:p w:rsidR="00F40CDB" w:rsidP="00F40CDB" w:rsidRDefault="00F40CDB" w14:paraId="736CDCC8" w14:textId="77777777"/>
    <w:p w:rsidR="00F40CDB" w:rsidP="00F40CDB" w:rsidRDefault="00F40CDB" w14:paraId="325EE2B0" w14:textId="77777777">
      <w:pPr>
        <w:rPr>
          <w:color w:val="auto"/>
        </w:rPr>
      </w:pPr>
      <w:r>
        <w:t xml:space="preserve">Het </w:t>
      </w:r>
      <w:r w:rsidR="008B0D30">
        <w:t xml:space="preserve">uiteindelijke </w:t>
      </w:r>
      <w:r>
        <w:t>betalingenniveau voor de Europese jaarbegroting 2026 is 190,1 m</w:t>
      </w:r>
      <w:r w:rsidR="002C062A">
        <w:t>iljard</w:t>
      </w:r>
      <w:r>
        <w:t xml:space="preserve"> euro. Het akkoord blijft daarmee onder de Nederlandse raming en heeft </w:t>
      </w:r>
      <w:proofErr w:type="gramStart"/>
      <w:r>
        <w:t>derhalve</w:t>
      </w:r>
      <w:proofErr w:type="gramEnd"/>
      <w:r>
        <w:t xml:space="preserve"> geen gevolgen voor de Nederlandse afdrachten aan de Europese Unie. De marge waarmee in de Nederlandse raming rekening wordt gehouden in 2026 is door het akkoord vergroot naar 9,1 m</w:t>
      </w:r>
      <w:r w:rsidR="002C062A">
        <w:t>iljard</w:t>
      </w:r>
      <w:r>
        <w:t xml:space="preserve"> euro. </w:t>
      </w:r>
      <w:r w:rsidRPr="005F169B">
        <w:rPr>
          <w:color w:val="auto"/>
        </w:rPr>
        <w:t>Bij de Voorjaarsnota 202</w:t>
      </w:r>
      <w:r>
        <w:rPr>
          <w:color w:val="auto"/>
        </w:rPr>
        <w:t>6</w:t>
      </w:r>
      <w:r w:rsidRPr="005F169B">
        <w:rPr>
          <w:color w:val="auto"/>
        </w:rPr>
        <w:t xml:space="preserve"> kan worden bezien of de raming moet worden bijgesteld.</w:t>
      </w:r>
      <w:r>
        <w:rPr>
          <w:color w:val="auto"/>
        </w:rPr>
        <w:t xml:space="preserve"> </w:t>
      </w:r>
      <w:r w:rsidRPr="005F169B">
        <w:rPr>
          <w:color w:val="auto"/>
        </w:rPr>
        <w:t xml:space="preserve">Ik zal uw Kamer zoals gebruikelijk per brief informeren over Europese aanvullende begrotingen en wijzigingen in de raming van de Nederlandse afdrachten als gevolg hiervan. </w:t>
      </w:r>
    </w:p>
    <w:p w:rsidR="00F40CDB" w:rsidP="00F40CDB" w:rsidRDefault="00F40CDB" w14:paraId="7D2B4FBA" w14:textId="77777777">
      <w:pPr>
        <w:rPr>
          <w:color w:val="auto"/>
        </w:rPr>
      </w:pPr>
    </w:p>
    <w:p w:rsidRPr="00184C51" w:rsidR="00F40CDB" w:rsidP="00F40CDB" w:rsidRDefault="00F40CDB" w14:paraId="019E91F4" w14:textId="77777777">
      <w:pPr>
        <w:rPr>
          <w:rFonts w:eastAsia="Calibri" w:cs="Times New Roman"/>
          <w:b/>
          <w:bCs/>
          <w:color w:val="auto"/>
          <w:lang w:eastAsia="en-US"/>
        </w:rPr>
      </w:pPr>
      <w:r>
        <w:rPr>
          <w:rFonts w:eastAsia="Calibri" w:cs="Times New Roman"/>
          <w:b/>
          <w:bCs/>
          <w:color w:val="auto"/>
          <w:lang w:eastAsia="en-US"/>
        </w:rPr>
        <w:t>Wijziging</w:t>
      </w:r>
      <w:r w:rsidRPr="00184C51">
        <w:rPr>
          <w:rFonts w:eastAsia="Calibri" w:cs="Times New Roman"/>
          <w:b/>
          <w:bCs/>
          <w:color w:val="auto"/>
          <w:lang w:eastAsia="en-US"/>
        </w:rPr>
        <w:t xml:space="preserve"> </w:t>
      </w:r>
      <w:r>
        <w:rPr>
          <w:rFonts w:eastAsia="Calibri" w:cs="Times New Roman"/>
          <w:b/>
          <w:bCs/>
          <w:color w:val="auto"/>
          <w:lang w:eastAsia="en-US"/>
        </w:rPr>
        <w:t>van de derde aanvullende Europese jaarbegroting 2025</w:t>
      </w:r>
    </w:p>
    <w:p w:rsidR="00F40CDB" w:rsidP="00F40CDB" w:rsidRDefault="00F40CDB" w14:paraId="3B51E906" w14:textId="77777777">
      <w:r>
        <w:t>Uw Kamer is o</w:t>
      </w:r>
      <w:r w:rsidRPr="00526D55">
        <w:t xml:space="preserve">p </w:t>
      </w:r>
      <w:r>
        <w:t>7 november</w:t>
      </w:r>
      <w:r w:rsidRPr="00526D55">
        <w:t xml:space="preserve"> jl. </w:t>
      </w:r>
      <w:r>
        <w:t>geïnformeerd over</w:t>
      </w:r>
      <w:r w:rsidRPr="00526D55">
        <w:t xml:space="preserve"> de derde aanvullende Europese begroting van 2025 (</w:t>
      </w:r>
      <w:r w:rsidRPr="002C062A">
        <w:rPr>
          <w:i/>
          <w:iCs/>
        </w:rPr>
        <w:t>D</w:t>
      </w:r>
      <w:r w:rsidRPr="002C062A" w:rsidR="002C062A">
        <w:rPr>
          <w:i/>
          <w:iCs/>
        </w:rPr>
        <w:t>raft Amending Budget</w:t>
      </w:r>
      <w:r w:rsidR="002C062A">
        <w:t>; D</w:t>
      </w:r>
      <w:r w:rsidRPr="00526D55">
        <w:t>AB3).</w:t>
      </w:r>
      <w:r>
        <w:rPr>
          <w:rStyle w:val="Voetnootmarkering"/>
        </w:rPr>
        <w:footnoteReference w:id="7"/>
      </w:r>
      <w:r w:rsidRPr="00526D55">
        <w:t xml:space="preserve"> </w:t>
      </w:r>
      <w:r>
        <w:t xml:space="preserve">Het effect van DAB3 was een stijging van </w:t>
      </w:r>
      <w:r>
        <w:rPr>
          <w:color w:val="auto"/>
        </w:rPr>
        <w:t>2 mln. euro van de raming van de Nederlandse EU-afdrachten in 2025.</w:t>
      </w:r>
      <w:r>
        <w:t xml:space="preserve"> Op 6 november jl. heeft de Commissie een wijziging van DAB3 gepubliceerd op basis van salariswijzigingen. </w:t>
      </w:r>
    </w:p>
    <w:p w:rsidR="00F40CDB" w:rsidP="00F40CDB" w:rsidRDefault="00F40CDB" w14:paraId="50656B8A" w14:textId="77777777"/>
    <w:p w:rsidR="00F40CDB" w:rsidP="00F40CDB" w:rsidRDefault="00F40CDB" w14:paraId="5DDB62B3" w14:textId="77777777">
      <w:r>
        <w:t xml:space="preserve">De salarisuitgaven voor 2025 liggen lager dan eerder door de Commissie geraamd. Dit leidt tot een </w:t>
      </w:r>
      <w:r w:rsidRPr="00526D55">
        <w:t xml:space="preserve">daling van </w:t>
      </w:r>
      <w:r>
        <w:t>78,8</w:t>
      </w:r>
      <w:r w:rsidRPr="00526D55">
        <w:t xml:space="preserve"> m</w:t>
      </w:r>
      <w:r w:rsidR="002C062A">
        <w:t>iljoen</w:t>
      </w:r>
      <w:r w:rsidRPr="00526D55">
        <w:t xml:space="preserve"> euro </w:t>
      </w:r>
      <w:r>
        <w:t xml:space="preserve">in de administratieve uitgaven. De inzet van het SMI voor de financiering van de administratieve uitgaven wordt gereduceerd met hetzelfde bedrag. </w:t>
      </w:r>
    </w:p>
    <w:p w:rsidRPr="00526D55" w:rsidR="002C062A" w:rsidP="00F40CDB" w:rsidRDefault="002C062A" w14:paraId="44665780" w14:textId="77777777"/>
    <w:p w:rsidR="00F40CDB" w:rsidP="00F40CDB" w:rsidRDefault="00F40CDB" w14:paraId="2537A79D" w14:textId="77777777">
      <w:pPr>
        <w:rPr>
          <w:i/>
          <w:iCs/>
          <w:color w:val="auto"/>
        </w:rPr>
      </w:pPr>
      <w:r w:rsidRPr="005F169B">
        <w:rPr>
          <w:i/>
          <w:iCs/>
          <w:color w:val="auto"/>
        </w:rPr>
        <w:t xml:space="preserve">Gevolgen voor de Nederlandse afdrachten </w:t>
      </w:r>
    </w:p>
    <w:p w:rsidR="00F40CDB" w:rsidP="00F40CDB" w:rsidRDefault="00F40CDB" w14:paraId="6325EAE7" w14:textId="77777777">
      <w:pPr>
        <w:rPr>
          <w:color w:val="auto"/>
        </w:rPr>
      </w:pPr>
      <w:r>
        <w:rPr>
          <w:color w:val="auto"/>
        </w:rPr>
        <w:t>Het effect van de wijziging van DAB3 is een daling van 5 m</w:t>
      </w:r>
      <w:r w:rsidR="002C062A">
        <w:rPr>
          <w:color w:val="auto"/>
        </w:rPr>
        <w:t>iljoen</w:t>
      </w:r>
      <w:r>
        <w:rPr>
          <w:color w:val="auto"/>
        </w:rPr>
        <w:t xml:space="preserve"> euro van de raming van de Nederlandse EU-afdrachten. Het netto-effect van DAB3 en de wijziging van DAB3 is een daling van 3 m</w:t>
      </w:r>
      <w:r w:rsidR="002C062A">
        <w:rPr>
          <w:color w:val="auto"/>
        </w:rPr>
        <w:t>iljoen</w:t>
      </w:r>
      <w:r>
        <w:rPr>
          <w:color w:val="auto"/>
        </w:rPr>
        <w:t xml:space="preserve"> euro van de raming van de Nederlandse EU-afdrachten.</w:t>
      </w:r>
    </w:p>
    <w:p w:rsidR="00F40CDB" w:rsidP="00F40CDB" w:rsidRDefault="00F40CDB" w14:paraId="40B19AF3" w14:textId="77777777">
      <w:pPr>
        <w:rPr>
          <w:color w:val="auto"/>
        </w:rPr>
      </w:pPr>
    </w:p>
    <w:p w:rsidRPr="00380405" w:rsidR="00F40CDB" w:rsidP="00F40CDB" w:rsidRDefault="00F40CDB" w14:paraId="78923FDB" w14:textId="77777777">
      <w:pPr>
        <w:rPr>
          <w:color w:val="auto"/>
        </w:rPr>
      </w:pPr>
      <w:r w:rsidRPr="005F169B">
        <w:rPr>
          <w:color w:val="auto"/>
        </w:rPr>
        <w:t>De budgettaire verwerking</w:t>
      </w:r>
      <w:r>
        <w:rPr>
          <w:color w:val="auto"/>
        </w:rPr>
        <w:t xml:space="preserve"> van de wijziging van DAB3 </w:t>
      </w:r>
      <w:r w:rsidR="00797475">
        <w:rPr>
          <w:color w:val="auto"/>
        </w:rPr>
        <w:t>is</w:t>
      </w:r>
      <w:r w:rsidRPr="005F169B">
        <w:rPr>
          <w:color w:val="auto"/>
        </w:rPr>
        <w:t xml:space="preserve"> zichtbaar </w:t>
      </w:r>
      <w:r w:rsidR="004E729E">
        <w:rPr>
          <w:color w:val="auto"/>
        </w:rPr>
        <w:t>in de Tweede Suppletoire Begroting van Buitenlandse Zaken en in het Buitenlandse Zaken deel van de Najaarsnota.</w:t>
      </w:r>
      <w:r w:rsidR="004E729E">
        <w:rPr>
          <w:rStyle w:val="Voetnootmarkering"/>
          <w:color w:val="auto"/>
        </w:rPr>
        <w:footnoteReference w:id="8"/>
      </w:r>
      <w:r w:rsidR="004E729E">
        <w:rPr>
          <w:color w:val="auto"/>
        </w:rPr>
        <w:t xml:space="preserve"> </w:t>
      </w:r>
    </w:p>
    <w:p w:rsidRPr="005F169B" w:rsidR="00F40CDB" w:rsidP="00F40CDB" w:rsidRDefault="00F40CDB" w14:paraId="1DA89DC3" w14:textId="77777777">
      <w:pPr>
        <w:rPr>
          <w:i/>
          <w:iCs/>
          <w:color w:val="auto"/>
        </w:rPr>
      </w:pPr>
    </w:p>
    <w:p w:rsidRPr="005F169B" w:rsidR="00F40CDB" w:rsidP="00F40CDB" w:rsidRDefault="005D3AF4" w14:paraId="68B8F636" w14:textId="77777777">
      <w:pPr>
        <w:rPr>
          <w:i/>
          <w:iCs/>
          <w:color w:val="auto"/>
        </w:rPr>
      </w:pPr>
      <w:r>
        <w:rPr>
          <w:i/>
          <w:iCs/>
          <w:color w:val="auto"/>
        </w:rPr>
        <w:lastRenderedPageBreak/>
        <w:t>Vervolgp</w:t>
      </w:r>
      <w:r w:rsidRPr="005F169B" w:rsidR="00F40CDB">
        <w:rPr>
          <w:i/>
          <w:iCs/>
          <w:color w:val="auto"/>
        </w:rPr>
        <w:t xml:space="preserve">roces en krachtenveld </w:t>
      </w:r>
    </w:p>
    <w:p w:rsidRPr="000F78CA" w:rsidR="00F40CDB" w:rsidP="00F40CDB" w:rsidRDefault="00F40CDB" w14:paraId="1ACA748C" w14:textId="77777777">
      <w:pPr>
        <w:rPr>
          <w:color w:val="auto"/>
        </w:rPr>
      </w:pPr>
      <w:r w:rsidRPr="005F169B">
        <w:rPr>
          <w:color w:val="auto"/>
        </w:rPr>
        <w:t>De behandeling van</w:t>
      </w:r>
      <w:r>
        <w:rPr>
          <w:color w:val="auto"/>
        </w:rPr>
        <w:t xml:space="preserve"> de wijziging van</w:t>
      </w:r>
      <w:r w:rsidRPr="005F169B">
        <w:rPr>
          <w:color w:val="auto"/>
        </w:rPr>
        <w:t xml:space="preserve"> DAB3 in </w:t>
      </w:r>
      <w:proofErr w:type="spellStart"/>
      <w:r w:rsidRPr="005F169B">
        <w:rPr>
          <w:color w:val="auto"/>
        </w:rPr>
        <w:t>Coreper</w:t>
      </w:r>
      <w:proofErr w:type="spellEnd"/>
      <w:r w:rsidRPr="005F169B">
        <w:rPr>
          <w:color w:val="auto"/>
        </w:rPr>
        <w:t xml:space="preserve"> </w:t>
      </w:r>
      <w:r>
        <w:rPr>
          <w:color w:val="auto"/>
        </w:rPr>
        <w:t>heeft plaatsgevonden</w:t>
      </w:r>
      <w:r w:rsidRPr="005F169B">
        <w:rPr>
          <w:color w:val="auto"/>
        </w:rPr>
        <w:t xml:space="preserve"> op </w:t>
      </w:r>
      <w:r>
        <w:rPr>
          <w:color w:val="auto"/>
        </w:rPr>
        <w:t xml:space="preserve">12 </w:t>
      </w:r>
      <w:r w:rsidRPr="005F169B">
        <w:rPr>
          <w:color w:val="auto"/>
        </w:rPr>
        <w:t xml:space="preserve">november </w:t>
      </w:r>
      <w:r>
        <w:rPr>
          <w:color w:val="auto"/>
        </w:rPr>
        <w:t xml:space="preserve">jl. </w:t>
      </w:r>
      <w:r w:rsidRPr="005F169B">
        <w:rPr>
          <w:color w:val="auto"/>
        </w:rPr>
        <w:t xml:space="preserve">Het kabinet </w:t>
      </w:r>
      <w:r>
        <w:rPr>
          <w:color w:val="auto"/>
        </w:rPr>
        <w:t xml:space="preserve">heeft ingestemd </w:t>
      </w:r>
      <w:r w:rsidRPr="005F169B">
        <w:rPr>
          <w:color w:val="auto"/>
        </w:rPr>
        <w:t>met de</w:t>
      </w:r>
      <w:r>
        <w:rPr>
          <w:color w:val="auto"/>
        </w:rPr>
        <w:t xml:space="preserve"> wijziging op de derde</w:t>
      </w:r>
      <w:r w:rsidRPr="005F169B">
        <w:rPr>
          <w:color w:val="auto"/>
        </w:rPr>
        <w:t xml:space="preserve"> aanvullende </w:t>
      </w:r>
      <w:r>
        <w:rPr>
          <w:color w:val="auto"/>
        </w:rPr>
        <w:t>jaar</w:t>
      </w:r>
      <w:r w:rsidRPr="005F169B">
        <w:rPr>
          <w:color w:val="auto"/>
        </w:rPr>
        <w:t>begroting</w:t>
      </w:r>
      <w:r>
        <w:rPr>
          <w:color w:val="auto"/>
        </w:rPr>
        <w:t xml:space="preserve"> voor 2025</w:t>
      </w:r>
      <w:r w:rsidRPr="005F169B">
        <w:rPr>
          <w:color w:val="auto"/>
        </w:rPr>
        <w:t xml:space="preserve">. De Raad </w:t>
      </w:r>
      <w:r>
        <w:rPr>
          <w:color w:val="auto"/>
        </w:rPr>
        <w:t xml:space="preserve">heeft hierover besloten </w:t>
      </w:r>
      <w:r w:rsidRPr="005F169B">
        <w:rPr>
          <w:color w:val="auto"/>
        </w:rPr>
        <w:t>met een gekwalificeerde meerderheid</w:t>
      </w:r>
      <w:r>
        <w:rPr>
          <w:color w:val="auto"/>
        </w:rPr>
        <w:t xml:space="preserve">. </w:t>
      </w:r>
    </w:p>
    <w:p w:rsidRPr="000F78CA" w:rsidR="00F40CDB" w:rsidP="00F40CDB" w:rsidRDefault="00F40CDB" w14:paraId="63E5ED28" w14:textId="77777777">
      <w:pPr>
        <w:rPr>
          <w:rFonts w:eastAsia="Calibri" w:cs="Times New Roman"/>
          <w:color w:val="auto"/>
          <w:lang w:eastAsia="en-US"/>
        </w:rPr>
      </w:pPr>
    </w:p>
    <w:p w:rsidR="00F40CDB" w:rsidP="00F40CDB" w:rsidRDefault="00F40CDB" w14:paraId="06C8109F" w14:textId="77777777">
      <w:pPr>
        <w:pStyle w:val="StandaardSlotzin"/>
      </w:pPr>
      <w:bookmarkStart w:name="_Hlk153361503" w:id="2"/>
      <w:r>
        <w:t>Hoogachtend,</w:t>
      </w:r>
    </w:p>
    <w:p w:rsidR="00F40CDB" w:rsidP="00F40CDB" w:rsidRDefault="00F40CDB" w14:paraId="4432454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40CDB" w:rsidTr="001E623A" w14:paraId="2B0C6721" w14:textId="77777777">
        <w:tc>
          <w:tcPr>
            <w:tcW w:w="3592" w:type="dxa"/>
          </w:tcPr>
          <w:p w:rsidR="00F40CDB" w:rsidP="001E623A" w:rsidRDefault="00F40CDB" w14:paraId="5797AFDE"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F40CDB" w:rsidP="001E623A" w:rsidRDefault="00F40CDB" w14:paraId="7142CF02" w14:textId="77777777"/>
        </w:tc>
      </w:tr>
    </w:tbl>
    <w:p w:rsidR="00F40CDB" w:rsidP="00F40CDB" w:rsidRDefault="00F40CDB" w14:paraId="15DD29F1" w14:textId="77777777">
      <w:pPr>
        <w:autoSpaceDN/>
        <w:spacing w:after="160" w:line="259" w:lineRule="auto"/>
        <w:textAlignment w:val="auto"/>
        <w:rPr>
          <w:b/>
          <w:bCs/>
        </w:rPr>
      </w:pPr>
      <w:r>
        <w:rPr>
          <w:b/>
          <w:bCs/>
        </w:rPr>
        <w:t xml:space="preserve"> </w:t>
      </w:r>
    </w:p>
    <w:p w:rsidR="00F40CDB" w:rsidP="00F40CDB" w:rsidRDefault="00F40CDB" w14:paraId="609ECAEE" w14:textId="77777777">
      <w:pPr>
        <w:spacing w:line="240" w:lineRule="auto"/>
        <w:rPr>
          <w:b/>
          <w:bCs/>
        </w:rPr>
      </w:pPr>
      <w:r>
        <w:rPr>
          <w:b/>
          <w:bCs/>
        </w:rPr>
        <w:br w:type="page"/>
      </w:r>
    </w:p>
    <w:p w:rsidR="00F40CDB" w:rsidP="00F40CDB" w:rsidRDefault="00F40CDB" w14:paraId="46DBF822" w14:textId="77777777">
      <w:pPr>
        <w:autoSpaceDN/>
        <w:spacing w:after="160" w:line="259" w:lineRule="auto"/>
        <w:textAlignment w:val="auto"/>
        <w:rPr>
          <w:b/>
          <w:bCs/>
        </w:rPr>
      </w:pPr>
      <w:r>
        <w:rPr>
          <w:b/>
          <w:bCs/>
        </w:rPr>
        <w:lastRenderedPageBreak/>
        <w:t>Bijlagen</w:t>
      </w:r>
    </w:p>
    <w:tbl>
      <w:tblPr>
        <w:tblW w:w="11065" w:type="dxa"/>
        <w:tblInd w:w="-1235" w:type="dxa"/>
        <w:tblCellMar>
          <w:left w:w="70" w:type="dxa"/>
          <w:right w:w="70" w:type="dxa"/>
        </w:tblCellMar>
        <w:tblLook w:val="04A0" w:firstRow="1" w:lastRow="0" w:firstColumn="1" w:lastColumn="0" w:noHBand="0" w:noVBand="1"/>
      </w:tblPr>
      <w:tblGrid>
        <w:gridCol w:w="2738"/>
        <w:gridCol w:w="965"/>
        <w:gridCol w:w="1051"/>
        <w:gridCol w:w="1051"/>
        <w:gridCol w:w="1052"/>
        <w:gridCol w:w="1051"/>
        <w:gridCol w:w="1052"/>
        <w:gridCol w:w="1051"/>
        <w:gridCol w:w="1054"/>
      </w:tblGrid>
      <w:tr w:rsidR="00F40CDB" w:rsidTr="001E623A" w14:paraId="2B6CAA4F" w14:textId="77777777">
        <w:trPr>
          <w:trHeight w:val="316"/>
        </w:trPr>
        <w:tc>
          <w:tcPr>
            <w:tcW w:w="11065" w:type="dxa"/>
            <w:gridSpan w:val="9"/>
            <w:tcBorders>
              <w:top w:val="nil"/>
              <w:left w:val="single" w:color="auto" w:sz="4" w:space="0"/>
              <w:bottom w:val="single" w:color="auto" w:sz="8" w:space="0"/>
              <w:right w:val="nil"/>
            </w:tcBorders>
            <w:shd w:val="clear" w:color="000000" w:fill="1F3864"/>
            <w:noWrap/>
            <w:vAlign w:val="center"/>
            <w:hideMark/>
          </w:tcPr>
          <w:p w:rsidR="00F40CDB" w:rsidP="001E623A" w:rsidRDefault="00F40CDB" w14:paraId="7FCB0ADD" w14:textId="77777777">
            <w:pPr>
              <w:spacing w:line="240" w:lineRule="auto"/>
              <w:rPr>
                <w:b/>
                <w:bCs/>
                <w:color w:val="FFFFFF"/>
                <w:sz w:val="16"/>
                <w:szCs w:val="16"/>
              </w:rPr>
            </w:pPr>
            <w:r>
              <w:rPr>
                <w:b/>
                <w:bCs/>
                <w:color w:val="FFFFFF"/>
                <w:sz w:val="16"/>
                <w:szCs w:val="16"/>
              </w:rPr>
              <w:t xml:space="preserve">Tabel 1: Verschillende posities voor de Europese jaarbegroting 2026 </w:t>
            </w:r>
            <w:r>
              <w:rPr>
                <w:color w:val="FFFFFF"/>
                <w:sz w:val="16"/>
                <w:szCs w:val="16"/>
              </w:rPr>
              <w:t>(in miljoenen euro, lopende prijzen)</w:t>
            </w:r>
          </w:p>
        </w:tc>
      </w:tr>
      <w:tr w:rsidR="00F40CDB" w:rsidTr="001E623A" w14:paraId="19A17613" w14:textId="77777777">
        <w:trPr>
          <w:trHeight w:val="316"/>
        </w:trPr>
        <w:tc>
          <w:tcPr>
            <w:tcW w:w="2738" w:type="dxa"/>
            <w:tcBorders>
              <w:top w:val="nil"/>
              <w:left w:val="single" w:color="auto" w:sz="4" w:space="0"/>
              <w:bottom w:val="single" w:color="auto" w:sz="8" w:space="0"/>
              <w:right w:val="single" w:color="auto" w:sz="4" w:space="0"/>
            </w:tcBorders>
            <w:shd w:val="clear" w:color="000000" w:fill="1F4E79"/>
            <w:noWrap/>
            <w:vAlign w:val="center"/>
            <w:hideMark/>
          </w:tcPr>
          <w:p w:rsidR="00F40CDB" w:rsidP="001E623A" w:rsidRDefault="00F40CDB" w14:paraId="02CE7371" w14:textId="77777777">
            <w:pPr>
              <w:rPr>
                <w:b/>
                <w:bCs/>
                <w:color w:val="FFFFFF"/>
                <w:sz w:val="16"/>
                <w:szCs w:val="16"/>
              </w:rPr>
            </w:pPr>
            <w:r>
              <w:rPr>
                <w:b/>
                <w:bCs/>
                <w:color w:val="FFFFFF"/>
                <w:sz w:val="16"/>
                <w:szCs w:val="16"/>
              </w:rPr>
              <w:t> </w:t>
            </w:r>
          </w:p>
        </w:tc>
        <w:tc>
          <w:tcPr>
            <w:tcW w:w="2016" w:type="dxa"/>
            <w:gridSpan w:val="2"/>
            <w:tcBorders>
              <w:top w:val="single" w:color="auto" w:sz="8" w:space="0"/>
              <w:left w:val="single" w:color="auto" w:sz="4" w:space="0"/>
              <w:bottom w:val="single" w:color="auto" w:sz="8" w:space="0"/>
              <w:right w:val="single" w:color="auto" w:sz="4" w:space="0"/>
            </w:tcBorders>
            <w:shd w:val="clear" w:color="000000" w:fill="1F4E79"/>
            <w:noWrap/>
            <w:vAlign w:val="center"/>
            <w:hideMark/>
          </w:tcPr>
          <w:p w:rsidR="00F40CDB" w:rsidP="001E623A" w:rsidRDefault="00F40CDB" w14:paraId="452F6841" w14:textId="77777777">
            <w:pPr>
              <w:jc w:val="center"/>
              <w:rPr>
                <w:b/>
                <w:bCs/>
                <w:color w:val="FFFFFF"/>
                <w:sz w:val="16"/>
                <w:szCs w:val="16"/>
              </w:rPr>
            </w:pPr>
            <w:r>
              <w:rPr>
                <w:b/>
                <w:bCs/>
                <w:color w:val="FFFFFF"/>
                <w:sz w:val="16"/>
                <w:szCs w:val="16"/>
              </w:rPr>
              <w:t>AL1</w:t>
            </w:r>
          </w:p>
        </w:tc>
        <w:tc>
          <w:tcPr>
            <w:tcW w:w="2103" w:type="dxa"/>
            <w:gridSpan w:val="2"/>
            <w:tcBorders>
              <w:top w:val="single" w:color="auto" w:sz="8" w:space="0"/>
              <w:left w:val="single" w:color="auto" w:sz="4" w:space="0"/>
              <w:bottom w:val="single" w:color="auto" w:sz="8" w:space="0"/>
              <w:right w:val="single" w:color="auto" w:sz="4" w:space="0"/>
            </w:tcBorders>
            <w:shd w:val="clear" w:color="000000" w:fill="1F4E79"/>
            <w:noWrap/>
            <w:vAlign w:val="center"/>
            <w:hideMark/>
          </w:tcPr>
          <w:p w:rsidR="00F40CDB" w:rsidP="001E623A" w:rsidRDefault="00F40CDB" w14:paraId="46BF53EA" w14:textId="77777777">
            <w:pPr>
              <w:jc w:val="center"/>
              <w:rPr>
                <w:b/>
                <w:bCs/>
                <w:color w:val="FFFFFF"/>
                <w:sz w:val="16"/>
                <w:szCs w:val="16"/>
              </w:rPr>
            </w:pPr>
            <w:r>
              <w:rPr>
                <w:b/>
                <w:bCs/>
                <w:color w:val="FFFFFF"/>
                <w:sz w:val="16"/>
                <w:szCs w:val="16"/>
              </w:rPr>
              <w:t xml:space="preserve">Raadspositie </w:t>
            </w:r>
          </w:p>
        </w:tc>
        <w:tc>
          <w:tcPr>
            <w:tcW w:w="2103" w:type="dxa"/>
            <w:gridSpan w:val="2"/>
            <w:tcBorders>
              <w:top w:val="single" w:color="auto" w:sz="8" w:space="0"/>
              <w:left w:val="single" w:color="auto" w:sz="4" w:space="0"/>
              <w:bottom w:val="single" w:color="auto" w:sz="8" w:space="0"/>
              <w:right w:val="single" w:color="auto" w:sz="4" w:space="0"/>
            </w:tcBorders>
            <w:shd w:val="clear" w:color="000000" w:fill="1F4E79"/>
            <w:noWrap/>
            <w:vAlign w:val="center"/>
            <w:hideMark/>
          </w:tcPr>
          <w:p w:rsidR="00F40CDB" w:rsidP="001E623A" w:rsidRDefault="00F40CDB" w14:paraId="350321BC" w14:textId="77777777">
            <w:pPr>
              <w:jc w:val="center"/>
              <w:rPr>
                <w:b/>
                <w:bCs/>
                <w:color w:val="FFFFFF"/>
                <w:sz w:val="16"/>
                <w:szCs w:val="16"/>
              </w:rPr>
            </w:pPr>
            <w:r>
              <w:rPr>
                <w:b/>
                <w:bCs/>
                <w:color w:val="FFFFFF"/>
                <w:sz w:val="16"/>
                <w:szCs w:val="16"/>
              </w:rPr>
              <w:t>EP</w:t>
            </w:r>
          </w:p>
        </w:tc>
        <w:tc>
          <w:tcPr>
            <w:tcW w:w="2105" w:type="dxa"/>
            <w:gridSpan w:val="2"/>
            <w:tcBorders>
              <w:top w:val="single" w:color="auto" w:sz="8" w:space="0"/>
              <w:left w:val="single" w:color="auto" w:sz="4" w:space="0"/>
              <w:bottom w:val="single" w:color="auto" w:sz="8" w:space="0"/>
              <w:right w:val="nil"/>
            </w:tcBorders>
            <w:shd w:val="clear" w:color="000000" w:fill="1F4E79"/>
            <w:noWrap/>
            <w:vAlign w:val="center"/>
            <w:hideMark/>
          </w:tcPr>
          <w:p w:rsidR="00F40CDB" w:rsidP="001E623A" w:rsidRDefault="00F40CDB" w14:paraId="5431E816" w14:textId="77777777">
            <w:pPr>
              <w:jc w:val="center"/>
              <w:rPr>
                <w:b/>
                <w:bCs/>
                <w:color w:val="FFFFFF"/>
                <w:sz w:val="16"/>
                <w:szCs w:val="16"/>
              </w:rPr>
            </w:pPr>
            <w:r>
              <w:rPr>
                <w:b/>
                <w:bCs/>
                <w:color w:val="FFFFFF"/>
                <w:sz w:val="16"/>
                <w:szCs w:val="16"/>
              </w:rPr>
              <w:t>Akkoord</w:t>
            </w:r>
          </w:p>
        </w:tc>
      </w:tr>
      <w:tr w:rsidR="00F40CDB" w:rsidTr="001E623A" w14:paraId="6FEF1513" w14:textId="77777777">
        <w:trPr>
          <w:trHeight w:val="316"/>
        </w:trPr>
        <w:tc>
          <w:tcPr>
            <w:tcW w:w="2738" w:type="dxa"/>
            <w:tcBorders>
              <w:top w:val="nil"/>
              <w:left w:val="single" w:color="auto" w:sz="4" w:space="0"/>
              <w:bottom w:val="single" w:color="auto" w:sz="8" w:space="0"/>
              <w:right w:val="single" w:color="auto" w:sz="4" w:space="0"/>
            </w:tcBorders>
            <w:shd w:val="clear" w:color="000000" w:fill="1F4E79"/>
            <w:noWrap/>
            <w:vAlign w:val="center"/>
            <w:hideMark/>
          </w:tcPr>
          <w:p w:rsidR="00F40CDB" w:rsidP="001E623A" w:rsidRDefault="00F40CDB" w14:paraId="623B87D3" w14:textId="77777777">
            <w:pPr>
              <w:rPr>
                <w:b/>
                <w:bCs/>
                <w:color w:val="FFFFFF"/>
                <w:sz w:val="16"/>
                <w:szCs w:val="16"/>
              </w:rPr>
            </w:pPr>
            <w:r>
              <w:rPr>
                <w:b/>
                <w:bCs/>
                <w:color w:val="FFFFFF"/>
                <w:sz w:val="16"/>
                <w:szCs w:val="16"/>
              </w:rPr>
              <w:t> </w:t>
            </w:r>
            <w:r>
              <w:rPr>
                <w:b/>
                <w:bCs/>
                <w:sz w:val="16"/>
                <w:szCs w:val="16"/>
              </w:rPr>
              <w:t xml:space="preserve"> </w:t>
            </w:r>
            <w:r>
              <w:rPr>
                <w:b/>
                <w:bCs/>
                <w:color w:val="FFFFFF"/>
                <w:sz w:val="16"/>
                <w:szCs w:val="16"/>
              </w:rPr>
              <w:t>Begrotingscategorieën</w:t>
            </w:r>
          </w:p>
        </w:tc>
        <w:tc>
          <w:tcPr>
            <w:tcW w:w="965" w:type="dxa"/>
            <w:tcBorders>
              <w:top w:val="nil"/>
              <w:left w:val="single" w:color="auto" w:sz="4" w:space="0"/>
              <w:bottom w:val="single" w:color="auto" w:sz="8" w:space="0"/>
              <w:right w:val="single" w:color="auto" w:sz="4" w:space="0"/>
            </w:tcBorders>
            <w:shd w:val="clear" w:color="000000" w:fill="1F4E79"/>
            <w:noWrap/>
            <w:vAlign w:val="center"/>
            <w:hideMark/>
          </w:tcPr>
          <w:p w:rsidR="00F40CDB" w:rsidP="001E623A" w:rsidRDefault="00F40CDB" w14:paraId="20D68A16" w14:textId="77777777">
            <w:pPr>
              <w:rPr>
                <w:b/>
                <w:bCs/>
                <w:color w:val="FFFFFF"/>
                <w:sz w:val="16"/>
                <w:szCs w:val="16"/>
              </w:rPr>
            </w:pPr>
            <w:proofErr w:type="gramStart"/>
            <w:r>
              <w:rPr>
                <w:b/>
                <w:bCs/>
                <w:color w:val="FFFFFF"/>
                <w:sz w:val="16"/>
                <w:szCs w:val="16"/>
              </w:rPr>
              <w:t>Vastl.*</w:t>
            </w:r>
            <w:proofErr w:type="gramEnd"/>
          </w:p>
        </w:tc>
        <w:tc>
          <w:tcPr>
            <w:tcW w:w="1051" w:type="dxa"/>
            <w:tcBorders>
              <w:top w:val="nil"/>
              <w:left w:val="single" w:color="auto" w:sz="4" w:space="0"/>
              <w:bottom w:val="single" w:color="auto" w:sz="8" w:space="0"/>
              <w:right w:val="single" w:color="auto" w:sz="4" w:space="0"/>
            </w:tcBorders>
            <w:shd w:val="clear" w:color="000000" w:fill="1F4E79"/>
            <w:noWrap/>
            <w:vAlign w:val="center"/>
            <w:hideMark/>
          </w:tcPr>
          <w:p w:rsidR="00F40CDB" w:rsidP="001E623A" w:rsidRDefault="00F40CDB" w14:paraId="617C3F10" w14:textId="77777777">
            <w:pPr>
              <w:rPr>
                <w:b/>
                <w:bCs/>
                <w:color w:val="FFFFFF"/>
                <w:sz w:val="16"/>
                <w:szCs w:val="16"/>
              </w:rPr>
            </w:pPr>
            <w:proofErr w:type="gramStart"/>
            <w:r>
              <w:rPr>
                <w:b/>
                <w:bCs/>
                <w:color w:val="FFFFFF"/>
                <w:sz w:val="16"/>
                <w:szCs w:val="16"/>
              </w:rPr>
              <w:t>Bet.*</w:t>
            </w:r>
            <w:proofErr w:type="gramEnd"/>
            <w:r>
              <w:rPr>
                <w:b/>
                <w:bCs/>
                <w:color w:val="FFFFFF"/>
                <w:sz w:val="16"/>
                <w:szCs w:val="16"/>
              </w:rPr>
              <w:t>*</w:t>
            </w:r>
          </w:p>
        </w:tc>
        <w:tc>
          <w:tcPr>
            <w:tcW w:w="1051" w:type="dxa"/>
            <w:tcBorders>
              <w:top w:val="nil"/>
              <w:left w:val="single" w:color="auto" w:sz="4" w:space="0"/>
              <w:bottom w:val="single" w:color="auto" w:sz="8" w:space="0"/>
              <w:right w:val="single" w:color="auto" w:sz="4" w:space="0"/>
            </w:tcBorders>
            <w:shd w:val="clear" w:color="000000" w:fill="1F4E79"/>
            <w:noWrap/>
            <w:vAlign w:val="center"/>
            <w:hideMark/>
          </w:tcPr>
          <w:p w:rsidR="00F40CDB" w:rsidP="001E623A" w:rsidRDefault="00F40CDB" w14:paraId="768C372E" w14:textId="77777777">
            <w:pPr>
              <w:rPr>
                <w:b/>
                <w:bCs/>
                <w:color w:val="FFFFFF"/>
                <w:sz w:val="16"/>
                <w:szCs w:val="16"/>
              </w:rPr>
            </w:pPr>
            <w:proofErr w:type="spellStart"/>
            <w:r>
              <w:rPr>
                <w:b/>
                <w:bCs/>
                <w:color w:val="FFFFFF"/>
                <w:sz w:val="16"/>
                <w:szCs w:val="16"/>
              </w:rPr>
              <w:t>Vastl</w:t>
            </w:r>
            <w:proofErr w:type="spellEnd"/>
            <w:r>
              <w:rPr>
                <w:b/>
                <w:bCs/>
                <w:color w:val="FFFFFF"/>
                <w:sz w:val="16"/>
                <w:szCs w:val="16"/>
              </w:rPr>
              <w:t>.</w:t>
            </w:r>
          </w:p>
        </w:tc>
        <w:tc>
          <w:tcPr>
            <w:tcW w:w="1052" w:type="dxa"/>
            <w:tcBorders>
              <w:top w:val="nil"/>
              <w:left w:val="single" w:color="auto" w:sz="4" w:space="0"/>
              <w:bottom w:val="single" w:color="auto" w:sz="8" w:space="0"/>
              <w:right w:val="single" w:color="auto" w:sz="4" w:space="0"/>
            </w:tcBorders>
            <w:shd w:val="clear" w:color="000000" w:fill="1F4E79"/>
            <w:noWrap/>
            <w:vAlign w:val="center"/>
            <w:hideMark/>
          </w:tcPr>
          <w:p w:rsidR="00F40CDB" w:rsidP="001E623A" w:rsidRDefault="00F40CDB" w14:paraId="7C2DCEE7" w14:textId="77777777">
            <w:pPr>
              <w:rPr>
                <w:b/>
                <w:bCs/>
                <w:color w:val="FFFFFF"/>
                <w:sz w:val="16"/>
                <w:szCs w:val="16"/>
              </w:rPr>
            </w:pPr>
            <w:r>
              <w:rPr>
                <w:b/>
                <w:bCs/>
                <w:color w:val="FFFFFF"/>
                <w:sz w:val="16"/>
                <w:szCs w:val="16"/>
              </w:rPr>
              <w:t>Bet.</w:t>
            </w:r>
          </w:p>
        </w:tc>
        <w:tc>
          <w:tcPr>
            <w:tcW w:w="1051" w:type="dxa"/>
            <w:tcBorders>
              <w:top w:val="nil"/>
              <w:left w:val="single" w:color="auto" w:sz="4" w:space="0"/>
              <w:bottom w:val="single" w:color="auto" w:sz="8" w:space="0"/>
              <w:right w:val="single" w:color="auto" w:sz="4" w:space="0"/>
            </w:tcBorders>
            <w:shd w:val="clear" w:color="000000" w:fill="1F4E79"/>
            <w:noWrap/>
            <w:vAlign w:val="center"/>
            <w:hideMark/>
          </w:tcPr>
          <w:p w:rsidR="00F40CDB" w:rsidP="001E623A" w:rsidRDefault="00F40CDB" w14:paraId="0467630A" w14:textId="77777777">
            <w:pPr>
              <w:rPr>
                <w:b/>
                <w:bCs/>
                <w:color w:val="FFFFFF"/>
                <w:sz w:val="16"/>
                <w:szCs w:val="16"/>
              </w:rPr>
            </w:pPr>
            <w:proofErr w:type="spellStart"/>
            <w:r>
              <w:rPr>
                <w:b/>
                <w:bCs/>
                <w:color w:val="FFFFFF"/>
                <w:sz w:val="16"/>
                <w:szCs w:val="16"/>
              </w:rPr>
              <w:t>Vastl</w:t>
            </w:r>
            <w:proofErr w:type="spellEnd"/>
            <w:r>
              <w:rPr>
                <w:b/>
                <w:bCs/>
                <w:color w:val="FFFFFF"/>
                <w:sz w:val="16"/>
                <w:szCs w:val="16"/>
              </w:rPr>
              <w:t>.</w:t>
            </w:r>
          </w:p>
        </w:tc>
        <w:tc>
          <w:tcPr>
            <w:tcW w:w="1052" w:type="dxa"/>
            <w:tcBorders>
              <w:top w:val="nil"/>
              <w:left w:val="single" w:color="auto" w:sz="4" w:space="0"/>
              <w:bottom w:val="single" w:color="auto" w:sz="8" w:space="0"/>
              <w:right w:val="single" w:color="auto" w:sz="4" w:space="0"/>
            </w:tcBorders>
            <w:shd w:val="clear" w:color="000000" w:fill="1F4E79"/>
            <w:noWrap/>
            <w:vAlign w:val="center"/>
            <w:hideMark/>
          </w:tcPr>
          <w:p w:rsidR="00F40CDB" w:rsidP="001E623A" w:rsidRDefault="00F40CDB" w14:paraId="0D4F3880" w14:textId="77777777">
            <w:pPr>
              <w:rPr>
                <w:b/>
                <w:bCs/>
                <w:color w:val="FFFFFF"/>
                <w:sz w:val="16"/>
                <w:szCs w:val="16"/>
              </w:rPr>
            </w:pPr>
            <w:r>
              <w:rPr>
                <w:b/>
                <w:bCs/>
                <w:color w:val="FFFFFF"/>
                <w:sz w:val="16"/>
                <w:szCs w:val="16"/>
              </w:rPr>
              <w:t>Bet.</w:t>
            </w:r>
          </w:p>
        </w:tc>
        <w:tc>
          <w:tcPr>
            <w:tcW w:w="1051" w:type="dxa"/>
            <w:tcBorders>
              <w:top w:val="nil"/>
              <w:left w:val="single" w:color="auto" w:sz="4" w:space="0"/>
              <w:bottom w:val="single" w:color="auto" w:sz="8" w:space="0"/>
              <w:right w:val="single" w:color="auto" w:sz="4" w:space="0"/>
            </w:tcBorders>
            <w:shd w:val="clear" w:color="000000" w:fill="1F4E79"/>
            <w:noWrap/>
            <w:vAlign w:val="center"/>
            <w:hideMark/>
          </w:tcPr>
          <w:p w:rsidR="00F40CDB" w:rsidP="001E623A" w:rsidRDefault="00F40CDB" w14:paraId="33372D04" w14:textId="77777777">
            <w:pPr>
              <w:rPr>
                <w:b/>
                <w:bCs/>
                <w:color w:val="FFFFFF"/>
                <w:sz w:val="16"/>
                <w:szCs w:val="16"/>
              </w:rPr>
            </w:pPr>
            <w:proofErr w:type="spellStart"/>
            <w:r>
              <w:rPr>
                <w:b/>
                <w:bCs/>
                <w:color w:val="FFFFFF"/>
                <w:sz w:val="16"/>
                <w:szCs w:val="16"/>
              </w:rPr>
              <w:t>Vastl</w:t>
            </w:r>
            <w:proofErr w:type="spellEnd"/>
            <w:r>
              <w:rPr>
                <w:b/>
                <w:bCs/>
                <w:color w:val="FFFFFF"/>
                <w:sz w:val="16"/>
                <w:szCs w:val="16"/>
              </w:rPr>
              <w:t>.</w:t>
            </w:r>
          </w:p>
        </w:tc>
        <w:tc>
          <w:tcPr>
            <w:tcW w:w="1054" w:type="dxa"/>
            <w:tcBorders>
              <w:top w:val="nil"/>
              <w:left w:val="single" w:color="auto" w:sz="4" w:space="0"/>
              <w:bottom w:val="single" w:color="auto" w:sz="8" w:space="0"/>
              <w:right w:val="nil"/>
            </w:tcBorders>
            <w:shd w:val="clear" w:color="000000" w:fill="1F4E79"/>
            <w:noWrap/>
            <w:vAlign w:val="center"/>
            <w:hideMark/>
          </w:tcPr>
          <w:p w:rsidR="00F40CDB" w:rsidP="001E623A" w:rsidRDefault="00F40CDB" w14:paraId="66C6B3DD" w14:textId="77777777">
            <w:pPr>
              <w:rPr>
                <w:b/>
                <w:bCs/>
                <w:color w:val="FFFFFF"/>
                <w:sz w:val="16"/>
                <w:szCs w:val="16"/>
              </w:rPr>
            </w:pPr>
            <w:r>
              <w:rPr>
                <w:b/>
                <w:bCs/>
                <w:color w:val="FFFFFF"/>
                <w:sz w:val="16"/>
                <w:szCs w:val="16"/>
              </w:rPr>
              <w:t>Bet.</w:t>
            </w:r>
          </w:p>
        </w:tc>
      </w:tr>
      <w:tr w:rsidR="00F40CDB" w:rsidTr="001E623A" w14:paraId="72F7138E" w14:textId="77777777">
        <w:trPr>
          <w:trHeight w:val="422"/>
        </w:trPr>
        <w:tc>
          <w:tcPr>
            <w:tcW w:w="2738" w:type="dxa"/>
            <w:tcBorders>
              <w:top w:val="nil"/>
              <w:left w:val="single" w:color="auto" w:sz="4" w:space="0"/>
              <w:bottom w:val="nil"/>
              <w:right w:val="single" w:color="auto" w:sz="4" w:space="0"/>
            </w:tcBorders>
            <w:shd w:val="clear" w:color="auto" w:fill="auto"/>
            <w:vAlign w:val="center"/>
            <w:hideMark/>
          </w:tcPr>
          <w:p w:rsidR="00F40CDB" w:rsidP="001E623A" w:rsidRDefault="00F40CDB" w14:paraId="42087A68" w14:textId="77777777">
            <w:pPr>
              <w:rPr>
                <w:sz w:val="16"/>
                <w:szCs w:val="16"/>
              </w:rPr>
            </w:pPr>
            <w:r>
              <w:rPr>
                <w:rFonts w:cs="Calibri"/>
                <w:sz w:val="16"/>
                <w:szCs w:val="16"/>
              </w:rPr>
              <w:t>H1. Interne markt, innovatie en digitaal</w:t>
            </w:r>
          </w:p>
        </w:tc>
        <w:tc>
          <w:tcPr>
            <w:tcW w:w="965" w:type="dxa"/>
            <w:tcBorders>
              <w:top w:val="nil"/>
              <w:left w:val="single" w:color="auto" w:sz="4" w:space="0"/>
              <w:bottom w:val="nil"/>
              <w:right w:val="single" w:color="auto" w:sz="4" w:space="0"/>
            </w:tcBorders>
            <w:shd w:val="clear" w:color="auto" w:fill="auto"/>
            <w:vAlign w:val="center"/>
            <w:hideMark/>
          </w:tcPr>
          <w:p w:rsidR="00F40CDB" w:rsidP="001E623A" w:rsidRDefault="00F40CDB" w14:paraId="5A4CAF09" w14:textId="77777777">
            <w:pPr>
              <w:jc w:val="right"/>
              <w:rPr>
                <w:sz w:val="16"/>
                <w:szCs w:val="16"/>
              </w:rPr>
            </w:pPr>
            <w:r>
              <w:rPr>
                <w:rFonts w:cs="Calibri"/>
                <w:sz w:val="16"/>
                <w:szCs w:val="16"/>
              </w:rPr>
              <w:t>22.054</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4AE3E282" w14:textId="77777777">
            <w:pPr>
              <w:jc w:val="right"/>
              <w:rPr>
                <w:sz w:val="16"/>
                <w:szCs w:val="16"/>
              </w:rPr>
            </w:pPr>
            <w:r>
              <w:rPr>
                <w:rFonts w:cs="Calibri"/>
                <w:sz w:val="16"/>
                <w:szCs w:val="16"/>
              </w:rPr>
              <w:t>23.309</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237560D5" w14:textId="77777777">
            <w:pPr>
              <w:jc w:val="right"/>
              <w:rPr>
                <w:sz w:val="16"/>
                <w:szCs w:val="16"/>
              </w:rPr>
            </w:pPr>
            <w:r>
              <w:rPr>
                <w:sz w:val="16"/>
                <w:szCs w:val="16"/>
              </w:rPr>
              <w:t>21.566</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6910896B" w14:textId="77777777">
            <w:pPr>
              <w:jc w:val="right"/>
              <w:rPr>
                <w:sz w:val="16"/>
                <w:szCs w:val="16"/>
              </w:rPr>
            </w:pPr>
            <w:r>
              <w:rPr>
                <w:sz w:val="16"/>
                <w:szCs w:val="16"/>
              </w:rPr>
              <w:t>23.139</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3A74B6FF" w14:textId="77777777">
            <w:pPr>
              <w:jc w:val="right"/>
              <w:rPr>
                <w:sz w:val="16"/>
                <w:szCs w:val="16"/>
              </w:rPr>
            </w:pPr>
            <w:r>
              <w:rPr>
                <w:sz w:val="16"/>
                <w:szCs w:val="16"/>
              </w:rPr>
              <w:t>22.266</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2A9D2868" w14:textId="77777777">
            <w:pPr>
              <w:jc w:val="right"/>
              <w:rPr>
                <w:sz w:val="16"/>
                <w:szCs w:val="16"/>
              </w:rPr>
            </w:pPr>
            <w:r>
              <w:rPr>
                <w:sz w:val="16"/>
                <w:szCs w:val="16"/>
              </w:rPr>
              <w:t>23.416</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6A23FA77" w14:textId="77777777">
            <w:pPr>
              <w:jc w:val="right"/>
              <w:rPr>
                <w:sz w:val="16"/>
                <w:szCs w:val="16"/>
              </w:rPr>
            </w:pPr>
            <w:r>
              <w:rPr>
                <w:sz w:val="16"/>
                <w:szCs w:val="16"/>
              </w:rPr>
              <w:t>22.163</w:t>
            </w:r>
          </w:p>
        </w:tc>
        <w:tc>
          <w:tcPr>
            <w:tcW w:w="1054"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014C9B86" w14:textId="77777777">
            <w:pPr>
              <w:jc w:val="right"/>
              <w:rPr>
                <w:sz w:val="16"/>
                <w:szCs w:val="16"/>
              </w:rPr>
            </w:pPr>
            <w:r>
              <w:rPr>
                <w:sz w:val="16"/>
                <w:szCs w:val="16"/>
              </w:rPr>
              <w:t>23.337</w:t>
            </w:r>
          </w:p>
        </w:tc>
      </w:tr>
      <w:tr w:rsidR="00F40CDB" w:rsidTr="001E623A" w14:paraId="6BA7DB7B" w14:textId="77777777">
        <w:trPr>
          <w:trHeight w:val="422"/>
        </w:trPr>
        <w:tc>
          <w:tcPr>
            <w:tcW w:w="2738" w:type="dxa"/>
            <w:tcBorders>
              <w:top w:val="nil"/>
              <w:left w:val="single" w:color="auto" w:sz="4" w:space="0"/>
              <w:bottom w:val="nil"/>
              <w:right w:val="single" w:color="auto" w:sz="4" w:space="0"/>
            </w:tcBorders>
            <w:shd w:val="clear" w:color="auto" w:fill="auto"/>
            <w:vAlign w:val="center"/>
            <w:hideMark/>
          </w:tcPr>
          <w:p w:rsidR="00F40CDB" w:rsidP="001E623A" w:rsidRDefault="00F40CDB" w14:paraId="0BB6316A" w14:textId="77777777">
            <w:pPr>
              <w:rPr>
                <w:sz w:val="16"/>
                <w:szCs w:val="16"/>
              </w:rPr>
            </w:pPr>
            <w:r>
              <w:rPr>
                <w:rFonts w:cs="Calibri"/>
                <w:sz w:val="16"/>
                <w:szCs w:val="16"/>
              </w:rPr>
              <w:t>H2. Cohesie, veerkracht en waarden</w:t>
            </w:r>
          </w:p>
        </w:tc>
        <w:tc>
          <w:tcPr>
            <w:tcW w:w="965" w:type="dxa"/>
            <w:tcBorders>
              <w:top w:val="nil"/>
              <w:left w:val="single" w:color="auto" w:sz="4" w:space="0"/>
              <w:bottom w:val="nil"/>
              <w:right w:val="single" w:color="auto" w:sz="4" w:space="0"/>
            </w:tcBorders>
            <w:shd w:val="clear" w:color="auto" w:fill="auto"/>
            <w:vAlign w:val="center"/>
            <w:hideMark/>
          </w:tcPr>
          <w:p w:rsidR="00F40CDB" w:rsidP="001E623A" w:rsidRDefault="00F40CDB" w14:paraId="67927411" w14:textId="77777777">
            <w:pPr>
              <w:jc w:val="right"/>
              <w:rPr>
                <w:sz w:val="16"/>
                <w:szCs w:val="16"/>
              </w:rPr>
            </w:pPr>
            <w:r>
              <w:rPr>
                <w:rFonts w:cs="Calibri"/>
                <w:sz w:val="16"/>
                <w:szCs w:val="16"/>
              </w:rPr>
              <w:t>71.675</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787B91BB" w14:textId="77777777">
            <w:pPr>
              <w:jc w:val="right"/>
              <w:rPr>
                <w:sz w:val="16"/>
                <w:szCs w:val="16"/>
              </w:rPr>
            </w:pPr>
            <w:r>
              <w:rPr>
                <w:rFonts w:cs="Calibri"/>
                <w:sz w:val="16"/>
                <w:szCs w:val="16"/>
              </w:rPr>
              <w:t>73.169</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37929FCE" w14:textId="77777777">
            <w:pPr>
              <w:jc w:val="right"/>
              <w:rPr>
                <w:sz w:val="16"/>
                <w:szCs w:val="16"/>
              </w:rPr>
            </w:pPr>
            <w:r>
              <w:rPr>
                <w:sz w:val="16"/>
                <w:szCs w:val="16"/>
              </w:rPr>
              <w:t>70.952</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0F0978D5" w14:textId="77777777">
            <w:pPr>
              <w:jc w:val="right"/>
              <w:rPr>
                <w:sz w:val="16"/>
                <w:szCs w:val="16"/>
              </w:rPr>
            </w:pPr>
            <w:r>
              <w:rPr>
                <w:sz w:val="16"/>
                <w:szCs w:val="16"/>
              </w:rPr>
              <w:t>74.135</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796D326E" w14:textId="77777777">
            <w:pPr>
              <w:jc w:val="right"/>
              <w:rPr>
                <w:sz w:val="16"/>
                <w:szCs w:val="16"/>
              </w:rPr>
            </w:pPr>
            <w:r>
              <w:rPr>
                <w:sz w:val="16"/>
                <w:szCs w:val="16"/>
              </w:rPr>
              <w:t>71.797</w:t>
            </w:r>
          </w:p>
        </w:tc>
        <w:tc>
          <w:tcPr>
            <w:tcW w:w="1052"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6D34A8DC" w14:textId="77777777">
            <w:pPr>
              <w:jc w:val="right"/>
              <w:rPr>
                <w:sz w:val="16"/>
                <w:szCs w:val="16"/>
              </w:rPr>
            </w:pPr>
            <w:r>
              <w:rPr>
                <w:sz w:val="16"/>
                <w:szCs w:val="16"/>
              </w:rPr>
              <w:t>74.659</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183EE65A" w14:textId="77777777">
            <w:pPr>
              <w:jc w:val="right"/>
              <w:rPr>
                <w:sz w:val="16"/>
                <w:szCs w:val="16"/>
              </w:rPr>
            </w:pPr>
            <w:r>
              <w:rPr>
                <w:sz w:val="16"/>
                <w:szCs w:val="16"/>
              </w:rPr>
              <w:t>71.650</w:t>
            </w:r>
          </w:p>
        </w:tc>
        <w:tc>
          <w:tcPr>
            <w:tcW w:w="1054"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4017C9DC" w14:textId="77777777">
            <w:pPr>
              <w:jc w:val="right"/>
              <w:rPr>
                <w:sz w:val="16"/>
                <w:szCs w:val="16"/>
              </w:rPr>
            </w:pPr>
            <w:r>
              <w:rPr>
                <w:sz w:val="16"/>
                <w:szCs w:val="16"/>
              </w:rPr>
              <w:t>73.167</w:t>
            </w:r>
          </w:p>
        </w:tc>
      </w:tr>
      <w:tr w:rsidR="00F40CDB" w:rsidTr="001E623A" w14:paraId="7C1D4700" w14:textId="77777777">
        <w:trPr>
          <w:trHeight w:val="301"/>
        </w:trPr>
        <w:tc>
          <w:tcPr>
            <w:tcW w:w="2738" w:type="dxa"/>
            <w:tcBorders>
              <w:top w:val="nil"/>
              <w:left w:val="single" w:color="auto" w:sz="4" w:space="0"/>
              <w:bottom w:val="nil"/>
              <w:right w:val="single" w:color="auto" w:sz="4" w:space="0"/>
            </w:tcBorders>
            <w:shd w:val="clear" w:color="auto" w:fill="auto"/>
            <w:vAlign w:val="center"/>
            <w:hideMark/>
          </w:tcPr>
          <w:p w:rsidR="00F40CDB" w:rsidP="001E623A" w:rsidRDefault="00F40CDB" w14:paraId="219BE05E" w14:textId="77777777">
            <w:pPr>
              <w:rPr>
                <w:sz w:val="16"/>
                <w:szCs w:val="16"/>
              </w:rPr>
            </w:pPr>
            <w:r>
              <w:rPr>
                <w:rFonts w:cs="Calibri"/>
                <w:sz w:val="16"/>
                <w:szCs w:val="16"/>
              </w:rPr>
              <w:t>H3. Landbouw en milieu</w:t>
            </w:r>
          </w:p>
        </w:tc>
        <w:tc>
          <w:tcPr>
            <w:tcW w:w="965" w:type="dxa"/>
            <w:tcBorders>
              <w:top w:val="nil"/>
              <w:left w:val="single" w:color="auto" w:sz="4" w:space="0"/>
              <w:bottom w:val="nil"/>
              <w:right w:val="single" w:color="auto" w:sz="4" w:space="0"/>
            </w:tcBorders>
            <w:shd w:val="clear" w:color="auto" w:fill="auto"/>
            <w:vAlign w:val="center"/>
            <w:hideMark/>
          </w:tcPr>
          <w:p w:rsidR="00F40CDB" w:rsidP="001E623A" w:rsidRDefault="00F40CDB" w14:paraId="73FB322A" w14:textId="77777777">
            <w:pPr>
              <w:jc w:val="right"/>
              <w:rPr>
                <w:sz w:val="16"/>
                <w:szCs w:val="16"/>
              </w:rPr>
            </w:pPr>
            <w:r>
              <w:rPr>
                <w:sz w:val="16"/>
                <w:szCs w:val="16"/>
              </w:rPr>
              <w:t>56.637</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06C0620F" w14:textId="77777777">
            <w:pPr>
              <w:jc w:val="right"/>
              <w:rPr>
                <w:sz w:val="16"/>
                <w:szCs w:val="16"/>
              </w:rPr>
            </w:pPr>
            <w:r>
              <w:rPr>
                <w:sz w:val="16"/>
                <w:szCs w:val="16"/>
              </w:rPr>
              <w:t>52.693</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1D7E8309" w14:textId="77777777">
            <w:pPr>
              <w:jc w:val="right"/>
              <w:rPr>
                <w:sz w:val="16"/>
                <w:szCs w:val="16"/>
              </w:rPr>
            </w:pPr>
            <w:r>
              <w:rPr>
                <w:sz w:val="16"/>
                <w:szCs w:val="16"/>
              </w:rPr>
              <w:t>56.954</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1975C2D8" w14:textId="77777777">
            <w:pPr>
              <w:jc w:val="right"/>
              <w:rPr>
                <w:sz w:val="16"/>
                <w:szCs w:val="16"/>
              </w:rPr>
            </w:pPr>
            <w:r>
              <w:rPr>
                <w:sz w:val="16"/>
                <w:szCs w:val="16"/>
              </w:rPr>
              <w:t>53.127</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55C09263" w14:textId="77777777">
            <w:pPr>
              <w:jc w:val="right"/>
              <w:rPr>
                <w:sz w:val="16"/>
                <w:szCs w:val="16"/>
              </w:rPr>
            </w:pPr>
            <w:r>
              <w:rPr>
                <w:sz w:val="16"/>
                <w:szCs w:val="16"/>
              </w:rPr>
              <w:t>57.071</w:t>
            </w:r>
          </w:p>
        </w:tc>
        <w:tc>
          <w:tcPr>
            <w:tcW w:w="1052"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57BCC976" w14:textId="77777777">
            <w:pPr>
              <w:jc w:val="right"/>
              <w:rPr>
                <w:sz w:val="16"/>
                <w:szCs w:val="16"/>
              </w:rPr>
            </w:pPr>
            <w:r>
              <w:rPr>
                <w:sz w:val="16"/>
                <w:szCs w:val="16"/>
              </w:rPr>
              <w:t>53.202</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0089AA7C" w14:textId="77777777">
            <w:pPr>
              <w:jc w:val="right"/>
              <w:rPr>
                <w:sz w:val="16"/>
                <w:szCs w:val="16"/>
              </w:rPr>
            </w:pPr>
            <w:r>
              <w:rPr>
                <w:sz w:val="16"/>
                <w:szCs w:val="16"/>
              </w:rPr>
              <w:t>56.529</w:t>
            </w:r>
          </w:p>
        </w:tc>
        <w:tc>
          <w:tcPr>
            <w:tcW w:w="1054"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3C5DF8C4" w14:textId="77777777">
            <w:pPr>
              <w:jc w:val="right"/>
              <w:rPr>
                <w:sz w:val="16"/>
                <w:szCs w:val="16"/>
              </w:rPr>
            </w:pPr>
            <w:r>
              <w:rPr>
                <w:sz w:val="16"/>
                <w:szCs w:val="16"/>
              </w:rPr>
              <w:t>52.577</w:t>
            </w:r>
          </w:p>
        </w:tc>
      </w:tr>
      <w:tr w:rsidR="00F40CDB" w:rsidTr="001E623A" w14:paraId="15F87D10" w14:textId="77777777">
        <w:trPr>
          <w:trHeight w:val="422"/>
        </w:trPr>
        <w:tc>
          <w:tcPr>
            <w:tcW w:w="2738" w:type="dxa"/>
            <w:tcBorders>
              <w:top w:val="nil"/>
              <w:left w:val="single" w:color="auto" w:sz="4" w:space="0"/>
              <w:bottom w:val="nil"/>
              <w:right w:val="single" w:color="auto" w:sz="4" w:space="0"/>
            </w:tcBorders>
            <w:shd w:val="clear" w:color="auto" w:fill="auto"/>
            <w:vAlign w:val="center"/>
            <w:hideMark/>
          </w:tcPr>
          <w:p w:rsidR="00F40CDB" w:rsidP="001E623A" w:rsidRDefault="00F40CDB" w14:paraId="0A39C177" w14:textId="77777777">
            <w:pPr>
              <w:rPr>
                <w:sz w:val="16"/>
                <w:szCs w:val="16"/>
              </w:rPr>
            </w:pPr>
            <w:r>
              <w:rPr>
                <w:rFonts w:cs="Calibri"/>
                <w:sz w:val="16"/>
                <w:szCs w:val="16"/>
              </w:rPr>
              <w:t>H4. Migratie en grensmanagement</w:t>
            </w:r>
          </w:p>
        </w:tc>
        <w:tc>
          <w:tcPr>
            <w:tcW w:w="965" w:type="dxa"/>
            <w:tcBorders>
              <w:top w:val="nil"/>
              <w:left w:val="single" w:color="auto" w:sz="4" w:space="0"/>
              <w:bottom w:val="nil"/>
              <w:right w:val="single" w:color="auto" w:sz="4" w:space="0"/>
            </w:tcBorders>
            <w:shd w:val="clear" w:color="auto" w:fill="auto"/>
            <w:vAlign w:val="center"/>
            <w:hideMark/>
          </w:tcPr>
          <w:p w:rsidR="00F40CDB" w:rsidP="001E623A" w:rsidRDefault="00F40CDB" w14:paraId="64BFAC73" w14:textId="77777777">
            <w:pPr>
              <w:jc w:val="right"/>
              <w:rPr>
                <w:sz w:val="16"/>
                <w:szCs w:val="16"/>
              </w:rPr>
            </w:pPr>
            <w:r>
              <w:rPr>
                <w:sz w:val="16"/>
                <w:szCs w:val="16"/>
              </w:rPr>
              <w:t>5.010</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284796CA" w14:textId="77777777">
            <w:pPr>
              <w:jc w:val="right"/>
              <w:rPr>
                <w:sz w:val="16"/>
                <w:szCs w:val="16"/>
              </w:rPr>
            </w:pPr>
            <w:r>
              <w:rPr>
                <w:sz w:val="16"/>
                <w:szCs w:val="16"/>
              </w:rPr>
              <w:t>3.887</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5D708325" w14:textId="77777777">
            <w:pPr>
              <w:jc w:val="right"/>
              <w:rPr>
                <w:sz w:val="16"/>
                <w:szCs w:val="16"/>
              </w:rPr>
            </w:pPr>
            <w:r>
              <w:rPr>
                <w:sz w:val="16"/>
                <w:szCs w:val="16"/>
              </w:rPr>
              <w:t>4.989</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40641262" w14:textId="77777777">
            <w:pPr>
              <w:jc w:val="right"/>
              <w:rPr>
                <w:sz w:val="16"/>
                <w:szCs w:val="16"/>
              </w:rPr>
            </w:pPr>
            <w:r>
              <w:rPr>
                <w:sz w:val="16"/>
                <w:szCs w:val="16"/>
              </w:rPr>
              <w:t>3.864</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5A2221AD" w14:textId="77777777">
            <w:pPr>
              <w:jc w:val="right"/>
              <w:rPr>
                <w:sz w:val="16"/>
                <w:szCs w:val="16"/>
              </w:rPr>
            </w:pPr>
            <w:r>
              <w:rPr>
                <w:sz w:val="16"/>
                <w:szCs w:val="16"/>
              </w:rPr>
              <w:t>5.050</w:t>
            </w:r>
          </w:p>
        </w:tc>
        <w:tc>
          <w:tcPr>
            <w:tcW w:w="1052"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6A72CF26" w14:textId="77777777">
            <w:pPr>
              <w:jc w:val="right"/>
              <w:rPr>
                <w:sz w:val="16"/>
                <w:szCs w:val="16"/>
              </w:rPr>
            </w:pPr>
            <w:r>
              <w:rPr>
                <w:sz w:val="16"/>
                <w:szCs w:val="16"/>
              </w:rPr>
              <w:t>3.907</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5181D4D2" w14:textId="77777777">
            <w:pPr>
              <w:jc w:val="right"/>
              <w:rPr>
                <w:sz w:val="16"/>
                <w:szCs w:val="16"/>
              </w:rPr>
            </w:pPr>
            <w:r>
              <w:rPr>
                <w:sz w:val="16"/>
                <w:szCs w:val="16"/>
              </w:rPr>
              <w:t>5.019</w:t>
            </w:r>
          </w:p>
        </w:tc>
        <w:tc>
          <w:tcPr>
            <w:tcW w:w="1054"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7CCE6B54" w14:textId="77777777">
            <w:pPr>
              <w:jc w:val="right"/>
              <w:rPr>
                <w:sz w:val="16"/>
                <w:szCs w:val="16"/>
              </w:rPr>
            </w:pPr>
            <w:r>
              <w:rPr>
                <w:sz w:val="16"/>
                <w:szCs w:val="16"/>
              </w:rPr>
              <w:t>3.888</w:t>
            </w:r>
          </w:p>
        </w:tc>
      </w:tr>
      <w:tr w:rsidR="00F40CDB" w:rsidTr="001E623A" w14:paraId="4A0D1A62" w14:textId="77777777">
        <w:trPr>
          <w:trHeight w:val="301"/>
        </w:trPr>
        <w:tc>
          <w:tcPr>
            <w:tcW w:w="2738" w:type="dxa"/>
            <w:tcBorders>
              <w:top w:val="nil"/>
              <w:left w:val="single" w:color="auto" w:sz="4" w:space="0"/>
              <w:bottom w:val="nil"/>
              <w:right w:val="single" w:color="auto" w:sz="4" w:space="0"/>
            </w:tcBorders>
            <w:shd w:val="clear" w:color="auto" w:fill="auto"/>
            <w:vAlign w:val="center"/>
            <w:hideMark/>
          </w:tcPr>
          <w:p w:rsidR="00F40CDB" w:rsidP="001E623A" w:rsidRDefault="00F40CDB" w14:paraId="78E298EA" w14:textId="77777777">
            <w:pPr>
              <w:rPr>
                <w:sz w:val="16"/>
                <w:szCs w:val="16"/>
              </w:rPr>
            </w:pPr>
            <w:r>
              <w:rPr>
                <w:rFonts w:cs="Calibri"/>
                <w:sz w:val="16"/>
                <w:szCs w:val="16"/>
              </w:rPr>
              <w:t>H5. Veiligheid en defensie</w:t>
            </w:r>
          </w:p>
        </w:tc>
        <w:tc>
          <w:tcPr>
            <w:tcW w:w="965" w:type="dxa"/>
            <w:tcBorders>
              <w:top w:val="nil"/>
              <w:left w:val="single" w:color="auto" w:sz="4" w:space="0"/>
              <w:bottom w:val="nil"/>
              <w:right w:val="single" w:color="auto" w:sz="4" w:space="0"/>
            </w:tcBorders>
            <w:shd w:val="clear" w:color="auto" w:fill="auto"/>
            <w:vAlign w:val="center"/>
            <w:hideMark/>
          </w:tcPr>
          <w:p w:rsidR="00F40CDB" w:rsidP="001E623A" w:rsidRDefault="00F40CDB" w14:paraId="28113B80" w14:textId="77777777">
            <w:pPr>
              <w:jc w:val="right"/>
              <w:rPr>
                <w:sz w:val="16"/>
                <w:szCs w:val="16"/>
              </w:rPr>
            </w:pPr>
            <w:r>
              <w:rPr>
                <w:sz w:val="16"/>
                <w:szCs w:val="16"/>
              </w:rPr>
              <w:t>2.804</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382465F5" w14:textId="77777777">
            <w:pPr>
              <w:jc w:val="right"/>
              <w:rPr>
                <w:sz w:val="16"/>
                <w:szCs w:val="16"/>
              </w:rPr>
            </w:pPr>
            <w:r>
              <w:rPr>
                <w:sz w:val="16"/>
                <w:szCs w:val="16"/>
              </w:rPr>
              <w:t>2.251</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67683447" w14:textId="77777777">
            <w:pPr>
              <w:jc w:val="right"/>
              <w:rPr>
                <w:sz w:val="16"/>
                <w:szCs w:val="16"/>
              </w:rPr>
            </w:pPr>
            <w:r>
              <w:rPr>
                <w:sz w:val="16"/>
                <w:szCs w:val="16"/>
              </w:rPr>
              <w:t>2.804</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23AA848D" w14:textId="77777777">
            <w:pPr>
              <w:jc w:val="right"/>
              <w:rPr>
                <w:sz w:val="16"/>
                <w:szCs w:val="16"/>
              </w:rPr>
            </w:pPr>
            <w:r>
              <w:rPr>
                <w:sz w:val="16"/>
                <w:szCs w:val="16"/>
              </w:rPr>
              <w:t>2.251</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5FABD942" w14:textId="77777777">
            <w:pPr>
              <w:jc w:val="right"/>
              <w:rPr>
                <w:sz w:val="16"/>
                <w:szCs w:val="16"/>
              </w:rPr>
            </w:pPr>
            <w:r>
              <w:rPr>
                <w:sz w:val="16"/>
                <w:szCs w:val="16"/>
              </w:rPr>
              <w:t>2.856</w:t>
            </w:r>
          </w:p>
        </w:tc>
        <w:tc>
          <w:tcPr>
            <w:tcW w:w="1052"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5EBA901E" w14:textId="77777777">
            <w:pPr>
              <w:jc w:val="right"/>
              <w:rPr>
                <w:sz w:val="16"/>
                <w:szCs w:val="16"/>
              </w:rPr>
            </w:pPr>
            <w:r>
              <w:rPr>
                <w:sz w:val="16"/>
                <w:szCs w:val="16"/>
              </w:rPr>
              <w:t>2.285</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3637B241" w14:textId="77777777">
            <w:pPr>
              <w:jc w:val="right"/>
              <w:rPr>
                <w:sz w:val="16"/>
                <w:szCs w:val="16"/>
              </w:rPr>
            </w:pPr>
            <w:r>
              <w:rPr>
                <w:sz w:val="16"/>
                <w:szCs w:val="16"/>
              </w:rPr>
              <w:t>2.814</w:t>
            </w:r>
          </w:p>
        </w:tc>
        <w:tc>
          <w:tcPr>
            <w:tcW w:w="1054"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11BE3BE9" w14:textId="77777777">
            <w:pPr>
              <w:jc w:val="right"/>
              <w:rPr>
                <w:sz w:val="16"/>
                <w:szCs w:val="16"/>
              </w:rPr>
            </w:pPr>
            <w:r>
              <w:rPr>
                <w:sz w:val="16"/>
                <w:szCs w:val="16"/>
              </w:rPr>
              <w:t>2.253</w:t>
            </w:r>
          </w:p>
        </w:tc>
      </w:tr>
      <w:tr w:rsidR="00F40CDB" w:rsidTr="001E623A" w14:paraId="437FBD3A" w14:textId="77777777">
        <w:trPr>
          <w:trHeight w:val="301"/>
        </w:trPr>
        <w:tc>
          <w:tcPr>
            <w:tcW w:w="2738" w:type="dxa"/>
            <w:tcBorders>
              <w:top w:val="nil"/>
              <w:left w:val="single" w:color="auto" w:sz="4" w:space="0"/>
              <w:bottom w:val="nil"/>
              <w:right w:val="single" w:color="auto" w:sz="4" w:space="0"/>
            </w:tcBorders>
            <w:shd w:val="clear" w:color="auto" w:fill="auto"/>
            <w:vAlign w:val="center"/>
            <w:hideMark/>
          </w:tcPr>
          <w:p w:rsidR="00F40CDB" w:rsidP="001E623A" w:rsidRDefault="00F40CDB" w14:paraId="73B9F90A" w14:textId="77777777">
            <w:pPr>
              <w:rPr>
                <w:sz w:val="16"/>
                <w:szCs w:val="16"/>
              </w:rPr>
            </w:pPr>
            <w:r>
              <w:rPr>
                <w:rFonts w:cs="Calibri"/>
                <w:sz w:val="16"/>
                <w:szCs w:val="16"/>
              </w:rPr>
              <w:t>H6. Extern beleid</w:t>
            </w:r>
          </w:p>
        </w:tc>
        <w:tc>
          <w:tcPr>
            <w:tcW w:w="965" w:type="dxa"/>
            <w:tcBorders>
              <w:top w:val="nil"/>
              <w:left w:val="single" w:color="auto" w:sz="4" w:space="0"/>
              <w:bottom w:val="nil"/>
              <w:right w:val="single" w:color="auto" w:sz="4" w:space="0"/>
            </w:tcBorders>
            <w:shd w:val="clear" w:color="auto" w:fill="auto"/>
            <w:vAlign w:val="center"/>
            <w:hideMark/>
          </w:tcPr>
          <w:p w:rsidR="00F40CDB" w:rsidP="001E623A" w:rsidRDefault="00F40CDB" w14:paraId="4093F3DD" w14:textId="77777777">
            <w:pPr>
              <w:jc w:val="right"/>
              <w:rPr>
                <w:sz w:val="16"/>
                <w:szCs w:val="16"/>
              </w:rPr>
            </w:pPr>
            <w:r>
              <w:rPr>
                <w:sz w:val="16"/>
                <w:szCs w:val="16"/>
              </w:rPr>
              <w:t>15.505</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06FF2940" w14:textId="77777777">
            <w:pPr>
              <w:jc w:val="right"/>
              <w:rPr>
                <w:sz w:val="16"/>
                <w:szCs w:val="16"/>
              </w:rPr>
            </w:pPr>
            <w:r>
              <w:rPr>
                <w:sz w:val="16"/>
                <w:szCs w:val="16"/>
              </w:rPr>
              <w:t>16.512</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05DE2610" w14:textId="77777777">
            <w:pPr>
              <w:jc w:val="right"/>
              <w:rPr>
                <w:sz w:val="16"/>
                <w:szCs w:val="16"/>
              </w:rPr>
            </w:pPr>
            <w:r>
              <w:rPr>
                <w:sz w:val="16"/>
                <w:szCs w:val="16"/>
              </w:rPr>
              <w:t>15.505</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3666F4ED" w14:textId="77777777">
            <w:pPr>
              <w:jc w:val="right"/>
              <w:rPr>
                <w:sz w:val="16"/>
                <w:szCs w:val="16"/>
              </w:rPr>
            </w:pPr>
            <w:r>
              <w:rPr>
                <w:sz w:val="16"/>
                <w:szCs w:val="16"/>
              </w:rPr>
              <w:t>16.503</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26CEFC05" w14:textId="77777777">
            <w:pPr>
              <w:jc w:val="right"/>
              <w:rPr>
                <w:sz w:val="16"/>
                <w:szCs w:val="16"/>
              </w:rPr>
            </w:pPr>
            <w:r>
              <w:rPr>
                <w:sz w:val="16"/>
                <w:szCs w:val="16"/>
              </w:rPr>
              <w:t>15.615</w:t>
            </w:r>
          </w:p>
        </w:tc>
        <w:tc>
          <w:tcPr>
            <w:tcW w:w="1052"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6DA71013" w14:textId="77777777">
            <w:pPr>
              <w:jc w:val="right"/>
              <w:rPr>
                <w:sz w:val="16"/>
                <w:szCs w:val="16"/>
              </w:rPr>
            </w:pPr>
            <w:r>
              <w:rPr>
                <w:sz w:val="16"/>
                <w:szCs w:val="16"/>
              </w:rPr>
              <w:t>16.592</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3D2094F3" w14:textId="77777777">
            <w:pPr>
              <w:jc w:val="right"/>
              <w:rPr>
                <w:sz w:val="16"/>
                <w:szCs w:val="16"/>
              </w:rPr>
            </w:pPr>
            <w:r>
              <w:rPr>
                <w:sz w:val="16"/>
                <w:szCs w:val="16"/>
              </w:rPr>
              <w:t>15.600</w:t>
            </w:r>
          </w:p>
        </w:tc>
        <w:tc>
          <w:tcPr>
            <w:tcW w:w="1054"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25FF056C" w14:textId="77777777">
            <w:pPr>
              <w:jc w:val="right"/>
              <w:rPr>
                <w:sz w:val="16"/>
                <w:szCs w:val="16"/>
              </w:rPr>
            </w:pPr>
            <w:r>
              <w:rPr>
                <w:sz w:val="16"/>
                <w:szCs w:val="16"/>
              </w:rPr>
              <w:t>16.570</w:t>
            </w:r>
          </w:p>
        </w:tc>
      </w:tr>
      <w:tr w:rsidR="00F40CDB" w:rsidTr="001E623A" w14:paraId="7F37AA6A" w14:textId="77777777">
        <w:trPr>
          <w:trHeight w:val="437"/>
        </w:trPr>
        <w:tc>
          <w:tcPr>
            <w:tcW w:w="2738" w:type="dxa"/>
            <w:tcBorders>
              <w:top w:val="nil"/>
              <w:left w:val="single" w:color="auto" w:sz="4" w:space="0"/>
              <w:bottom w:val="single" w:color="auto" w:sz="8" w:space="0"/>
              <w:right w:val="single" w:color="auto" w:sz="4" w:space="0"/>
            </w:tcBorders>
            <w:shd w:val="clear" w:color="auto" w:fill="auto"/>
            <w:vAlign w:val="center"/>
            <w:hideMark/>
          </w:tcPr>
          <w:p w:rsidR="00F40CDB" w:rsidP="001E623A" w:rsidRDefault="00F40CDB" w14:paraId="168B2E5E" w14:textId="77777777">
            <w:pPr>
              <w:rPr>
                <w:sz w:val="16"/>
                <w:szCs w:val="16"/>
              </w:rPr>
            </w:pPr>
            <w:r>
              <w:rPr>
                <w:rFonts w:cs="Calibri"/>
                <w:sz w:val="16"/>
                <w:szCs w:val="16"/>
              </w:rPr>
              <w:t>H7. Administratieve uitgaven</w:t>
            </w:r>
          </w:p>
        </w:tc>
        <w:tc>
          <w:tcPr>
            <w:tcW w:w="965" w:type="dxa"/>
            <w:tcBorders>
              <w:top w:val="nil"/>
              <w:left w:val="single" w:color="auto" w:sz="4" w:space="0"/>
              <w:bottom w:val="single" w:color="auto" w:sz="8" w:space="0"/>
              <w:right w:val="single" w:color="auto" w:sz="4" w:space="0"/>
            </w:tcBorders>
            <w:shd w:val="clear" w:color="auto" w:fill="auto"/>
            <w:vAlign w:val="center"/>
            <w:hideMark/>
          </w:tcPr>
          <w:p w:rsidR="00F40CDB" w:rsidP="001E623A" w:rsidRDefault="00F40CDB" w14:paraId="747E8CE2" w14:textId="77777777">
            <w:pPr>
              <w:jc w:val="right"/>
              <w:rPr>
                <w:sz w:val="16"/>
                <w:szCs w:val="16"/>
              </w:rPr>
            </w:pPr>
            <w:r>
              <w:rPr>
                <w:sz w:val="16"/>
                <w:szCs w:val="16"/>
              </w:rPr>
              <w:t>13.475</w:t>
            </w:r>
          </w:p>
        </w:tc>
        <w:tc>
          <w:tcPr>
            <w:tcW w:w="1051" w:type="dxa"/>
            <w:tcBorders>
              <w:top w:val="nil"/>
              <w:left w:val="single" w:color="auto" w:sz="4" w:space="0"/>
              <w:bottom w:val="single" w:color="auto" w:sz="8" w:space="0"/>
              <w:right w:val="single" w:color="auto" w:sz="4" w:space="0"/>
            </w:tcBorders>
            <w:shd w:val="clear" w:color="auto" w:fill="auto"/>
            <w:vAlign w:val="center"/>
            <w:hideMark/>
          </w:tcPr>
          <w:p w:rsidR="00F40CDB" w:rsidP="001E623A" w:rsidRDefault="00F40CDB" w14:paraId="35EFB7E8" w14:textId="77777777">
            <w:pPr>
              <w:jc w:val="right"/>
              <w:rPr>
                <w:sz w:val="16"/>
                <w:szCs w:val="16"/>
              </w:rPr>
            </w:pPr>
            <w:r>
              <w:rPr>
                <w:sz w:val="16"/>
                <w:szCs w:val="16"/>
              </w:rPr>
              <w:t>13.475</w:t>
            </w:r>
          </w:p>
        </w:tc>
        <w:tc>
          <w:tcPr>
            <w:tcW w:w="1051" w:type="dxa"/>
            <w:tcBorders>
              <w:top w:val="nil"/>
              <w:left w:val="single" w:color="auto" w:sz="4" w:space="0"/>
              <w:bottom w:val="single" w:color="auto" w:sz="8" w:space="0"/>
              <w:right w:val="single" w:color="auto" w:sz="4" w:space="0"/>
            </w:tcBorders>
            <w:shd w:val="clear" w:color="auto" w:fill="auto"/>
            <w:vAlign w:val="center"/>
            <w:hideMark/>
          </w:tcPr>
          <w:p w:rsidR="00F40CDB" w:rsidP="001E623A" w:rsidRDefault="00F40CDB" w14:paraId="486F1839" w14:textId="77777777">
            <w:pPr>
              <w:jc w:val="right"/>
              <w:rPr>
                <w:sz w:val="16"/>
                <w:szCs w:val="16"/>
              </w:rPr>
            </w:pPr>
            <w:r>
              <w:rPr>
                <w:sz w:val="16"/>
                <w:szCs w:val="16"/>
              </w:rPr>
              <w:t>13.469</w:t>
            </w:r>
          </w:p>
        </w:tc>
        <w:tc>
          <w:tcPr>
            <w:tcW w:w="1052" w:type="dxa"/>
            <w:tcBorders>
              <w:top w:val="nil"/>
              <w:left w:val="single" w:color="auto" w:sz="4" w:space="0"/>
              <w:bottom w:val="single" w:color="auto" w:sz="8" w:space="0"/>
              <w:right w:val="single" w:color="auto" w:sz="4" w:space="0"/>
            </w:tcBorders>
            <w:shd w:val="clear" w:color="auto" w:fill="auto"/>
            <w:vAlign w:val="center"/>
            <w:hideMark/>
          </w:tcPr>
          <w:p w:rsidR="00F40CDB" w:rsidP="001E623A" w:rsidRDefault="00F40CDB" w14:paraId="69010D7C" w14:textId="77777777">
            <w:pPr>
              <w:jc w:val="right"/>
              <w:rPr>
                <w:sz w:val="16"/>
                <w:szCs w:val="16"/>
              </w:rPr>
            </w:pPr>
            <w:r>
              <w:rPr>
                <w:sz w:val="16"/>
                <w:szCs w:val="16"/>
              </w:rPr>
              <w:t>13.469</w:t>
            </w:r>
          </w:p>
        </w:tc>
        <w:tc>
          <w:tcPr>
            <w:tcW w:w="1051" w:type="dxa"/>
            <w:tcBorders>
              <w:top w:val="nil"/>
              <w:left w:val="single" w:color="auto" w:sz="4" w:space="0"/>
              <w:bottom w:val="single" w:color="auto" w:sz="8" w:space="0"/>
              <w:right w:val="single" w:color="auto" w:sz="4" w:space="0"/>
            </w:tcBorders>
            <w:shd w:val="clear" w:color="auto" w:fill="auto"/>
            <w:vAlign w:val="center"/>
            <w:hideMark/>
          </w:tcPr>
          <w:p w:rsidR="00F40CDB" w:rsidP="001E623A" w:rsidRDefault="00F40CDB" w14:paraId="686F3286" w14:textId="77777777">
            <w:pPr>
              <w:jc w:val="right"/>
              <w:rPr>
                <w:sz w:val="16"/>
                <w:szCs w:val="16"/>
              </w:rPr>
            </w:pPr>
            <w:r>
              <w:rPr>
                <w:sz w:val="16"/>
                <w:szCs w:val="16"/>
              </w:rPr>
              <w:t>13.489</w:t>
            </w:r>
          </w:p>
        </w:tc>
        <w:tc>
          <w:tcPr>
            <w:tcW w:w="1052" w:type="dxa"/>
            <w:tcBorders>
              <w:top w:val="nil"/>
              <w:left w:val="single" w:color="auto" w:sz="4" w:space="0"/>
              <w:bottom w:val="single" w:color="auto" w:sz="8" w:space="0"/>
              <w:right w:val="single" w:color="auto" w:sz="4" w:space="0"/>
            </w:tcBorders>
            <w:shd w:val="clear" w:color="auto" w:fill="auto"/>
            <w:vAlign w:val="center"/>
            <w:hideMark/>
          </w:tcPr>
          <w:p w:rsidR="00F40CDB" w:rsidP="001E623A" w:rsidRDefault="00F40CDB" w14:paraId="0CF22EC7" w14:textId="77777777">
            <w:pPr>
              <w:jc w:val="right"/>
              <w:rPr>
                <w:sz w:val="16"/>
                <w:szCs w:val="16"/>
              </w:rPr>
            </w:pPr>
            <w:r>
              <w:rPr>
                <w:sz w:val="16"/>
                <w:szCs w:val="16"/>
              </w:rPr>
              <w:t>13.489</w:t>
            </w:r>
          </w:p>
        </w:tc>
        <w:tc>
          <w:tcPr>
            <w:tcW w:w="1051" w:type="dxa"/>
            <w:tcBorders>
              <w:top w:val="nil"/>
              <w:left w:val="single" w:color="auto" w:sz="4" w:space="0"/>
              <w:bottom w:val="single" w:color="auto" w:sz="8" w:space="0"/>
              <w:right w:val="single" w:color="auto" w:sz="4" w:space="0"/>
            </w:tcBorders>
            <w:shd w:val="clear" w:color="auto" w:fill="auto"/>
            <w:noWrap/>
            <w:vAlign w:val="center"/>
            <w:hideMark/>
          </w:tcPr>
          <w:p w:rsidR="00F40CDB" w:rsidP="001E623A" w:rsidRDefault="00F40CDB" w14:paraId="41F93194" w14:textId="77777777">
            <w:pPr>
              <w:jc w:val="right"/>
              <w:rPr>
                <w:sz w:val="16"/>
                <w:szCs w:val="16"/>
              </w:rPr>
            </w:pPr>
            <w:r>
              <w:rPr>
                <w:sz w:val="16"/>
                <w:szCs w:val="16"/>
              </w:rPr>
              <w:t>13.278</w:t>
            </w:r>
          </w:p>
        </w:tc>
        <w:tc>
          <w:tcPr>
            <w:tcW w:w="1054" w:type="dxa"/>
            <w:tcBorders>
              <w:top w:val="nil"/>
              <w:left w:val="single" w:color="auto" w:sz="4" w:space="0"/>
              <w:bottom w:val="single" w:color="auto" w:sz="8" w:space="0"/>
              <w:right w:val="single" w:color="auto" w:sz="4" w:space="0"/>
            </w:tcBorders>
            <w:shd w:val="clear" w:color="auto" w:fill="auto"/>
            <w:noWrap/>
            <w:vAlign w:val="center"/>
            <w:hideMark/>
          </w:tcPr>
          <w:p w:rsidR="00F40CDB" w:rsidP="001E623A" w:rsidRDefault="00F40CDB" w14:paraId="0FEFD7D4" w14:textId="77777777">
            <w:pPr>
              <w:jc w:val="right"/>
              <w:rPr>
                <w:sz w:val="16"/>
                <w:szCs w:val="16"/>
              </w:rPr>
            </w:pPr>
            <w:r>
              <w:rPr>
                <w:sz w:val="16"/>
                <w:szCs w:val="16"/>
              </w:rPr>
              <w:t>13.278</w:t>
            </w:r>
          </w:p>
        </w:tc>
      </w:tr>
      <w:tr w:rsidR="00F40CDB" w:rsidTr="001E623A" w14:paraId="4B9FC765" w14:textId="77777777">
        <w:trPr>
          <w:trHeight w:val="452"/>
        </w:trPr>
        <w:tc>
          <w:tcPr>
            <w:tcW w:w="2738" w:type="dxa"/>
            <w:tcBorders>
              <w:top w:val="nil"/>
              <w:left w:val="single" w:color="auto" w:sz="4" w:space="0"/>
              <w:bottom w:val="nil"/>
              <w:right w:val="single" w:color="auto" w:sz="4" w:space="0"/>
            </w:tcBorders>
            <w:shd w:val="clear" w:color="auto" w:fill="auto"/>
            <w:vAlign w:val="center"/>
            <w:hideMark/>
          </w:tcPr>
          <w:p w:rsidR="00F40CDB" w:rsidP="001E623A" w:rsidRDefault="00F40CDB" w14:paraId="1591B2E0" w14:textId="77777777">
            <w:pPr>
              <w:rPr>
                <w:b/>
                <w:bCs/>
                <w:sz w:val="16"/>
                <w:szCs w:val="16"/>
              </w:rPr>
            </w:pPr>
            <w:r>
              <w:rPr>
                <w:rFonts w:cs="Calibri"/>
                <w:b/>
                <w:bCs/>
                <w:sz w:val="16"/>
                <w:szCs w:val="16"/>
              </w:rPr>
              <w:t>[A] Totale begrotingscategorieën</w:t>
            </w:r>
          </w:p>
        </w:tc>
        <w:tc>
          <w:tcPr>
            <w:tcW w:w="965"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1187F359" w14:textId="77777777">
            <w:pPr>
              <w:jc w:val="right"/>
              <w:rPr>
                <w:b/>
                <w:bCs/>
                <w:sz w:val="16"/>
                <w:szCs w:val="16"/>
              </w:rPr>
            </w:pPr>
            <w:r>
              <w:rPr>
                <w:rFonts w:cs="Calibri"/>
                <w:b/>
                <w:bCs/>
                <w:sz w:val="16"/>
                <w:szCs w:val="16"/>
              </w:rPr>
              <w:t>187.160</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278F6B1C" w14:textId="77777777">
            <w:pPr>
              <w:jc w:val="right"/>
              <w:rPr>
                <w:b/>
                <w:bCs/>
                <w:sz w:val="16"/>
                <w:szCs w:val="16"/>
              </w:rPr>
            </w:pPr>
            <w:r>
              <w:rPr>
                <w:rFonts w:cs="Calibri"/>
                <w:b/>
                <w:bCs/>
                <w:sz w:val="16"/>
                <w:szCs w:val="16"/>
              </w:rPr>
              <w:t>185.296</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440CD97A" w14:textId="77777777">
            <w:pPr>
              <w:jc w:val="right"/>
              <w:rPr>
                <w:b/>
                <w:bCs/>
                <w:sz w:val="16"/>
                <w:szCs w:val="16"/>
              </w:rPr>
            </w:pPr>
            <w:r>
              <w:rPr>
                <w:rFonts w:cs="Calibri"/>
                <w:b/>
                <w:bCs/>
                <w:sz w:val="16"/>
                <w:szCs w:val="16"/>
              </w:rPr>
              <w:t>186.239</w:t>
            </w:r>
          </w:p>
        </w:tc>
        <w:tc>
          <w:tcPr>
            <w:tcW w:w="1052"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3C000206" w14:textId="77777777">
            <w:pPr>
              <w:jc w:val="right"/>
              <w:rPr>
                <w:b/>
                <w:bCs/>
                <w:sz w:val="16"/>
                <w:szCs w:val="16"/>
              </w:rPr>
            </w:pPr>
            <w:r>
              <w:rPr>
                <w:rFonts w:cs="Calibri"/>
                <w:b/>
                <w:bCs/>
                <w:sz w:val="16"/>
                <w:szCs w:val="16"/>
              </w:rPr>
              <w:t>186.488</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675A7ED0" w14:textId="77777777">
            <w:pPr>
              <w:jc w:val="right"/>
              <w:rPr>
                <w:b/>
                <w:bCs/>
                <w:sz w:val="16"/>
                <w:szCs w:val="16"/>
              </w:rPr>
            </w:pPr>
            <w:r>
              <w:rPr>
                <w:rFonts w:cs="Calibri"/>
                <w:b/>
                <w:bCs/>
                <w:sz w:val="16"/>
                <w:szCs w:val="16"/>
              </w:rPr>
              <w:t>188.144</w:t>
            </w:r>
          </w:p>
        </w:tc>
        <w:tc>
          <w:tcPr>
            <w:tcW w:w="1052"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15BFDB37" w14:textId="77777777">
            <w:pPr>
              <w:jc w:val="right"/>
              <w:rPr>
                <w:b/>
                <w:bCs/>
                <w:sz w:val="16"/>
                <w:szCs w:val="16"/>
              </w:rPr>
            </w:pPr>
            <w:r>
              <w:rPr>
                <w:rFonts w:cs="Calibri"/>
                <w:b/>
                <w:bCs/>
                <w:sz w:val="16"/>
                <w:szCs w:val="16"/>
              </w:rPr>
              <w:t>187.549</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7C4984CC" w14:textId="77777777">
            <w:pPr>
              <w:jc w:val="right"/>
              <w:rPr>
                <w:b/>
                <w:bCs/>
                <w:sz w:val="16"/>
                <w:szCs w:val="16"/>
              </w:rPr>
            </w:pPr>
            <w:r>
              <w:rPr>
                <w:rFonts w:cs="Calibri"/>
                <w:b/>
                <w:bCs/>
                <w:sz w:val="16"/>
                <w:szCs w:val="16"/>
              </w:rPr>
              <w:t>187.052</w:t>
            </w:r>
          </w:p>
        </w:tc>
        <w:tc>
          <w:tcPr>
            <w:tcW w:w="1054"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2B7892AD" w14:textId="77777777">
            <w:pPr>
              <w:jc w:val="right"/>
              <w:rPr>
                <w:b/>
                <w:bCs/>
                <w:sz w:val="16"/>
                <w:szCs w:val="16"/>
              </w:rPr>
            </w:pPr>
            <w:r>
              <w:rPr>
                <w:rFonts w:cs="Calibri"/>
                <w:b/>
                <w:bCs/>
                <w:sz w:val="16"/>
                <w:szCs w:val="16"/>
              </w:rPr>
              <w:t>185.069</w:t>
            </w:r>
          </w:p>
        </w:tc>
      </w:tr>
      <w:tr w:rsidR="00F40CDB" w:rsidTr="001E623A" w14:paraId="4FE7D643" w14:textId="77777777">
        <w:trPr>
          <w:trHeight w:val="422"/>
        </w:trPr>
        <w:tc>
          <w:tcPr>
            <w:tcW w:w="2738" w:type="dxa"/>
            <w:tcBorders>
              <w:top w:val="nil"/>
              <w:left w:val="single" w:color="auto" w:sz="4" w:space="0"/>
              <w:bottom w:val="nil"/>
              <w:right w:val="single" w:color="auto" w:sz="4" w:space="0"/>
            </w:tcBorders>
            <w:shd w:val="clear" w:color="auto" w:fill="auto"/>
            <w:vAlign w:val="center"/>
            <w:hideMark/>
          </w:tcPr>
          <w:p w:rsidR="00F40CDB" w:rsidP="001E623A" w:rsidRDefault="00F40CDB" w14:paraId="4BB151A5" w14:textId="77777777">
            <w:pPr>
              <w:rPr>
                <w:sz w:val="16"/>
                <w:szCs w:val="16"/>
              </w:rPr>
            </w:pPr>
            <w:r>
              <w:rPr>
                <w:rFonts w:cs="Calibri"/>
                <w:sz w:val="16"/>
                <w:szCs w:val="16"/>
              </w:rPr>
              <w:t>[B] Waarvan inzet speciale instrumenten</w:t>
            </w:r>
          </w:p>
        </w:tc>
        <w:tc>
          <w:tcPr>
            <w:tcW w:w="965" w:type="dxa"/>
            <w:tcBorders>
              <w:top w:val="nil"/>
              <w:left w:val="single" w:color="auto" w:sz="4" w:space="0"/>
              <w:bottom w:val="nil"/>
              <w:right w:val="single" w:color="auto" w:sz="4" w:space="0"/>
            </w:tcBorders>
            <w:shd w:val="clear" w:color="auto" w:fill="auto"/>
            <w:vAlign w:val="center"/>
            <w:hideMark/>
          </w:tcPr>
          <w:p w:rsidR="00F40CDB" w:rsidP="001E623A" w:rsidRDefault="00F40CDB" w14:paraId="6C960C9E" w14:textId="77777777">
            <w:pPr>
              <w:jc w:val="right"/>
              <w:rPr>
                <w:sz w:val="16"/>
                <w:szCs w:val="16"/>
              </w:rPr>
            </w:pPr>
            <w:r>
              <w:rPr>
                <w:rFonts w:cs="Calibri"/>
                <w:sz w:val="16"/>
                <w:szCs w:val="16"/>
              </w:rPr>
              <w:t>5.122</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536EF5E5" w14:textId="77777777">
            <w:pPr>
              <w:jc w:val="right"/>
              <w:rPr>
                <w:sz w:val="16"/>
                <w:szCs w:val="16"/>
              </w:rPr>
            </w:pPr>
            <w:r>
              <w:rPr>
                <w:rFonts w:cs="Calibri"/>
                <w:sz w:val="16"/>
                <w:szCs w:val="16"/>
              </w:rPr>
              <w:t>4.556</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62DC2CA1" w14:textId="77777777">
            <w:pPr>
              <w:jc w:val="right"/>
              <w:rPr>
                <w:sz w:val="16"/>
                <w:szCs w:val="16"/>
              </w:rPr>
            </w:pPr>
            <w:r>
              <w:rPr>
                <w:rFonts w:cs="Calibri"/>
                <w:sz w:val="16"/>
                <w:szCs w:val="16"/>
              </w:rPr>
              <w:t>4.392</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33A8FF8B" w14:textId="77777777">
            <w:pPr>
              <w:jc w:val="right"/>
              <w:rPr>
                <w:sz w:val="16"/>
                <w:szCs w:val="16"/>
              </w:rPr>
            </w:pPr>
            <w:r>
              <w:rPr>
                <w:rFonts w:cs="Calibri"/>
                <w:sz w:val="16"/>
                <w:szCs w:val="16"/>
              </w:rPr>
              <w:t>3.650</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75605647" w14:textId="77777777">
            <w:pPr>
              <w:jc w:val="right"/>
              <w:rPr>
                <w:sz w:val="16"/>
                <w:szCs w:val="16"/>
              </w:rPr>
            </w:pPr>
            <w:r>
              <w:rPr>
                <w:rFonts w:cs="Calibri"/>
                <w:sz w:val="16"/>
                <w:szCs w:val="16"/>
              </w:rPr>
              <w:t>5.359</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0BDAD962" w14:textId="77777777">
            <w:pPr>
              <w:jc w:val="right"/>
              <w:rPr>
                <w:sz w:val="16"/>
                <w:szCs w:val="16"/>
              </w:rPr>
            </w:pPr>
            <w:r>
              <w:rPr>
                <w:rFonts w:cs="Calibri"/>
                <w:sz w:val="16"/>
                <w:szCs w:val="16"/>
              </w:rPr>
              <w:t>4.792</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65D2342E" w14:textId="77777777">
            <w:pPr>
              <w:jc w:val="right"/>
              <w:rPr>
                <w:sz w:val="16"/>
                <w:szCs w:val="16"/>
              </w:rPr>
            </w:pPr>
            <w:r>
              <w:rPr>
                <w:rFonts w:cs="Calibri"/>
                <w:sz w:val="16"/>
                <w:szCs w:val="16"/>
              </w:rPr>
              <w:t>4.902</w:t>
            </w:r>
          </w:p>
        </w:tc>
        <w:tc>
          <w:tcPr>
            <w:tcW w:w="1054" w:type="dxa"/>
            <w:tcBorders>
              <w:top w:val="nil"/>
              <w:left w:val="single" w:color="auto" w:sz="4" w:space="0"/>
              <w:bottom w:val="nil"/>
              <w:right w:val="single" w:color="auto" w:sz="4" w:space="0"/>
            </w:tcBorders>
            <w:shd w:val="clear" w:color="auto" w:fill="auto"/>
            <w:vAlign w:val="center"/>
            <w:hideMark/>
          </w:tcPr>
          <w:p w:rsidR="00F40CDB" w:rsidP="001E623A" w:rsidRDefault="00F40CDB" w14:paraId="4C28AFA9" w14:textId="77777777">
            <w:pPr>
              <w:jc w:val="right"/>
              <w:rPr>
                <w:sz w:val="16"/>
                <w:szCs w:val="16"/>
              </w:rPr>
            </w:pPr>
            <w:r>
              <w:rPr>
                <w:rFonts w:cs="Calibri"/>
                <w:sz w:val="16"/>
                <w:szCs w:val="16"/>
              </w:rPr>
              <w:t>4.339</w:t>
            </w:r>
          </w:p>
        </w:tc>
      </w:tr>
      <w:tr w:rsidR="00F40CDB" w:rsidTr="001E623A" w14:paraId="79C96986" w14:textId="77777777">
        <w:trPr>
          <w:trHeight w:val="301"/>
        </w:trPr>
        <w:tc>
          <w:tcPr>
            <w:tcW w:w="2738" w:type="dxa"/>
            <w:tcBorders>
              <w:top w:val="nil"/>
              <w:left w:val="single" w:color="auto" w:sz="4" w:space="0"/>
              <w:bottom w:val="nil"/>
              <w:right w:val="single" w:color="auto" w:sz="4" w:space="0"/>
            </w:tcBorders>
            <w:shd w:val="clear" w:color="auto" w:fill="auto"/>
            <w:vAlign w:val="center"/>
            <w:hideMark/>
          </w:tcPr>
          <w:p w:rsidR="00F40CDB" w:rsidP="001E623A" w:rsidRDefault="00F40CDB" w14:paraId="0C13A973" w14:textId="77777777">
            <w:pPr>
              <w:ind w:firstLine="160" w:firstLineChars="100"/>
              <w:rPr>
                <w:sz w:val="16"/>
                <w:szCs w:val="16"/>
              </w:rPr>
            </w:pPr>
            <w:r>
              <w:rPr>
                <w:rFonts w:cs="Calibri"/>
                <w:sz w:val="16"/>
                <w:szCs w:val="16"/>
              </w:rPr>
              <w:t>Flexibiliteitsinstrument</w:t>
            </w:r>
          </w:p>
        </w:tc>
        <w:tc>
          <w:tcPr>
            <w:tcW w:w="965" w:type="dxa"/>
            <w:tcBorders>
              <w:top w:val="nil"/>
              <w:left w:val="single" w:color="auto" w:sz="4" w:space="0"/>
              <w:bottom w:val="nil"/>
              <w:right w:val="single" w:color="auto" w:sz="4" w:space="0"/>
            </w:tcBorders>
            <w:shd w:val="clear" w:color="auto" w:fill="auto"/>
            <w:vAlign w:val="center"/>
            <w:hideMark/>
          </w:tcPr>
          <w:p w:rsidR="00F40CDB" w:rsidP="001E623A" w:rsidRDefault="00F40CDB" w14:paraId="695863D6" w14:textId="77777777">
            <w:pPr>
              <w:jc w:val="right"/>
              <w:rPr>
                <w:sz w:val="16"/>
                <w:szCs w:val="16"/>
              </w:rPr>
            </w:pPr>
            <w:r>
              <w:rPr>
                <w:sz w:val="16"/>
                <w:szCs w:val="16"/>
              </w:rPr>
              <w:t>2.261</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7EFAF862" w14:textId="77777777">
            <w:pPr>
              <w:jc w:val="right"/>
              <w:rPr>
                <w:sz w:val="16"/>
                <w:szCs w:val="16"/>
              </w:rPr>
            </w:pPr>
            <w:r>
              <w:rPr>
                <w:sz w:val="16"/>
                <w:szCs w:val="16"/>
              </w:rPr>
              <w:t>2.444</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7D17BA2A" w14:textId="77777777">
            <w:pPr>
              <w:jc w:val="right"/>
              <w:rPr>
                <w:sz w:val="16"/>
                <w:szCs w:val="16"/>
              </w:rPr>
            </w:pPr>
            <w:r>
              <w:rPr>
                <w:sz w:val="16"/>
                <w:szCs w:val="16"/>
              </w:rPr>
              <w:t>1663</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124DD320" w14:textId="77777777">
            <w:pPr>
              <w:jc w:val="right"/>
              <w:rPr>
                <w:sz w:val="16"/>
                <w:szCs w:val="16"/>
              </w:rPr>
            </w:pPr>
            <w:r>
              <w:rPr>
                <w:sz w:val="16"/>
                <w:szCs w:val="16"/>
              </w:rPr>
              <w:t>1.663</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4EA91B76" w14:textId="77777777">
            <w:pPr>
              <w:jc w:val="right"/>
              <w:rPr>
                <w:sz w:val="16"/>
                <w:szCs w:val="16"/>
              </w:rPr>
            </w:pPr>
            <w:r>
              <w:rPr>
                <w:sz w:val="16"/>
                <w:szCs w:val="16"/>
              </w:rPr>
              <w:t>2.323</w:t>
            </w:r>
          </w:p>
        </w:tc>
        <w:tc>
          <w:tcPr>
            <w:tcW w:w="1052"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488F577B" w14:textId="77777777">
            <w:pPr>
              <w:jc w:val="right"/>
              <w:rPr>
                <w:sz w:val="16"/>
                <w:szCs w:val="16"/>
              </w:rPr>
            </w:pPr>
            <w:r>
              <w:rPr>
                <w:sz w:val="16"/>
                <w:szCs w:val="16"/>
              </w:rPr>
              <w:t>2.504</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3E1BECD0" w14:textId="77777777">
            <w:pPr>
              <w:jc w:val="right"/>
              <w:rPr>
                <w:sz w:val="16"/>
                <w:szCs w:val="16"/>
              </w:rPr>
            </w:pPr>
            <w:r>
              <w:rPr>
                <w:sz w:val="16"/>
                <w:szCs w:val="16"/>
              </w:rPr>
              <w:t>2.041</w:t>
            </w:r>
          </w:p>
        </w:tc>
        <w:tc>
          <w:tcPr>
            <w:tcW w:w="1054"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5058CD50" w14:textId="77777777">
            <w:pPr>
              <w:jc w:val="right"/>
              <w:rPr>
                <w:sz w:val="16"/>
                <w:szCs w:val="16"/>
              </w:rPr>
            </w:pPr>
            <w:r>
              <w:rPr>
                <w:sz w:val="16"/>
                <w:szCs w:val="16"/>
              </w:rPr>
              <w:t>2.226</w:t>
            </w:r>
          </w:p>
        </w:tc>
      </w:tr>
      <w:tr w:rsidR="00F40CDB" w:rsidTr="001E623A" w14:paraId="300F4296" w14:textId="77777777">
        <w:trPr>
          <w:trHeight w:val="301"/>
        </w:trPr>
        <w:tc>
          <w:tcPr>
            <w:tcW w:w="2738" w:type="dxa"/>
            <w:tcBorders>
              <w:top w:val="nil"/>
              <w:left w:val="single" w:color="auto" w:sz="4" w:space="0"/>
              <w:bottom w:val="nil"/>
              <w:right w:val="single" w:color="auto" w:sz="4" w:space="0"/>
            </w:tcBorders>
            <w:shd w:val="clear" w:color="auto" w:fill="auto"/>
            <w:vAlign w:val="center"/>
            <w:hideMark/>
          </w:tcPr>
          <w:p w:rsidR="00F40CDB" w:rsidP="001E623A" w:rsidRDefault="00F40CDB" w14:paraId="3EE2365C" w14:textId="77777777">
            <w:pPr>
              <w:ind w:firstLine="160" w:firstLineChars="100"/>
              <w:rPr>
                <w:color w:val="auto"/>
                <w:sz w:val="16"/>
                <w:szCs w:val="16"/>
              </w:rPr>
            </w:pPr>
            <w:r>
              <w:rPr>
                <w:sz w:val="16"/>
                <w:szCs w:val="16"/>
              </w:rPr>
              <w:t xml:space="preserve">Single </w:t>
            </w:r>
            <w:proofErr w:type="spellStart"/>
            <w:r>
              <w:rPr>
                <w:sz w:val="16"/>
                <w:szCs w:val="16"/>
              </w:rPr>
              <w:t>Margin</w:t>
            </w:r>
            <w:proofErr w:type="spellEnd"/>
            <w:r>
              <w:rPr>
                <w:sz w:val="16"/>
                <w:szCs w:val="16"/>
              </w:rPr>
              <w:t xml:space="preserve"> Instrument</w:t>
            </w:r>
          </w:p>
        </w:tc>
        <w:tc>
          <w:tcPr>
            <w:tcW w:w="965" w:type="dxa"/>
            <w:tcBorders>
              <w:top w:val="nil"/>
              <w:left w:val="single" w:color="auto" w:sz="4" w:space="0"/>
              <w:bottom w:val="nil"/>
              <w:right w:val="single" w:color="auto" w:sz="4" w:space="0"/>
            </w:tcBorders>
            <w:shd w:val="clear" w:color="auto" w:fill="auto"/>
            <w:vAlign w:val="center"/>
            <w:hideMark/>
          </w:tcPr>
          <w:p w:rsidR="00F40CDB" w:rsidP="001E623A" w:rsidRDefault="00F40CDB" w14:paraId="074C4ADB" w14:textId="77777777">
            <w:pPr>
              <w:jc w:val="right"/>
              <w:rPr>
                <w:sz w:val="16"/>
                <w:szCs w:val="16"/>
              </w:rPr>
            </w:pPr>
            <w:r>
              <w:rPr>
                <w:sz w:val="16"/>
                <w:szCs w:val="16"/>
              </w:rPr>
              <w:t>748</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14E06876" w14:textId="77777777">
            <w:pPr>
              <w:jc w:val="right"/>
              <w:rPr>
                <w:sz w:val="16"/>
                <w:szCs w:val="16"/>
              </w:rPr>
            </w:pPr>
            <w:r>
              <w:rPr>
                <w:rFonts w:cs="Calibri"/>
                <w:sz w:val="16"/>
                <w:szCs w:val="16"/>
              </w:rPr>
              <w:t> </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0014337D" w14:textId="77777777">
            <w:pPr>
              <w:jc w:val="right"/>
              <w:rPr>
                <w:sz w:val="16"/>
                <w:szCs w:val="16"/>
              </w:rPr>
            </w:pPr>
            <w:r>
              <w:rPr>
                <w:rFonts w:cs="Calibri"/>
                <w:sz w:val="16"/>
                <w:szCs w:val="16"/>
              </w:rPr>
              <w:t>742</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2207F3DD" w14:textId="77777777">
            <w:pPr>
              <w:jc w:val="right"/>
              <w:rPr>
                <w:sz w:val="16"/>
                <w:szCs w:val="16"/>
              </w:rPr>
            </w:pPr>
            <w:r>
              <w:rPr>
                <w:rFonts w:cs="Calibri"/>
                <w:sz w:val="16"/>
                <w:szCs w:val="16"/>
              </w:rPr>
              <w:t> </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26233AA2" w14:textId="77777777">
            <w:pPr>
              <w:jc w:val="right"/>
              <w:rPr>
                <w:sz w:val="16"/>
                <w:szCs w:val="16"/>
              </w:rPr>
            </w:pPr>
            <w:r>
              <w:rPr>
                <w:sz w:val="16"/>
                <w:szCs w:val="16"/>
              </w:rPr>
              <w:t>748</w:t>
            </w:r>
          </w:p>
        </w:tc>
        <w:tc>
          <w:tcPr>
            <w:tcW w:w="1052"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308D15B2" w14:textId="77777777">
            <w:pPr>
              <w:rPr>
                <w:sz w:val="16"/>
                <w:szCs w:val="16"/>
              </w:rPr>
            </w:pPr>
            <w:r>
              <w:rPr>
                <w:rFonts w:cs="Calibri"/>
                <w:sz w:val="16"/>
                <w:szCs w:val="16"/>
              </w:rPr>
              <w:t> </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2F861406" w14:textId="77777777">
            <w:pPr>
              <w:jc w:val="right"/>
              <w:rPr>
                <w:sz w:val="16"/>
                <w:szCs w:val="16"/>
              </w:rPr>
            </w:pPr>
            <w:r>
              <w:rPr>
                <w:sz w:val="16"/>
                <w:szCs w:val="16"/>
              </w:rPr>
              <w:t>748</w:t>
            </w:r>
          </w:p>
        </w:tc>
        <w:tc>
          <w:tcPr>
            <w:tcW w:w="1054"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45BAF329" w14:textId="77777777">
            <w:pPr>
              <w:jc w:val="right"/>
              <w:rPr>
                <w:sz w:val="16"/>
                <w:szCs w:val="16"/>
              </w:rPr>
            </w:pPr>
          </w:p>
        </w:tc>
      </w:tr>
      <w:tr w:rsidR="00F40CDB" w:rsidTr="001E623A" w14:paraId="1C21EBCC" w14:textId="77777777">
        <w:trPr>
          <w:trHeight w:val="301"/>
        </w:trPr>
        <w:tc>
          <w:tcPr>
            <w:tcW w:w="2738" w:type="dxa"/>
            <w:tcBorders>
              <w:top w:val="nil"/>
              <w:left w:val="single" w:color="auto" w:sz="4" w:space="0"/>
              <w:bottom w:val="nil"/>
              <w:right w:val="single" w:color="auto" w:sz="4" w:space="0"/>
            </w:tcBorders>
            <w:shd w:val="clear" w:color="auto" w:fill="auto"/>
            <w:vAlign w:val="center"/>
            <w:hideMark/>
          </w:tcPr>
          <w:p w:rsidR="00F40CDB" w:rsidP="001E623A" w:rsidRDefault="00F40CDB" w14:paraId="547A5466" w14:textId="77777777">
            <w:pPr>
              <w:ind w:firstLine="160" w:firstLineChars="100"/>
              <w:rPr>
                <w:sz w:val="16"/>
                <w:szCs w:val="16"/>
              </w:rPr>
            </w:pPr>
            <w:r>
              <w:rPr>
                <w:rFonts w:cs="Calibri"/>
                <w:sz w:val="16"/>
                <w:szCs w:val="16"/>
              </w:rPr>
              <w:t>EURI-instrument</w:t>
            </w:r>
          </w:p>
        </w:tc>
        <w:tc>
          <w:tcPr>
            <w:tcW w:w="965" w:type="dxa"/>
            <w:tcBorders>
              <w:top w:val="nil"/>
              <w:left w:val="single" w:color="auto" w:sz="4" w:space="0"/>
              <w:bottom w:val="nil"/>
              <w:right w:val="single" w:color="auto" w:sz="4" w:space="0"/>
            </w:tcBorders>
            <w:shd w:val="clear" w:color="auto" w:fill="auto"/>
            <w:vAlign w:val="center"/>
            <w:hideMark/>
          </w:tcPr>
          <w:p w:rsidR="00F40CDB" w:rsidP="001E623A" w:rsidRDefault="00F40CDB" w14:paraId="7404BA13" w14:textId="77777777">
            <w:pPr>
              <w:jc w:val="right"/>
              <w:rPr>
                <w:sz w:val="16"/>
                <w:szCs w:val="16"/>
              </w:rPr>
            </w:pPr>
            <w:r>
              <w:rPr>
                <w:sz w:val="16"/>
                <w:szCs w:val="16"/>
              </w:rPr>
              <w:t>2.113</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74634FC1" w14:textId="77777777">
            <w:pPr>
              <w:jc w:val="right"/>
              <w:rPr>
                <w:sz w:val="16"/>
                <w:szCs w:val="16"/>
              </w:rPr>
            </w:pPr>
            <w:r>
              <w:rPr>
                <w:sz w:val="16"/>
                <w:szCs w:val="16"/>
              </w:rPr>
              <w:t>2.113</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20F78BD6" w14:textId="77777777">
            <w:pPr>
              <w:jc w:val="right"/>
              <w:rPr>
                <w:sz w:val="16"/>
                <w:szCs w:val="16"/>
              </w:rPr>
            </w:pPr>
            <w:r>
              <w:rPr>
                <w:rFonts w:cs="Calibri"/>
                <w:sz w:val="16"/>
                <w:szCs w:val="16"/>
              </w:rPr>
              <w:t>1.987</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53BC59CC" w14:textId="77777777">
            <w:pPr>
              <w:jc w:val="right"/>
              <w:rPr>
                <w:sz w:val="16"/>
                <w:szCs w:val="16"/>
              </w:rPr>
            </w:pPr>
            <w:r>
              <w:rPr>
                <w:rFonts w:cs="Calibri"/>
                <w:sz w:val="16"/>
                <w:szCs w:val="16"/>
              </w:rPr>
              <w:t>1.987</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7BCDC4C4" w14:textId="77777777">
            <w:pPr>
              <w:jc w:val="right"/>
              <w:rPr>
                <w:sz w:val="16"/>
                <w:szCs w:val="16"/>
              </w:rPr>
            </w:pPr>
            <w:r>
              <w:rPr>
                <w:sz w:val="16"/>
                <w:szCs w:val="16"/>
              </w:rPr>
              <w:t>2.288</w:t>
            </w:r>
          </w:p>
        </w:tc>
        <w:tc>
          <w:tcPr>
            <w:tcW w:w="1052"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2002955B" w14:textId="77777777">
            <w:pPr>
              <w:jc w:val="right"/>
              <w:rPr>
                <w:sz w:val="16"/>
                <w:szCs w:val="16"/>
              </w:rPr>
            </w:pPr>
            <w:r>
              <w:rPr>
                <w:sz w:val="16"/>
                <w:szCs w:val="16"/>
              </w:rPr>
              <w:t>2.288</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1E288B2B" w14:textId="77777777">
            <w:pPr>
              <w:jc w:val="right"/>
              <w:rPr>
                <w:sz w:val="16"/>
                <w:szCs w:val="16"/>
              </w:rPr>
            </w:pPr>
            <w:r>
              <w:rPr>
                <w:sz w:val="16"/>
                <w:szCs w:val="16"/>
              </w:rPr>
              <w:t>2.113</w:t>
            </w:r>
          </w:p>
        </w:tc>
        <w:tc>
          <w:tcPr>
            <w:tcW w:w="1054"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146FB290" w14:textId="77777777">
            <w:pPr>
              <w:jc w:val="right"/>
              <w:rPr>
                <w:sz w:val="16"/>
                <w:szCs w:val="16"/>
              </w:rPr>
            </w:pPr>
            <w:r>
              <w:rPr>
                <w:sz w:val="16"/>
                <w:szCs w:val="16"/>
              </w:rPr>
              <w:t>2.113</w:t>
            </w:r>
          </w:p>
        </w:tc>
      </w:tr>
      <w:tr w:rsidR="00F40CDB" w:rsidTr="001E623A" w14:paraId="54F94411" w14:textId="77777777">
        <w:trPr>
          <w:trHeight w:val="301"/>
        </w:trPr>
        <w:tc>
          <w:tcPr>
            <w:tcW w:w="2738" w:type="dxa"/>
            <w:tcBorders>
              <w:top w:val="nil"/>
              <w:left w:val="single" w:color="auto" w:sz="4" w:space="0"/>
              <w:bottom w:val="nil"/>
              <w:right w:val="single" w:color="auto" w:sz="4" w:space="0"/>
            </w:tcBorders>
            <w:shd w:val="clear" w:color="auto" w:fill="auto"/>
            <w:vAlign w:val="center"/>
            <w:hideMark/>
          </w:tcPr>
          <w:p w:rsidR="00F40CDB" w:rsidP="001E623A" w:rsidRDefault="00F40CDB" w14:paraId="5C5FAE66" w14:textId="77777777">
            <w:pPr>
              <w:rPr>
                <w:sz w:val="16"/>
                <w:szCs w:val="16"/>
              </w:rPr>
            </w:pPr>
            <w:r>
              <w:rPr>
                <w:rFonts w:cs="Calibri"/>
                <w:sz w:val="16"/>
                <w:szCs w:val="16"/>
              </w:rPr>
              <w:t>[C] Marge</w:t>
            </w:r>
          </w:p>
        </w:tc>
        <w:tc>
          <w:tcPr>
            <w:tcW w:w="965" w:type="dxa"/>
            <w:tcBorders>
              <w:top w:val="nil"/>
              <w:left w:val="single" w:color="auto" w:sz="4" w:space="0"/>
              <w:bottom w:val="nil"/>
              <w:right w:val="single" w:color="auto" w:sz="4" w:space="0"/>
            </w:tcBorders>
            <w:shd w:val="clear" w:color="auto" w:fill="auto"/>
            <w:vAlign w:val="center"/>
            <w:hideMark/>
          </w:tcPr>
          <w:p w:rsidR="00F40CDB" w:rsidP="001E623A" w:rsidRDefault="00F40CDB" w14:paraId="5DB26F39" w14:textId="77777777">
            <w:pPr>
              <w:jc w:val="right"/>
              <w:rPr>
                <w:sz w:val="16"/>
                <w:szCs w:val="16"/>
              </w:rPr>
            </w:pPr>
            <w:r>
              <w:rPr>
                <w:sz w:val="16"/>
                <w:szCs w:val="16"/>
              </w:rPr>
              <w:t>828</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2161B454" w14:textId="77777777">
            <w:pPr>
              <w:jc w:val="right"/>
              <w:rPr>
                <w:sz w:val="16"/>
                <w:szCs w:val="16"/>
              </w:rPr>
            </w:pPr>
            <w:r>
              <w:rPr>
                <w:sz w:val="16"/>
                <w:szCs w:val="16"/>
              </w:rPr>
              <w:t>20.431</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3C4FAD18" w14:textId="77777777">
            <w:pPr>
              <w:jc w:val="right"/>
              <w:rPr>
                <w:sz w:val="16"/>
                <w:szCs w:val="16"/>
              </w:rPr>
            </w:pPr>
            <w:r>
              <w:rPr>
                <w:sz w:val="16"/>
                <w:szCs w:val="16"/>
              </w:rPr>
              <w:t>1.020</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57B03C7F" w14:textId="77777777">
            <w:pPr>
              <w:jc w:val="right"/>
              <w:rPr>
                <w:sz w:val="16"/>
                <w:szCs w:val="16"/>
              </w:rPr>
            </w:pPr>
            <w:r>
              <w:rPr>
                <w:sz w:val="16"/>
                <w:szCs w:val="16"/>
              </w:rPr>
              <w:t>18.332</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1F0DB89E" w14:textId="77777777">
            <w:pPr>
              <w:jc w:val="right"/>
              <w:rPr>
                <w:sz w:val="16"/>
                <w:szCs w:val="16"/>
              </w:rPr>
            </w:pPr>
            <w:r>
              <w:rPr>
                <w:sz w:val="16"/>
                <w:szCs w:val="16"/>
              </w:rPr>
              <w:t>82</w:t>
            </w:r>
          </w:p>
        </w:tc>
        <w:tc>
          <w:tcPr>
            <w:tcW w:w="1052"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6C704F20" w14:textId="77777777">
            <w:pPr>
              <w:jc w:val="right"/>
              <w:rPr>
                <w:sz w:val="16"/>
                <w:szCs w:val="16"/>
              </w:rPr>
            </w:pPr>
            <w:r>
              <w:rPr>
                <w:sz w:val="16"/>
                <w:szCs w:val="16"/>
              </w:rPr>
              <w:t>18.413</w:t>
            </w:r>
          </w:p>
        </w:tc>
        <w:tc>
          <w:tcPr>
            <w:tcW w:w="1051"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2B9874A3" w14:textId="77777777">
            <w:pPr>
              <w:jc w:val="right"/>
              <w:rPr>
                <w:sz w:val="16"/>
                <w:szCs w:val="16"/>
              </w:rPr>
            </w:pPr>
            <w:r>
              <w:rPr>
                <w:sz w:val="16"/>
                <w:szCs w:val="16"/>
              </w:rPr>
              <w:t>716</w:t>
            </w:r>
          </w:p>
        </w:tc>
        <w:tc>
          <w:tcPr>
            <w:tcW w:w="1054" w:type="dxa"/>
            <w:tcBorders>
              <w:top w:val="nil"/>
              <w:left w:val="single" w:color="auto" w:sz="4" w:space="0"/>
              <w:bottom w:val="nil"/>
              <w:right w:val="single" w:color="auto" w:sz="4" w:space="0"/>
            </w:tcBorders>
            <w:shd w:val="clear" w:color="auto" w:fill="auto"/>
            <w:noWrap/>
            <w:vAlign w:val="center"/>
            <w:hideMark/>
          </w:tcPr>
          <w:p w:rsidR="00F40CDB" w:rsidP="001E623A" w:rsidRDefault="00F40CDB" w14:paraId="12BF6E5B" w14:textId="77777777">
            <w:pPr>
              <w:jc w:val="right"/>
              <w:rPr>
                <w:sz w:val="16"/>
                <w:szCs w:val="16"/>
              </w:rPr>
            </w:pPr>
            <w:r>
              <w:rPr>
                <w:sz w:val="16"/>
                <w:szCs w:val="16"/>
              </w:rPr>
              <w:t>20.440</w:t>
            </w:r>
          </w:p>
        </w:tc>
      </w:tr>
      <w:tr w:rsidR="00F40CDB" w:rsidTr="001E623A" w14:paraId="6D377055" w14:textId="77777777">
        <w:trPr>
          <w:trHeight w:val="422"/>
        </w:trPr>
        <w:tc>
          <w:tcPr>
            <w:tcW w:w="2738" w:type="dxa"/>
            <w:tcBorders>
              <w:top w:val="nil"/>
              <w:left w:val="single" w:color="auto" w:sz="4" w:space="0"/>
              <w:bottom w:val="nil"/>
              <w:right w:val="single" w:color="auto" w:sz="4" w:space="0"/>
            </w:tcBorders>
            <w:shd w:val="clear" w:color="auto" w:fill="auto"/>
            <w:vAlign w:val="center"/>
            <w:hideMark/>
          </w:tcPr>
          <w:p w:rsidR="00F40CDB" w:rsidP="001E623A" w:rsidRDefault="00F40CDB" w14:paraId="79B5240D" w14:textId="77777777">
            <w:pPr>
              <w:rPr>
                <w:sz w:val="16"/>
                <w:szCs w:val="16"/>
              </w:rPr>
            </w:pPr>
            <w:r>
              <w:rPr>
                <w:rFonts w:cs="Calibri"/>
                <w:sz w:val="16"/>
                <w:szCs w:val="16"/>
              </w:rPr>
              <w:t>[D] Totaal MFK-plafond (A-B+C)</w:t>
            </w:r>
          </w:p>
        </w:tc>
        <w:tc>
          <w:tcPr>
            <w:tcW w:w="965" w:type="dxa"/>
            <w:tcBorders>
              <w:top w:val="nil"/>
              <w:left w:val="single" w:color="auto" w:sz="4" w:space="0"/>
              <w:bottom w:val="nil"/>
              <w:right w:val="single" w:color="auto" w:sz="4" w:space="0"/>
            </w:tcBorders>
            <w:shd w:val="clear" w:color="auto" w:fill="auto"/>
            <w:vAlign w:val="center"/>
            <w:hideMark/>
          </w:tcPr>
          <w:p w:rsidR="00F40CDB" w:rsidP="001E623A" w:rsidRDefault="00F40CDB" w14:paraId="35350BCC" w14:textId="77777777">
            <w:pPr>
              <w:jc w:val="right"/>
              <w:rPr>
                <w:sz w:val="16"/>
                <w:szCs w:val="16"/>
              </w:rPr>
            </w:pPr>
            <w:r>
              <w:rPr>
                <w:rFonts w:cs="Calibri"/>
                <w:sz w:val="16"/>
                <w:szCs w:val="16"/>
              </w:rPr>
              <w:t>182.866</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4F125B5D" w14:textId="77777777">
            <w:pPr>
              <w:jc w:val="right"/>
              <w:rPr>
                <w:sz w:val="16"/>
                <w:szCs w:val="16"/>
              </w:rPr>
            </w:pPr>
            <w:r>
              <w:rPr>
                <w:sz w:val="16"/>
                <w:szCs w:val="16"/>
              </w:rPr>
              <w:t>201.171</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0E47D8DA" w14:textId="77777777">
            <w:pPr>
              <w:jc w:val="right"/>
              <w:rPr>
                <w:sz w:val="16"/>
                <w:szCs w:val="16"/>
              </w:rPr>
            </w:pPr>
            <w:r>
              <w:rPr>
                <w:rFonts w:cs="Calibri"/>
                <w:sz w:val="16"/>
                <w:szCs w:val="16"/>
              </w:rPr>
              <w:t>182.867</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7556E368" w14:textId="77777777">
            <w:pPr>
              <w:jc w:val="right"/>
              <w:rPr>
                <w:sz w:val="16"/>
                <w:szCs w:val="16"/>
              </w:rPr>
            </w:pPr>
            <w:r>
              <w:rPr>
                <w:rFonts w:cs="Calibri"/>
                <w:sz w:val="16"/>
                <w:szCs w:val="16"/>
              </w:rPr>
              <w:t>201.170</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215F002C" w14:textId="77777777">
            <w:pPr>
              <w:jc w:val="right"/>
              <w:rPr>
                <w:sz w:val="16"/>
                <w:szCs w:val="16"/>
              </w:rPr>
            </w:pPr>
            <w:r>
              <w:rPr>
                <w:rFonts w:cs="Calibri"/>
                <w:sz w:val="16"/>
                <w:szCs w:val="16"/>
              </w:rPr>
              <w:t>182.867</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54966755" w14:textId="77777777">
            <w:pPr>
              <w:jc w:val="right"/>
              <w:rPr>
                <w:sz w:val="16"/>
                <w:szCs w:val="16"/>
              </w:rPr>
            </w:pPr>
            <w:r>
              <w:rPr>
                <w:rFonts w:cs="Calibri"/>
                <w:sz w:val="16"/>
                <w:szCs w:val="16"/>
              </w:rPr>
              <w:t>201.170</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29070F6E" w14:textId="77777777">
            <w:pPr>
              <w:jc w:val="right"/>
              <w:rPr>
                <w:sz w:val="16"/>
                <w:szCs w:val="16"/>
              </w:rPr>
            </w:pPr>
            <w:r>
              <w:rPr>
                <w:rFonts w:cs="Calibri"/>
                <w:sz w:val="16"/>
                <w:szCs w:val="16"/>
              </w:rPr>
              <w:t>182.866</w:t>
            </w:r>
          </w:p>
        </w:tc>
        <w:tc>
          <w:tcPr>
            <w:tcW w:w="1054" w:type="dxa"/>
            <w:tcBorders>
              <w:top w:val="nil"/>
              <w:left w:val="single" w:color="auto" w:sz="4" w:space="0"/>
              <w:bottom w:val="nil"/>
              <w:right w:val="single" w:color="auto" w:sz="4" w:space="0"/>
            </w:tcBorders>
            <w:shd w:val="clear" w:color="auto" w:fill="auto"/>
            <w:vAlign w:val="center"/>
            <w:hideMark/>
          </w:tcPr>
          <w:p w:rsidR="00F40CDB" w:rsidP="001E623A" w:rsidRDefault="00F40CDB" w14:paraId="0EE7C9DA" w14:textId="77777777">
            <w:pPr>
              <w:jc w:val="right"/>
              <w:rPr>
                <w:sz w:val="16"/>
                <w:szCs w:val="16"/>
              </w:rPr>
            </w:pPr>
            <w:r>
              <w:rPr>
                <w:rFonts w:cs="Calibri"/>
                <w:sz w:val="16"/>
                <w:szCs w:val="16"/>
              </w:rPr>
              <w:t>201.170</w:t>
            </w:r>
          </w:p>
        </w:tc>
      </w:tr>
      <w:tr w:rsidR="00F40CDB" w:rsidTr="001E623A" w14:paraId="5F5C4513" w14:textId="77777777">
        <w:trPr>
          <w:trHeight w:val="437"/>
        </w:trPr>
        <w:tc>
          <w:tcPr>
            <w:tcW w:w="2738" w:type="dxa"/>
            <w:tcBorders>
              <w:top w:val="nil"/>
              <w:left w:val="single" w:color="auto" w:sz="4" w:space="0"/>
              <w:bottom w:val="single" w:color="auto" w:sz="8" w:space="0"/>
              <w:right w:val="single" w:color="auto" w:sz="4" w:space="0"/>
            </w:tcBorders>
            <w:shd w:val="clear" w:color="auto" w:fill="auto"/>
            <w:vAlign w:val="center"/>
            <w:hideMark/>
          </w:tcPr>
          <w:p w:rsidR="00F40CDB" w:rsidP="001E623A" w:rsidRDefault="00F40CDB" w14:paraId="02DD594E" w14:textId="77777777">
            <w:pPr>
              <w:rPr>
                <w:sz w:val="16"/>
                <w:szCs w:val="16"/>
              </w:rPr>
            </w:pPr>
            <w:r>
              <w:rPr>
                <w:rFonts w:cs="Calibri"/>
                <w:sz w:val="16"/>
                <w:szCs w:val="16"/>
              </w:rPr>
              <w:t>[E] Thematische speciale instrumenten</w:t>
            </w:r>
          </w:p>
        </w:tc>
        <w:tc>
          <w:tcPr>
            <w:tcW w:w="965" w:type="dxa"/>
            <w:tcBorders>
              <w:top w:val="nil"/>
              <w:left w:val="single" w:color="auto" w:sz="4" w:space="0"/>
              <w:bottom w:val="single" w:color="auto" w:sz="8" w:space="0"/>
              <w:right w:val="single" w:color="auto" w:sz="4" w:space="0"/>
            </w:tcBorders>
            <w:shd w:val="clear" w:color="auto" w:fill="auto"/>
            <w:vAlign w:val="center"/>
            <w:hideMark/>
          </w:tcPr>
          <w:p w:rsidR="00F40CDB" w:rsidP="001E623A" w:rsidRDefault="00F40CDB" w14:paraId="00B7B286" w14:textId="77777777">
            <w:pPr>
              <w:jc w:val="right"/>
              <w:rPr>
                <w:sz w:val="16"/>
                <w:szCs w:val="16"/>
              </w:rPr>
            </w:pPr>
            <w:r>
              <w:rPr>
                <w:sz w:val="16"/>
                <w:szCs w:val="16"/>
              </w:rPr>
              <w:t>5.716</w:t>
            </w:r>
          </w:p>
        </w:tc>
        <w:tc>
          <w:tcPr>
            <w:tcW w:w="1051" w:type="dxa"/>
            <w:tcBorders>
              <w:top w:val="nil"/>
              <w:left w:val="single" w:color="auto" w:sz="4" w:space="0"/>
              <w:bottom w:val="single" w:color="auto" w:sz="8" w:space="0"/>
              <w:right w:val="single" w:color="auto" w:sz="4" w:space="0"/>
            </w:tcBorders>
            <w:shd w:val="clear" w:color="auto" w:fill="auto"/>
            <w:vAlign w:val="center"/>
            <w:hideMark/>
          </w:tcPr>
          <w:p w:rsidR="00F40CDB" w:rsidP="001E623A" w:rsidRDefault="00F40CDB" w14:paraId="2248601A" w14:textId="77777777">
            <w:pPr>
              <w:jc w:val="right"/>
              <w:rPr>
                <w:sz w:val="16"/>
                <w:szCs w:val="16"/>
              </w:rPr>
            </w:pPr>
            <w:r>
              <w:rPr>
                <w:sz w:val="16"/>
                <w:szCs w:val="16"/>
              </w:rPr>
              <w:t>5.023</w:t>
            </w:r>
          </w:p>
        </w:tc>
        <w:tc>
          <w:tcPr>
            <w:tcW w:w="1051" w:type="dxa"/>
            <w:tcBorders>
              <w:top w:val="nil"/>
              <w:left w:val="single" w:color="auto" w:sz="4" w:space="0"/>
              <w:bottom w:val="single" w:color="auto" w:sz="8" w:space="0"/>
              <w:right w:val="single" w:color="auto" w:sz="4" w:space="0"/>
            </w:tcBorders>
            <w:shd w:val="clear" w:color="auto" w:fill="auto"/>
            <w:vAlign w:val="center"/>
            <w:hideMark/>
          </w:tcPr>
          <w:p w:rsidR="00F40CDB" w:rsidP="001E623A" w:rsidRDefault="00F40CDB" w14:paraId="4D9B905E" w14:textId="77777777">
            <w:pPr>
              <w:jc w:val="right"/>
              <w:rPr>
                <w:sz w:val="16"/>
                <w:szCs w:val="16"/>
              </w:rPr>
            </w:pPr>
            <w:r>
              <w:rPr>
                <w:sz w:val="16"/>
                <w:szCs w:val="16"/>
              </w:rPr>
              <w:t>5.716</w:t>
            </w:r>
          </w:p>
        </w:tc>
        <w:tc>
          <w:tcPr>
            <w:tcW w:w="1052" w:type="dxa"/>
            <w:tcBorders>
              <w:top w:val="nil"/>
              <w:left w:val="single" w:color="auto" w:sz="4" w:space="0"/>
              <w:bottom w:val="single" w:color="auto" w:sz="8" w:space="0"/>
              <w:right w:val="single" w:color="auto" w:sz="4" w:space="0"/>
            </w:tcBorders>
            <w:shd w:val="clear" w:color="auto" w:fill="auto"/>
            <w:vAlign w:val="center"/>
            <w:hideMark/>
          </w:tcPr>
          <w:p w:rsidR="00F40CDB" w:rsidP="001E623A" w:rsidRDefault="00F40CDB" w14:paraId="63FE456B" w14:textId="77777777">
            <w:pPr>
              <w:jc w:val="right"/>
              <w:rPr>
                <w:sz w:val="16"/>
                <w:szCs w:val="16"/>
              </w:rPr>
            </w:pPr>
            <w:r>
              <w:rPr>
                <w:sz w:val="16"/>
                <w:szCs w:val="16"/>
              </w:rPr>
              <w:t>5.023</w:t>
            </w:r>
          </w:p>
        </w:tc>
        <w:tc>
          <w:tcPr>
            <w:tcW w:w="1051" w:type="dxa"/>
            <w:tcBorders>
              <w:top w:val="nil"/>
              <w:left w:val="single" w:color="auto" w:sz="4" w:space="0"/>
              <w:bottom w:val="single" w:color="auto" w:sz="8" w:space="0"/>
              <w:right w:val="single" w:color="auto" w:sz="4" w:space="0"/>
            </w:tcBorders>
            <w:shd w:val="clear" w:color="auto" w:fill="auto"/>
            <w:noWrap/>
            <w:vAlign w:val="center"/>
            <w:hideMark/>
          </w:tcPr>
          <w:p w:rsidR="00F40CDB" w:rsidP="001E623A" w:rsidRDefault="00F40CDB" w14:paraId="2CBA052B" w14:textId="77777777">
            <w:pPr>
              <w:jc w:val="right"/>
              <w:rPr>
                <w:sz w:val="16"/>
                <w:szCs w:val="16"/>
              </w:rPr>
            </w:pPr>
            <w:r>
              <w:rPr>
                <w:sz w:val="16"/>
                <w:szCs w:val="16"/>
              </w:rPr>
              <w:t>5.716</w:t>
            </w:r>
          </w:p>
        </w:tc>
        <w:tc>
          <w:tcPr>
            <w:tcW w:w="1052" w:type="dxa"/>
            <w:tcBorders>
              <w:top w:val="nil"/>
              <w:left w:val="single" w:color="auto" w:sz="4" w:space="0"/>
              <w:bottom w:val="single" w:color="auto" w:sz="8" w:space="0"/>
              <w:right w:val="single" w:color="auto" w:sz="4" w:space="0"/>
            </w:tcBorders>
            <w:shd w:val="clear" w:color="auto" w:fill="auto"/>
            <w:noWrap/>
            <w:vAlign w:val="center"/>
            <w:hideMark/>
          </w:tcPr>
          <w:p w:rsidR="00F40CDB" w:rsidP="001E623A" w:rsidRDefault="00F40CDB" w14:paraId="776520A7" w14:textId="77777777">
            <w:pPr>
              <w:jc w:val="right"/>
              <w:rPr>
                <w:sz w:val="16"/>
                <w:szCs w:val="16"/>
              </w:rPr>
            </w:pPr>
            <w:r>
              <w:rPr>
                <w:sz w:val="16"/>
                <w:szCs w:val="16"/>
              </w:rPr>
              <w:t>5.023</w:t>
            </w:r>
          </w:p>
        </w:tc>
        <w:tc>
          <w:tcPr>
            <w:tcW w:w="1051" w:type="dxa"/>
            <w:tcBorders>
              <w:top w:val="nil"/>
              <w:left w:val="single" w:color="auto" w:sz="4" w:space="0"/>
              <w:bottom w:val="single" w:color="auto" w:sz="8" w:space="0"/>
              <w:right w:val="single" w:color="auto" w:sz="4" w:space="0"/>
            </w:tcBorders>
            <w:shd w:val="clear" w:color="auto" w:fill="auto"/>
            <w:noWrap/>
            <w:vAlign w:val="center"/>
            <w:hideMark/>
          </w:tcPr>
          <w:p w:rsidR="00F40CDB" w:rsidP="001E623A" w:rsidRDefault="00F40CDB" w14:paraId="7DA2A54B" w14:textId="77777777">
            <w:pPr>
              <w:jc w:val="right"/>
              <w:rPr>
                <w:sz w:val="16"/>
                <w:szCs w:val="16"/>
              </w:rPr>
            </w:pPr>
            <w:r>
              <w:rPr>
                <w:sz w:val="16"/>
                <w:szCs w:val="16"/>
              </w:rPr>
              <w:t>5.716</w:t>
            </w:r>
          </w:p>
        </w:tc>
        <w:tc>
          <w:tcPr>
            <w:tcW w:w="1054" w:type="dxa"/>
            <w:tcBorders>
              <w:top w:val="nil"/>
              <w:left w:val="single" w:color="auto" w:sz="4" w:space="0"/>
              <w:bottom w:val="single" w:color="auto" w:sz="8" w:space="0"/>
              <w:right w:val="single" w:color="auto" w:sz="4" w:space="0"/>
            </w:tcBorders>
            <w:shd w:val="clear" w:color="auto" w:fill="auto"/>
            <w:noWrap/>
            <w:vAlign w:val="center"/>
            <w:hideMark/>
          </w:tcPr>
          <w:p w:rsidR="00F40CDB" w:rsidP="001E623A" w:rsidRDefault="00F40CDB" w14:paraId="63AC2D8C" w14:textId="77777777">
            <w:pPr>
              <w:jc w:val="right"/>
              <w:rPr>
                <w:sz w:val="16"/>
                <w:szCs w:val="16"/>
              </w:rPr>
            </w:pPr>
            <w:r>
              <w:rPr>
                <w:sz w:val="16"/>
                <w:szCs w:val="16"/>
              </w:rPr>
              <w:t>5.023</w:t>
            </w:r>
          </w:p>
        </w:tc>
      </w:tr>
      <w:tr w:rsidR="00F40CDB" w:rsidTr="001E623A" w14:paraId="285FF077" w14:textId="77777777">
        <w:trPr>
          <w:trHeight w:val="633"/>
        </w:trPr>
        <w:tc>
          <w:tcPr>
            <w:tcW w:w="2738" w:type="dxa"/>
            <w:tcBorders>
              <w:top w:val="nil"/>
              <w:left w:val="single" w:color="auto" w:sz="4" w:space="0"/>
              <w:bottom w:val="nil"/>
              <w:right w:val="single" w:color="auto" w:sz="4" w:space="0"/>
            </w:tcBorders>
            <w:shd w:val="clear" w:color="auto" w:fill="auto"/>
            <w:vAlign w:val="center"/>
            <w:hideMark/>
          </w:tcPr>
          <w:p w:rsidR="00F40CDB" w:rsidP="001E623A" w:rsidRDefault="00F40CDB" w14:paraId="71D2D559" w14:textId="77777777">
            <w:pPr>
              <w:rPr>
                <w:b/>
                <w:bCs/>
                <w:sz w:val="16"/>
                <w:szCs w:val="16"/>
              </w:rPr>
            </w:pPr>
            <w:r>
              <w:rPr>
                <w:rFonts w:cs="Calibri"/>
                <w:b/>
                <w:bCs/>
                <w:sz w:val="16"/>
                <w:szCs w:val="16"/>
              </w:rPr>
              <w:t>Totaal uitgaven inclusief speciale instrumenten (A+E)</w:t>
            </w:r>
          </w:p>
        </w:tc>
        <w:tc>
          <w:tcPr>
            <w:tcW w:w="965" w:type="dxa"/>
            <w:tcBorders>
              <w:top w:val="nil"/>
              <w:left w:val="single" w:color="auto" w:sz="4" w:space="0"/>
              <w:bottom w:val="nil"/>
              <w:right w:val="single" w:color="auto" w:sz="4" w:space="0"/>
            </w:tcBorders>
            <w:shd w:val="clear" w:color="auto" w:fill="auto"/>
            <w:vAlign w:val="center"/>
            <w:hideMark/>
          </w:tcPr>
          <w:p w:rsidR="00F40CDB" w:rsidP="001E623A" w:rsidRDefault="00F40CDB" w14:paraId="404FA34E" w14:textId="77777777">
            <w:pPr>
              <w:jc w:val="right"/>
              <w:rPr>
                <w:b/>
                <w:bCs/>
                <w:sz w:val="16"/>
                <w:szCs w:val="16"/>
              </w:rPr>
            </w:pPr>
            <w:r>
              <w:rPr>
                <w:rFonts w:cs="Calibri"/>
                <w:b/>
                <w:bCs/>
                <w:sz w:val="16"/>
                <w:szCs w:val="16"/>
              </w:rPr>
              <w:t>192.876</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4A38B76F" w14:textId="77777777">
            <w:pPr>
              <w:jc w:val="right"/>
              <w:rPr>
                <w:b/>
                <w:bCs/>
                <w:sz w:val="16"/>
                <w:szCs w:val="16"/>
              </w:rPr>
            </w:pPr>
            <w:r>
              <w:rPr>
                <w:rFonts w:cs="Calibri"/>
                <w:b/>
                <w:bCs/>
                <w:sz w:val="16"/>
                <w:szCs w:val="16"/>
              </w:rPr>
              <w:t>190.318</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7CE1FDD4" w14:textId="77777777">
            <w:pPr>
              <w:jc w:val="right"/>
              <w:rPr>
                <w:b/>
                <w:bCs/>
                <w:sz w:val="16"/>
                <w:szCs w:val="16"/>
              </w:rPr>
            </w:pPr>
            <w:r>
              <w:rPr>
                <w:rFonts w:cs="Calibri"/>
                <w:b/>
                <w:bCs/>
                <w:sz w:val="16"/>
                <w:szCs w:val="16"/>
              </w:rPr>
              <w:t>191.955</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04D3AC6C" w14:textId="77777777">
            <w:pPr>
              <w:jc w:val="right"/>
              <w:rPr>
                <w:b/>
                <w:bCs/>
                <w:sz w:val="16"/>
                <w:szCs w:val="16"/>
              </w:rPr>
            </w:pPr>
            <w:r>
              <w:rPr>
                <w:rFonts w:cs="Calibri"/>
                <w:b/>
                <w:bCs/>
                <w:sz w:val="16"/>
                <w:szCs w:val="16"/>
              </w:rPr>
              <w:t>191.510</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478A6F32" w14:textId="77777777">
            <w:pPr>
              <w:jc w:val="right"/>
              <w:rPr>
                <w:b/>
                <w:bCs/>
                <w:sz w:val="16"/>
                <w:szCs w:val="16"/>
              </w:rPr>
            </w:pPr>
            <w:r>
              <w:rPr>
                <w:rFonts w:cs="Calibri"/>
                <w:b/>
                <w:bCs/>
                <w:sz w:val="16"/>
                <w:szCs w:val="16"/>
              </w:rPr>
              <w:t>193.860</w:t>
            </w:r>
          </w:p>
        </w:tc>
        <w:tc>
          <w:tcPr>
            <w:tcW w:w="1052" w:type="dxa"/>
            <w:tcBorders>
              <w:top w:val="nil"/>
              <w:left w:val="single" w:color="auto" w:sz="4" w:space="0"/>
              <w:bottom w:val="nil"/>
              <w:right w:val="single" w:color="auto" w:sz="4" w:space="0"/>
            </w:tcBorders>
            <w:shd w:val="clear" w:color="auto" w:fill="auto"/>
            <w:vAlign w:val="center"/>
            <w:hideMark/>
          </w:tcPr>
          <w:p w:rsidR="00F40CDB" w:rsidP="001E623A" w:rsidRDefault="00F40CDB" w14:paraId="24D8A157" w14:textId="77777777">
            <w:pPr>
              <w:jc w:val="right"/>
              <w:rPr>
                <w:b/>
                <w:bCs/>
                <w:sz w:val="16"/>
                <w:szCs w:val="16"/>
              </w:rPr>
            </w:pPr>
            <w:r>
              <w:rPr>
                <w:rFonts w:cs="Calibri"/>
                <w:b/>
                <w:bCs/>
                <w:sz w:val="16"/>
                <w:szCs w:val="16"/>
              </w:rPr>
              <w:t>192.572</w:t>
            </w:r>
          </w:p>
        </w:tc>
        <w:tc>
          <w:tcPr>
            <w:tcW w:w="1051" w:type="dxa"/>
            <w:tcBorders>
              <w:top w:val="nil"/>
              <w:left w:val="single" w:color="auto" w:sz="4" w:space="0"/>
              <w:bottom w:val="nil"/>
              <w:right w:val="single" w:color="auto" w:sz="4" w:space="0"/>
            </w:tcBorders>
            <w:shd w:val="clear" w:color="auto" w:fill="auto"/>
            <w:vAlign w:val="center"/>
            <w:hideMark/>
          </w:tcPr>
          <w:p w:rsidR="00F40CDB" w:rsidP="001E623A" w:rsidRDefault="00F40CDB" w14:paraId="25B247B8" w14:textId="77777777">
            <w:pPr>
              <w:jc w:val="right"/>
              <w:rPr>
                <w:b/>
                <w:bCs/>
                <w:sz w:val="16"/>
                <w:szCs w:val="16"/>
              </w:rPr>
            </w:pPr>
            <w:r>
              <w:rPr>
                <w:rFonts w:cs="Calibri"/>
                <w:b/>
                <w:bCs/>
                <w:sz w:val="16"/>
                <w:szCs w:val="16"/>
              </w:rPr>
              <w:t>192.768</w:t>
            </w:r>
          </w:p>
        </w:tc>
        <w:tc>
          <w:tcPr>
            <w:tcW w:w="1054" w:type="dxa"/>
            <w:tcBorders>
              <w:top w:val="nil"/>
              <w:left w:val="single" w:color="auto" w:sz="4" w:space="0"/>
              <w:bottom w:val="nil"/>
              <w:right w:val="single" w:color="auto" w:sz="4" w:space="0"/>
            </w:tcBorders>
            <w:shd w:val="clear" w:color="auto" w:fill="auto"/>
            <w:vAlign w:val="center"/>
            <w:hideMark/>
          </w:tcPr>
          <w:p w:rsidR="00F40CDB" w:rsidP="001E623A" w:rsidRDefault="00F40CDB" w14:paraId="437631C3" w14:textId="77777777">
            <w:pPr>
              <w:jc w:val="right"/>
              <w:rPr>
                <w:b/>
                <w:bCs/>
                <w:sz w:val="16"/>
                <w:szCs w:val="16"/>
              </w:rPr>
            </w:pPr>
            <w:r>
              <w:rPr>
                <w:rFonts w:cs="Calibri"/>
                <w:b/>
                <w:bCs/>
                <w:sz w:val="16"/>
                <w:szCs w:val="16"/>
              </w:rPr>
              <w:t>190.092</w:t>
            </w:r>
          </w:p>
        </w:tc>
      </w:tr>
    </w:tbl>
    <w:p w:rsidR="00F40CDB" w:rsidP="00F40CDB" w:rsidRDefault="00F40CDB" w14:paraId="0398CAEB" w14:textId="77777777">
      <w:pPr>
        <w:spacing w:after="160" w:line="252" w:lineRule="auto"/>
        <w:rPr>
          <w:sz w:val="16"/>
          <w:szCs w:val="16"/>
        </w:rPr>
      </w:pPr>
    </w:p>
    <w:p w:rsidR="00F40CDB" w:rsidP="00F40CDB" w:rsidRDefault="00F40CDB" w14:paraId="17AD4A01" w14:textId="77777777">
      <w:pPr>
        <w:spacing w:after="160" w:line="252" w:lineRule="auto"/>
        <w:rPr>
          <w:sz w:val="16"/>
          <w:szCs w:val="16"/>
        </w:rPr>
      </w:pPr>
    </w:p>
    <w:p w:rsidR="00F40CDB" w:rsidP="00F40CDB" w:rsidRDefault="00F40CDB" w14:paraId="6DFCB76A" w14:textId="77777777">
      <w:pPr>
        <w:spacing w:after="160" w:line="252" w:lineRule="auto"/>
        <w:rPr>
          <w:sz w:val="16"/>
          <w:szCs w:val="16"/>
        </w:rPr>
      </w:pPr>
      <w:r>
        <w:rPr>
          <w:sz w:val="16"/>
          <w:szCs w:val="16"/>
        </w:rPr>
        <w:t>* Vastleggingen</w:t>
      </w:r>
      <w:r>
        <w:rPr>
          <w:sz w:val="16"/>
          <w:szCs w:val="16"/>
        </w:rPr>
        <w:br/>
        <w:t>** Betalingen</w:t>
      </w:r>
    </w:p>
    <w:p w:rsidR="00F40CDB" w:rsidP="00F40CDB" w:rsidRDefault="00F40CDB" w14:paraId="13156069" w14:textId="77777777">
      <w:pPr>
        <w:autoSpaceDN/>
        <w:spacing w:after="160" w:line="259" w:lineRule="auto"/>
        <w:textAlignment w:val="auto"/>
        <w:rPr>
          <w:sz w:val="16"/>
          <w:szCs w:val="16"/>
        </w:rPr>
      </w:pPr>
      <w:r>
        <w:rPr>
          <w:sz w:val="16"/>
          <w:szCs w:val="16"/>
        </w:rPr>
        <w:br w:type="page"/>
      </w:r>
    </w:p>
    <w:tbl>
      <w:tblPr>
        <w:tblpPr w:leftFromText="141" w:rightFromText="141" w:vertAnchor="page" w:horzAnchor="page" w:tblpX="2788" w:tblpY="2619"/>
        <w:tblW w:w="5340" w:type="dxa"/>
        <w:tblCellMar>
          <w:left w:w="70" w:type="dxa"/>
          <w:right w:w="70" w:type="dxa"/>
        </w:tblCellMar>
        <w:tblLook w:val="04A0" w:firstRow="1" w:lastRow="0" w:firstColumn="1" w:lastColumn="0" w:noHBand="0" w:noVBand="1"/>
      </w:tblPr>
      <w:tblGrid>
        <w:gridCol w:w="4120"/>
        <w:gridCol w:w="1220"/>
      </w:tblGrid>
      <w:tr w:rsidRPr="00D50935" w:rsidR="00F40CDB" w:rsidTr="001E623A" w14:paraId="10D1F159" w14:textId="77777777">
        <w:trPr>
          <w:trHeight w:val="684"/>
        </w:trPr>
        <w:tc>
          <w:tcPr>
            <w:tcW w:w="4120" w:type="dxa"/>
            <w:tcBorders>
              <w:top w:val="single" w:color="auto" w:sz="8" w:space="0"/>
              <w:left w:val="single" w:color="auto" w:sz="8" w:space="0"/>
              <w:bottom w:val="single" w:color="auto" w:sz="8" w:space="0"/>
              <w:right w:val="single" w:color="auto" w:sz="8" w:space="0"/>
            </w:tcBorders>
            <w:shd w:val="clear" w:color="000000" w:fill="1F3864"/>
            <w:vAlign w:val="center"/>
            <w:hideMark/>
          </w:tcPr>
          <w:p w:rsidRPr="00D50935" w:rsidR="00F40CDB" w:rsidP="001E623A" w:rsidRDefault="00F40CDB" w14:paraId="36205C36" w14:textId="77777777">
            <w:pPr>
              <w:autoSpaceDN/>
              <w:spacing w:line="240" w:lineRule="auto"/>
              <w:textAlignment w:val="auto"/>
              <w:rPr>
                <w:rFonts w:eastAsia="Times New Roman" w:cs="Times New Roman"/>
                <w:b/>
                <w:bCs/>
                <w:color w:val="FFFFFF"/>
                <w:sz w:val="16"/>
                <w:szCs w:val="16"/>
              </w:rPr>
            </w:pPr>
            <w:bookmarkStart w:name="RANGE!B2" w:id="3"/>
            <w:bookmarkStart w:name="_Hlk183437871" w:colFirst="1" w:colLast="1" w:id="4"/>
            <w:r w:rsidRPr="00D50935">
              <w:rPr>
                <w:rFonts w:eastAsia="Times New Roman" w:cs="Times New Roman"/>
                <w:b/>
                <w:bCs/>
                <w:color w:val="FFFFFF"/>
                <w:sz w:val="16"/>
                <w:szCs w:val="16"/>
              </w:rPr>
              <w:lastRenderedPageBreak/>
              <w:t xml:space="preserve">Tabel </w:t>
            </w:r>
            <w:r>
              <w:rPr>
                <w:rFonts w:eastAsia="Times New Roman" w:cs="Times New Roman"/>
                <w:b/>
                <w:bCs/>
                <w:color w:val="FFFFFF"/>
                <w:sz w:val="16"/>
                <w:szCs w:val="16"/>
              </w:rPr>
              <w:t>2:</w:t>
            </w:r>
            <w:r w:rsidRPr="00D50935">
              <w:rPr>
                <w:rFonts w:eastAsia="Times New Roman" w:cs="Times New Roman"/>
                <w:b/>
                <w:bCs/>
                <w:color w:val="FFFFFF"/>
                <w:sz w:val="16"/>
                <w:szCs w:val="16"/>
              </w:rPr>
              <w:t xml:space="preserve"> Wijzigingen t.o.v. de Amending Letter 1 </w:t>
            </w:r>
            <w:r w:rsidRPr="00D50935">
              <w:rPr>
                <w:rFonts w:eastAsia="Times New Roman" w:cs="Times New Roman"/>
                <w:color w:val="FFFFFF"/>
                <w:sz w:val="16"/>
                <w:szCs w:val="16"/>
              </w:rPr>
              <w:t>(in miljoenen euro; vastleggingen)</w:t>
            </w:r>
            <w:bookmarkEnd w:id="3"/>
          </w:p>
        </w:tc>
        <w:tc>
          <w:tcPr>
            <w:tcW w:w="1220" w:type="dxa"/>
            <w:tcBorders>
              <w:top w:val="single" w:color="auto" w:sz="8" w:space="0"/>
              <w:left w:val="nil"/>
              <w:bottom w:val="single" w:color="auto" w:sz="8" w:space="0"/>
              <w:right w:val="single" w:color="auto" w:sz="8" w:space="0"/>
            </w:tcBorders>
            <w:shd w:val="clear" w:color="000000" w:fill="1F3864"/>
            <w:vAlign w:val="center"/>
            <w:hideMark/>
          </w:tcPr>
          <w:p w:rsidRPr="00D50935" w:rsidR="00F40CDB" w:rsidP="001E623A" w:rsidRDefault="00F40CDB" w14:paraId="127E42B6" w14:textId="77777777">
            <w:pPr>
              <w:autoSpaceDN/>
              <w:spacing w:line="240" w:lineRule="auto"/>
              <w:textAlignment w:val="auto"/>
              <w:rPr>
                <w:rFonts w:eastAsia="Times New Roman" w:cs="Times New Roman"/>
                <w:b/>
                <w:bCs/>
                <w:color w:val="FFFFFF"/>
                <w:sz w:val="16"/>
                <w:szCs w:val="16"/>
              </w:rPr>
            </w:pPr>
            <w:r w:rsidRPr="00D50935">
              <w:rPr>
                <w:rFonts w:eastAsia="Times New Roman" w:cs="Times New Roman"/>
                <w:b/>
                <w:bCs/>
                <w:color w:val="FFFFFF"/>
                <w:sz w:val="16"/>
                <w:szCs w:val="16"/>
              </w:rPr>
              <w:t>Bedrag</w:t>
            </w:r>
          </w:p>
        </w:tc>
      </w:tr>
      <w:tr w:rsidRPr="00D50935" w:rsidR="00F40CDB" w:rsidTr="001E623A" w14:paraId="33EC577D"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6124A3C5" w14:textId="77777777">
            <w:pPr>
              <w:autoSpaceDN/>
              <w:spacing w:line="240" w:lineRule="auto"/>
              <w:textAlignment w:val="auto"/>
              <w:rPr>
                <w:rFonts w:eastAsia="Times New Roman" w:cs="Times New Roman"/>
                <w:b/>
                <w:bCs/>
                <w:sz w:val="16"/>
                <w:szCs w:val="16"/>
              </w:rPr>
            </w:pPr>
            <w:r w:rsidRPr="00D50935">
              <w:rPr>
                <w:rFonts w:eastAsia="Times New Roman" w:cs="Calibri"/>
                <w:b/>
                <w:bCs/>
                <w:sz w:val="16"/>
                <w:szCs w:val="16"/>
              </w:rPr>
              <w:t>1 Interne markt, innovatie en digitaal</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55AB9E7F" w14:textId="77777777">
            <w:pPr>
              <w:autoSpaceDN/>
              <w:spacing w:line="240" w:lineRule="auto"/>
              <w:jc w:val="right"/>
              <w:textAlignment w:val="auto"/>
              <w:rPr>
                <w:rFonts w:eastAsia="Times New Roman" w:cs="Times New Roman"/>
                <w:b/>
                <w:bCs/>
                <w:sz w:val="16"/>
                <w:szCs w:val="16"/>
              </w:rPr>
            </w:pPr>
            <w:r w:rsidRPr="00D50935">
              <w:rPr>
                <w:rFonts w:eastAsia="Times New Roman" w:cs="Calibri"/>
                <w:b/>
                <w:bCs/>
                <w:sz w:val="16"/>
                <w:szCs w:val="16"/>
              </w:rPr>
              <w:t>1</w:t>
            </w:r>
            <w:r>
              <w:rPr>
                <w:rFonts w:eastAsia="Times New Roman" w:cs="Calibri"/>
                <w:b/>
                <w:bCs/>
                <w:sz w:val="16"/>
                <w:szCs w:val="16"/>
              </w:rPr>
              <w:t>08,6</w:t>
            </w:r>
          </w:p>
        </w:tc>
      </w:tr>
      <w:tr w:rsidRPr="00D50935" w:rsidR="00F40CDB" w:rsidTr="001E623A" w14:paraId="27C8CD75"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0CE518BA" w14:textId="77777777">
            <w:pPr>
              <w:autoSpaceDN/>
              <w:spacing w:line="240" w:lineRule="auto"/>
              <w:textAlignment w:val="auto"/>
              <w:rPr>
                <w:rFonts w:eastAsia="Times New Roman" w:cs="Times New Roman"/>
                <w:i/>
                <w:iCs/>
                <w:sz w:val="16"/>
                <w:szCs w:val="16"/>
              </w:rPr>
            </w:pPr>
            <w:r w:rsidRPr="00D50935">
              <w:rPr>
                <w:rFonts w:eastAsia="Times New Roman" w:cs="Calibri"/>
                <w:i/>
                <w:iCs/>
                <w:sz w:val="16"/>
                <w:szCs w:val="16"/>
              </w:rPr>
              <w:t>Horizon</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4BF24188" w14:textId="77777777">
            <w:pPr>
              <w:autoSpaceDN/>
              <w:spacing w:line="240" w:lineRule="auto"/>
              <w:jc w:val="right"/>
              <w:textAlignment w:val="auto"/>
              <w:rPr>
                <w:rFonts w:eastAsia="Times New Roman" w:cs="Times New Roman"/>
                <w:sz w:val="16"/>
                <w:szCs w:val="16"/>
              </w:rPr>
            </w:pPr>
            <w:r w:rsidRPr="00D50935">
              <w:rPr>
                <w:rFonts w:eastAsia="Times New Roman" w:cs="Calibri"/>
                <w:sz w:val="16"/>
                <w:szCs w:val="16"/>
              </w:rPr>
              <w:t>20</w:t>
            </w:r>
          </w:p>
        </w:tc>
      </w:tr>
      <w:tr w:rsidRPr="00D50935" w:rsidR="00F40CDB" w:rsidTr="001E623A" w14:paraId="5B0A8FA2"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5D7ECD2E" w14:textId="77777777">
            <w:pPr>
              <w:autoSpaceDN/>
              <w:spacing w:line="240" w:lineRule="auto"/>
              <w:textAlignment w:val="auto"/>
              <w:rPr>
                <w:rFonts w:eastAsia="Times New Roman" w:cs="Times New Roman"/>
                <w:i/>
                <w:iCs/>
                <w:sz w:val="16"/>
                <w:szCs w:val="16"/>
              </w:rPr>
            </w:pPr>
            <w:proofErr w:type="gramStart"/>
            <w:r w:rsidRPr="00D50935">
              <w:rPr>
                <w:rFonts w:eastAsia="Times New Roman" w:cs="Calibri"/>
                <w:i/>
                <w:iCs/>
                <w:sz w:val="16"/>
                <w:szCs w:val="16"/>
              </w:rPr>
              <w:t>CEF transport</w:t>
            </w:r>
            <w:proofErr w:type="gramEnd"/>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64924915" w14:textId="77777777">
            <w:pPr>
              <w:autoSpaceDN/>
              <w:spacing w:line="240" w:lineRule="auto"/>
              <w:jc w:val="right"/>
              <w:textAlignment w:val="auto"/>
              <w:rPr>
                <w:rFonts w:eastAsia="Times New Roman" w:cs="Times New Roman"/>
                <w:sz w:val="16"/>
                <w:szCs w:val="16"/>
              </w:rPr>
            </w:pPr>
            <w:r>
              <w:rPr>
                <w:rFonts w:eastAsia="Times New Roman" w:cs="Calibri"/>
                <w:sz w:val="16"/>
                <w:szCs w:val="16"/>
              </w:rPr>
              <w:t>8,5</w:t>
            </w:r>
          </w:p>
        </w:tc>
      </w:tr>
      <w:tr w:rsidRPr="00D50935" w:rsidR="00F40CDB" w:rsidTr="001E623A" w14:paraId="0F324029"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3F350DFF" w14:textId="77777777">
            <w:pPr>
              <w:autoSpaceDN/>
              <w:spacing w:line="240" w:lineRule="auto"/>
              <w:textAlignment w:val="auto"/>
              <w:rPr>
                <w:rFonts w:eastAsia="Times New Roman" w:cs="Times New Roman"/>
                <w:i/>
                <w:iCs/>
                <w:sz w:val="16"/>
                <w:szCs w:val="16"/>
              </w:rPr>
            </w:pPr>
            <w:proofErr w:type="gramStart"/>
            <w:r w:rsidRPr="00D50935">
              <w:rPr>
                <w:rFonts w:eastAsia="Times New Roman" w:cs="Calibri"/>
                <w:i/>
                <w:iCs/>
                <w:sz w:val="16"/>
                <w:szCs w:val="16"/>
              </w:rPr>
              <w:t>CEF energy</w:t>
            </w:r>
            <w:proofErr w:type="gramEnd"/>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7166C8CC" w14:textId="77777777">
            <w:pPr>
              <w:autoSpaceDN/>
              <w:spacing w:line="240" w:lineRule="auto"/>
              <w:jc w:val="right"/>
              <w:textAlignment w:val="auto"/>
              <w:rPr>
                <w:rFonts w:eastAsia="Times New Roman" w:cs="Times New Roman"/>
                <w:sz w:val="16"/>
                <w:szCs w:val="16"/>
              </w:rPr>
            </w:pPr>
            <w:r w:rsidRPr="00D50935">
              <w:rPr>
                <w:rFonts w:eastAsia="Times New Roman" w:cs="Calibri"/>
                <w:sz w:val="16"/>
                <w:szCs w:val="16"/>
              </w:rPr>
              <w:t>15</w:t>
            </w:r>
          </w:p>
        </w:tc>
      </w:tr>
      <w:tr w:rsidRPr="00D50935" w:rsidR="00F40CDB" w:rsidTr="001E623A" w14:paraId="1F2DB8DF"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15D416BA" w14:textId="77777777">
            <w:pPr>
              <w:autoSpaceDN/>
              <w:spacing w:line="240" w:lineRule="auto"/>
              <w:textAlignment w:val="auto"/>
              <w:rPr>
                <w:rFonts w:eastAsia="Times New Roman" w:cs="Times New Roman"/>
                <w:i/>
                <w:iCs/>
                <w:sz w:val="16"/>
                <w:szCs w:val="16"/>
              </w:rPr>
            </w:pPr>
            <w:r w:rsidRPr="00D50935">
              <w:rPr>
                <w:rFonts w:eastAsia="Times New Roman" w:cs="Times New Roman"/>
                <w:i/>
                <w:iCs/>
                <w:sz w:val="16"/>
                <w:szCs w:val="16"/>
              </w:rPr>
              <w:t>D</w:t>
            </w:r>
            <w:r>
              <w:rPr>
                <w:rFonts w:eastAsia="Times New Roman" w:cs="Times New Roman"/>
                <w:i/>
                <w:iCs/>
                <w:sz w:val="16"/>
                <w:szCs w:val="16"/>
              </w:rPr>
              <w:t>igital Europe</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04788908" w14:textId="77777777">
            <w:pPr>
              <w:autoSpaceDN/>
              <w:spacing w:line="240" w:lineRule="auto"/>
              <w:jc w:val="right"/>
              <w:textAlignment w:val="auto"/>
              <w:rPr>
                <w:rFonts w:eastAsia="Times New Roman" w:cs="Times New Roman"/>
                <w:sz w:val="16"/>
                <w:szCs w:val="16"/>
              </w:rPr>
            </w:pPr>
            <w:r w:rsidRPr="00D50935">
              <w:rPr>
                <w:rFonts w:eastAsia="Times New Roman" w:cs="Times New Roman"/>
                <w:sz w:val="16"/>
                <w:szCs w:val="16"/>
              </w:rPr>
              <w:t>0,2</w:t>
            </w:r>
          </w:p>
        </w:tc>
      </w:tr>
      <w:tr w:rsidRPr="00D50935" w:rsidR="00F40CDB" w:rsidTr="001E623A" w14:paraId="4B648903"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tcPr>
          <w:p w:rsidRPr="00D50935" w:rsidR="00F40CDB" w:rsidP="001E623A" w:rsidRDefault="00F40CDB" w14:paraId="381A08FF" w14:textId="77777777">
            <w:pPr>
              <w:autoSpaceDN/>
              <w:spacing w:line="240" w:lineRule="auto"/>
              <w:textAlignment w:val="auto"/>
              <w:rPr>
                <w:rFonts w:eastAsia="Times New Roman" w:cs="Times New Roman"/>
                <w:i/>
                <w:iCs/>
                <w:sz w:val="16"/>
                <w:szCs w:val="16"/>
              </w:rPr>
            </w:pPr>
            <w:r>
              <w:rPr>
                <w:rFonts w:eastAsia="Times New Roman" w:cs="Times New Roman"/>
                <w:i/>
                <w:iCs/>
                <w:sz w:val="16"/>
                <w:szCs w:val="16"/>
              </w:rPr>
              <w:t xml:space="preserve">Single Market </w:t>
            </w:r>
            <w:proofErr w:type="spellStart"/>
            <w:r>
              <w:rPr>
                <w:rFonts w:eastAsia="Times New Roman" w:cs="Times New Roman"/>
                <w:i/>
                <w:iCs/>
                <w:sz w:val="16"/>
                <w:szCs w:val="16"/>
              </w:rPr>
              <w:t>Programme</w:t>
            </w:r>
            <w:proofErr w:type="spellEnd"/>
          </w:p>
        </w:tc>
        <w:tc>
          <w:tcPr>
            <w:tcW w:w="1220" w:type="dxa"/>
            <w:tcBorders>
              <w:top w:val="nil"/>
              <w:left w:val="nil"/>
              <w:bottom w:val="single" w:color="auto" w:sz="8" w:space="0"/>
              <w:right w:val="single" w:color="auto" w:sz="8" w:space="0"/>
            </w:tcBorders>
            <w:shd w:val="clear" w:color="auto" w:fill="auto"/>
            <w:noWrap/>
            <w:vAlign w:val="center"/>
          </w:tcPr>
          <w:p w:rsidRPr="00D50935" w:rsidR="00F40CDB" w:rsidP="001E623A" w:rsidRDefault="00F40CDB" w14:paraId="59D7EB23" w14:textId="77777777">
            <w:pPr>
              <w:autoSpaceDN/>
              <w:spacing w:line="240" w:lineRule="auto"/>
              <w:jc w:val="right"/>
              <w:textAlignment w:val="auto"/>
              <w:rPr>
                <w:rFonts w:eastAsia="Times New Roman" w:cs="Times New Roman"/>
                <w:sz w:val="16"/>
                <w:szCs w:val="16"/>
              </w:rPr>
            </w:pPr>
            <w:r>
              <w:rPr>
                <w:rFonts w:eastAsia="Times New Roman" w:cs="Times New Roman"/>
                <w:sz w:val="16"/>
                <w:szCs w:val="16"/>
              </w:rPr>
              <w:t>2</w:t>
            </w:r>
          </w:p>
        </w:tc>
      </w:tr>
      <w:tr w:rsidRPr="00D50935" w:rsidR="00F40CDB" w:rsidTr="001E623A" w14:paraId="7F0980C4"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6AE9161F" w14:textId="77777777">
            <w:pPr>
              <w:autoSpaceDN/>
              <w:spacing w:line="240" w:lineRule="auto"/>
              <w:textAlignment w:val="auto"/>
              <w:rPr>
                <w:rFonts w:eastAsia="Times New Roman" w:cs="Times New Roman"/>
                <w:i/>
                <w:iCs/>
                <w:sz w:val="16"/>
                <w:szCs w:val="16"/>
              </w:rPr>
            </w:pPr>
            <w:proofErr w:type="gramStart"/>
            <w:r w:rsidRPr="00D50935">
              <w:rPr>
                <w:rFonts w:eastAsia="Times New Roman" w:cs="Times New Roman"/>
                <w:i/>
                <w:iCs/>
                <w:sz w:val="16"/>
                <w:szCs w:val="16"/>
              </w:rPr>
              <w:t>P</w:t>
            </w:r>
            <w:r>
              <w:rPr>
                <w:rFonts w:eastAsia="Times New Roman" w:cs="Times New Roman"/>
                <w:i/>
                <w:iCs/>
                <w:sz w:val="16"/>
                <w:szCs w:val="16"/>
              </w:rPr>
              <w:t>ilot projecten</w:t>
            </w:r>
            <w:proofErr w:type="gramEnd"/>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0B02A1E5" w14:textId="77777777">
            <w:pPr>
              <w:autoSpaceDN/>
              <w:spacing w:line="240" w:lineRule="auto"/>
              <w:jc w:val="right"/>
              <w:textAlignment w:val="auto"/>
              <w:rPr>
                <w:rFonts w:eastAsia="Times New Roman" w:cs="Times New Roman"/>
                <w:sz w:val="16"/>
                <w:szCs w:val="16"/>
              </w:rPr>
            </w:pPr>
            <w:r>
              <w:rPr>
                <w:rFonts w:eastAsia="Times New Roman" w:cs="Times New Roman"/>
                <w:sz w:val="16"/>
                <w:szCs w:val="16"/>
              </w:rPr>
              <w:t>62,9</w:t>
            </w:r>
          </w:p>
        </w:tc>
      </w:tr>
      <w:tr w:rsidRPr="00D50935" w:rsidR="00F40CDB" w:rsidTr="001E623A" w14:paraId="7B0D593F"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2A9DD059" w14:textId="77777777">
            <w:pPr>
              <w:autoSpaceDN/>
              <w:spacing w:line="240" w:lineRule="auto"/>
              <w:textAlignment w:val="auto"/>
              <w:rPr>
                <w:rFonts w:eastAsia="Times New Roman" w:cs="Times New Roman"/>
                <w:b/>
                <w:bCs/>
                <w:sz w:val="16"/>
                <w:szCs w:val="16"/>
              </w:rPr>
            </w:pPr>
            <w:r w:rsidRPr="00D50935">
              <w:rPr>
                <w:rFonts w:eastAsia="Times New Roman" w:cs="Calibri"/>
                <w:b/>
                <w:bCs/>
                <w:sz w:val="16"/>
                <w:szCs w:val="16"/>
              </w:rPr>
              <w:t>2 Cohesie, veerkracht en waarden</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034EA49A" w14:textId="77777777">
            <w:pPr>
              <w:autoSpaceDN/>
              <w:spacing w:line="240" w:lineRule="auto"/>
              <w:jc w:val="right"/>
              <w:textAlignment w:val="auto"/>
              <w:rPr>
                <w:rFonts w:eastAsia="Times New Roman" w:cs="Times New Roman"/>
                <w:b/>
                <w:bCs/>
                <w:sz w:val="16"/>
                <w:szCs w:val="16"/>
              </w:rPr>
            </w:pPr>
            <w:r w:rsidRPr="00D50935">
              <w:rPr>
                <w:rFonts w:eastAsia="Times New Roman" w:cs="Calibri"/>
                <w:b/>
                <w:bCs/>
                <w:sz w:val="16"/>
                <w:szCs w:val="16"/>
              </w:rPr>
              <w:t>-2</w:t>
            </w:r>
            <w:r>
              <w:rPr>
                <w:rFonts w:eastAsia="Times New Roman" w:cs="Calibri"/>
                <w:b/>
                <w:bCs/>
                <w:sz w:val="16"/>
                <w:szCs w:val="16"/>
              </w:rPr>
              <w:t>5,3</w:t>
            </w:r>
          </w:p>
        </w:tc>
      </w:tr>
      <w:tr w:rsidRPr="00D50935" w:rsidR="00F40CDB" w:rsidTr="001E623A" w14:paraId="3AADC720"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tcPr>
          <w:p w:rsidRPr="00D50935" w:rsidR="00F40CDB" w:rsidP="001E623A" w:rsidRDefault="00F40CDB" w14:paraId="4A25B3A9" w14:textId="77777777">
            <w:pPr>
              <w:autoSpaceDN/>
              <w:spacing w:line="240" w:lineRule="auto"/>
              <w:textAlignment w:val="auto"/>
              <w:rPr>
                <w:rFonts w:eastAsia="Times New Roman" w:cs="Calibri"/>
                <w:i/>
                <w:iCs/>
                <w:sz w:val="16"/>
                <w:szCs w:val="16"/>
              </w:rPr>
            </w:pPr>
            <w:r>
              <w:rPr>
                <w:rFonts w:eastAsia="Times New Roman" w:cs="Calibri"/>
                <w:i/>
                <w:iCs/>
                <w:sz w:val="16"/>
                <w:szCs w:val="16"/>
              </w:rPr>
              <w:t>Steun Turks-Cypriotische gemeenschap</w:t>
            </w:r>
          </w:p>
        </w:tc>
        <w:tc>
          <w:tcPr>
            <w:tcW w:w="1220" w:type="dxa"/>
            <w:tcBorders>
              <w:top w:val="nil"/>
              <w:left w:val="nil"/>
              <w:bottom w:val="single" w:color="auto" w:sz="8" w:space="0"/>
              <w:right w:val="single" w:color="auto" w:sz="8" w:space="0"/>
            </w:tcBorders>
            <w:shd w:val="clear" w:color="auto" w:fill="auto"/>
            <w:noWrap/>
            <w:vAlign w:val="center"/>
          </w:tcPr>
          <w:p w:rsidRPr="00D50935" w:rsidR="00F40CDB" w:rsidP="001E623A" w:rsidRDefault="00F40CDB" w14:paraId="236A28D9" w14:textId="77777777">
            <w:pPr>
              <w:autoSpaceDN/>
              <w:spacing w:line="240" w:lineRule="auto"/>
              <w:jc w:val="right"/>
              <w:textAlignment w:val="auto"/>
              <w:rPr>
                <w:rFonts w:eastAsia="Times New Roman" w:cs="Calibri"/>
                <w:sz w:val="16"/>
                <w:szCs w:val="16"/>
              </w:rPr>
            </w:pPr>
            <w:r>
              <w:rPr>
                <w:rFonts w:eastAsia="Times New Roman" w:cs="Calibri"/>
                <w:sz w:val="16"/>
                <w:szCs w:val="16"/>
              </w:rPr>
              <w:t>0,5</w:t>
            </w:r>
          </w:p>
        </w:tc>
      </w:tr>
      <w:tr w:rsidRPr="00D50935" w:rsidR="00F40CDB" w:rsidTr="001E623A" w14:paraId="1B0D3799"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37BCFC9A" w14:textId="77777777">
            <w:pPr>
              <w:autoSpaceDN/>
              <w:spacing w:line="240" w:lineRule="auto"/>
              <w:textAlignment w:val="auto"/>
              <w:rPr>
                <w:rFonts w:eastAsia="Times New Roman" w:cs="Times New Roman"/>
                <w:i/>
                <w:iCs/>
                <w:sz w:val="16"/>
                <w:szCs w:val="16"/>
              </w:rPr>
            </w:pPr>
            <w:r>
              <w:rPr>
                <w:rFonts w:eastAsia="Times New Roman" w:cs="Calibri"/>
                <w:i/>
                <w:iCs/>
                <w:sz w:val="16"/>
                <w:szCs w:val="16"/>
              </w:rPr>
              <w:t>Instrument voor technische ondersteuning (TSI)</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683381F3" w14:textId="77777777">
            <w:pPr>
              <w:autoSpaceDN/>
              <w:spacing w:line="240" w:lineRule="auto"/>
              <w:jc w:val="right"/>
              <w:textAlignment w:val="auto"/>
              <w:rPr>
                <w:rFonts w:eastAsia="Times New Roman" w:cs="Times New Roman"/>
                <w:sz w:val="16"/>
                <w:szCs w:val="16"/>
              </w:rPr>
            </w:pPr>
            <w:r w:rsidRPr="00D50935">
              <w:rPr>
                <w:rFonts w:eastAsia="Times New Roman" w:cs="Calibri"/>
                <w:sz w:val="16"/>
                <w:szCs w:val="16"/>
              </w:rPr>
              <w:t>-57</w:t>
            </w:r>
          </w:p>
        </w:tc>
      </w:tr>
      <w:tr w:rsidRPr="00D50935" w:rsidR="00F40CDB" w:rsidTr="001E623A" w14:paraId="30764E04"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9C0E76" w:rsidR="00F40CDB" w:rsidP="001E623A" w:rsidRDefault="00F40CDB" w14:paraId="651AA6C5" w14:textId="77777777">
            <w:pPr>
              <w:autoSpaceDN/>
              <w:spacing w:line="240" w:lineRule="auto"/>
              <w:textAlignment w:val="auto"/>
              <w:rPr>
                <w:rFonts w:eastAsia="Times New Roman" w:cs="Times New Roman"/>
                <w:i/>
                <w:iCs/>
                <w:sz w:val="16"/>
                <w:szCs w:val="16"/>
                <w:lang w:val="en-US"/>
              </w:rPr>
            </w:pPr>
            <w:r w:rsidRPr="009C0E76">
              <w:rPr>
                <w:rFonts w:eastAsia="Times New Roman" w:cs="Calibri"/>
                <w:i/>
                <w:iCs/>
                <w:sz w:val="16"/>
                <w:szCs w:val="16"/>
                <w:lang w:val="en-US"/>
              </w:rPr>
              <w:t>Union Civil Protection Mechanism (</w:t>
            </w:r>
            <w:proofErr w:type="spellStart"/>
            <w:r w:rsidRPr="009C0E76">
              <w:rPr>
                <w:rFonts w:eastAsia="Times New Roman" w:cs="Calibri"/>
                <w:i/>
                <w:iCs/>
                <w:sz w:val="16"/>
                <w:szCs w:val="16"/>
                <w:lang w:val="en-US"/>
              </w:rPr>
              <w:t>R</w:t>
            </w:r>
            <w:r>
              <w:rPr>
                <w:rFonts w:eastAsia="Times New Roman" w:cs="Calibri"/>
                <w:i/>
                <w:iCs/>
                <w:sz w:val="16"/>
                <w:szCs w:val="16"/>
                <w:lang w:val="en-US"/>
              </w:rPr>
              <w:t>escEU</w:t>
            </w:r>
            <w:proofErr w:type="spellEnd"/>
            <w:r>
              <w:rPr>
                <w:rFonts w:eastAsia="Times New Roman" w:cs="Calibri"/>
                <w:i/>
                <w:iCs/>
                <w:sz w:val="16"/>
                <w:szCs w:val="16"/>
                <w:lang w:val="en-US"/>
              </w:rPr>
              <w:t>)</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4A7CCAA1" w14:textId="77777777">
            <w:pPr>
              <w:autoSpaceDN/>
              <w:spacing w:line="240" w:lineRule="auto"/>
              <w:jc w:val="right"/>
              <w:textAlignment w:val="auto"/>
              <w:rPr>
                <w:rFonts w:eastAsia="Times New Roman" w:cs="Times New Roman"/>
                <w:sz w:val="16"/>
                <w:szCs w:val="16"/>
              </w:rPr>
            </w:pPr>
            <w:r w:rsidRPr="00D50935">
              <w:rPr>
                <w:rFonts w:eastAsia="Times New Roman" w:cs="Calibri"/>
                <w:sz w:val="16"/>
                <w:szCs w:val="16"/>
              </w:rPr>
              <w:t>10</w:t>
            </w:r>
          </w:p>
        </w:tc>
      </w:tr>
      <w:tr w:rsidRPr="00D50935" w:rsidR="00F40CDB" w:rsidTr="001E623A" w14:paraId="53EAD283"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459BCCE4" w14:textId="77777777">
            <w:pPr>
              <w:autoSpaceDN/>
              <w:spacing w:line="240" w:lineRule="auto"/>
              <w:textAlignment w:val="auto"/>
              <w:rPr>
                <w:rFonts w:eastAsia="Times New Roman" w:cs="Times New Roman"/>
                <w:i/>
                <w:iCs/>
                <w:sz w:val="16"/>
                <w:szCs w:val="16"/>
              </w:rPr>
            </w:pPr>
            <w:r w:rsidRPr="00D50935">
              <w:rPr>
                <w:rFonts w:eastAsia="Times New Roman" w:cs="Times New Roman"/>
                <w:i/>
                <w:iCs/>
                <w:sz w:val="16"/>
                <w:szCs w:val="16"/>
              </w:rPr>
              <w:t>EU4Health</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05100DB7" w14:textId="77777777">
            <w:pPr>
              <w:autoSpaceDN/>
              <w:spacing w:line="240" w:lineRule="auto"/>
              <w:jc w:val="right"/>
              <w:textAlignment w:val="auto"/>
              <w:rPr>
                <w:rFonts w:eastAsia="Times New Roman" w:cs="Times New Roman"/>
                <w:sz w:val="16"/>
                <w:szCs w:val="16"/>
              </w:rPr>
            </w:pPr>
            <w:r w:rsidRPr="00D50935">
              <w:rPr>
                <w:rFonts w:eastAsia="Times New Roman" w:cs="Times New Roman"/>
                <w:sz w:val="16"/>
                <w:szCs w:val="16"/>
              </w:rPr>
              <w:t>3</w:t>
            </w:r>
          </w:p>
        </w:tc>
      </w:tr>
      <w:tr w:rsidRPr="00D50935" w:rsidR="00F40CDB" w:rsidTr="001E623A" w14:paraId="258EEF06" w14:textId="77777777">
        <w:trPr>
          <w:trHeight w:val="382"/>
        </w:trPr>
        <w:tc>
          <w:tcPr>
            <w:tcW w:w="4120" w:type="dxa"/>
            <w:tcBorders>
              <w:top w:val="nil"/>
              <w:left w:val="single" w:color="auto" w:sz="8" w:space="0"/>
              <w:bottom w:val="single" w:color="auto" w:sz="8" w:space="0"/>
              <w:right w:val="single" w:color="auto" w:sz="8" w:space="0"/>
            </w:tcBorders>
            <w:shd w:val="clear" w:color="auto" w:fill="auto"/>
            <w:vAlign w:val="center"/>
            <w:hideMark/>
          </w:tcPr>
          <w:p w:rsidRPr="00D50935" w:rsidR="00F40CDB" w:rsidP="001E623A" w:rsidRDefault="00F40CDB" w14:paraId="729ACBCC" w14:textId="77777777">
            <w:pPr>
              <w:autoSpaceDN/>
              <w:spacing w:line="240" w:lineRule="auto"/>
              <w:textAlignment w:val="auto"/>
              <w:rPr>
                <w:rFonts w:eastAsia="Times New Roman" w:cs="Times New Roman"/>
                <w:i/>
                <w:iCs/>
                <w:sz w:val="16"/>
                <w:szCs w:val="16"/>
              </w:rPr>
            </w:pPr>
            <w:r>
              <w:rPr>
                <w:rFonts w:eastAsia="Times New Roman" w:cs="Calibri"/>
                <w:i/>
                <w:iCs/>
                <w:sz w:val="16"/>
                <w:szCs w:val="16"/>
              </w:rPr>
              <w:t>Werkgelegenheid en sociale innovatie</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378933A4" w14:textId="77777777">
            <w:pPr>
              <w:autoSpaceDN/>
              <w:spacing w:line="240" w:lineRule="auto"/>
              <w:jc w:val="right"/>
              <w:textAlignment w:val="auto"/>
              <w:rPr>
                <w:rFonts w:eastAsia="Times New Roman" w:cs="Times New Roman"/>
                <w:sz w:val="16"/>
                <w:szCs w:val="16"/>
              </w:rPr>
            </w:pPr>
            <w:r>
              <w:rPr>
                <w:rFonts w:eastAsia="Times New Roman" w:cs="Times New Roman"/>
                <w:sz w:val="16"/>
                <w:szCs w:val="16"/>
              </w:rPr>
              <w:t>1</w:t>
            </w:r>
          </w:p>
        </w:tc>
      </w:tr>
      <w:tr w:rsidRPr="00D50935" w:rsidR="00F40CDB" w:rsidTr="001E623A" w14:paraId="4BA60B2A" w14:textId="77777777">
        <w:trPr>
          <w:trHeight w:val="274"/>
        </w:trPr>
        <w:tc>
          <w:tcPr>
            <w:tcW w:w="4120" w:type="dxa"/>
            <w:tcBorders>
              <w:top w:val="nil"/>
              <w:left w:val="single" w:color="auto" w:sz="8" w:space="0"/>
              <w:bottom w:val="single" w:color="auto" w:sz="8" w:space="0"/>
              <w:right w:val="single" w:color="auto" w:sz="8" w:space="0"/>
            </w:tcBorders>
            <w:shd w:val="clear" w:color="auto" w:fill="auto"/>
            <w:vAlign w:val="center"/>
          </w:tcPr>
          <w:p w:rsidRPr="00D50935" w:rsidR="00F40CDB" w:rsidDel="00EE3E2F" w:rsidP="001E623A" w:rsidRDefault="00F40CDB" w14:paraId="777487DA" w14:textId="77777777">
            <w:pPr>
              <w:autoSpaceDN/>
              <w:spacing w:line="240" w:lineRule="auto"/>
              <w:textAlignment w:val="auto"/>
              <w:rPr>
                <w:rFonts w:eastAsia="Times New Roman" w:cs="Calibri"/>
                <w:i/>
                <w:iCs/>
                <w:sz w:val="16"/>
                <w:szCs w:val="16"/>
              </w:rPr>
            </w:pPr>
            <w:r>
              <w:rPr>
                <w:rFonts w:eastAsia="Times New Roman" w:cs="Calibri"/>
                <w:i/>
                <w:iCs/>
                <w:sz w:val="16"/>
                <w:szCs w:val="16"/>
              </w:rPr>
              <w:t>Erasmus+</w:t>
            </w:r>
          </w:p>
        </w:tc>
        <w:tc>
          <w:tcPr>
            <w:tcW w:w="1220" w:type="dxa"/>
            <w:tcBorders>
              <w:top w:val="nil"/>
              <w:left w:val="nil"/>
              <w:bottom w:val="single" w:color="auto" w:sz="8" w:space="0"/>
              <w:right w:val="single" w:color="auto" w:sz="8" w:space="0"/>
            </w:tcBorders>
            <w:shd w:val="clear" w:color="auto" w:fill="auto"/>
            <w:noWrap/>
            <w:vAlign w:val="center"/>
          </w:tcPr>
          <w:p w:rsidRPr="00D50935" w:rsidR="00F40CDB" w:rsidDel="00EE3E2F" w:rsidP="001E623A" w:rsidRDefault="00F40CDB" w14:paraId="4C8CABC2" w14:textId="77777777">
            <w:pPr>
              <w:autoSpaceDN/>
              <w:spacing w:line="240" w:lineRule="auto"/>
              <w:jc w:val="right"/>
              <w:textAlignment w:val="auto"/>
              <w:rPr>
                <w:rFonts w:eastAsia="Times New Roman" w:cs="Times New Roman"/>
                <w:sz w:val="16"/>
                <w:szCs w:val="16"/>
              </w:rPr>
            </w:pPr>
            <w:r>
              <w:rPr>
                <w:rFonts w:eastAsia="Times New Roman" w:cs="Times New Roman"/>
                <w:sz w:val="16"/>
                <w:szCs w:val="16"/>
              </w:rPr>
              <w:t>3</w:t>
            </w:r>
          </w:p>
        </w:tc>
      </w:tr>
      <w:tr w:rsidRPr="00D50935" w:rsidR="00F40CDB" w:rsidTr="001E623A" w14:paraId="226D1BC7" w14:textId="77777777">
        <w:trPr>
          <w:trHeight w:val="405"/>
        </w:trPr>
        <w:tc>
          <w:tcPr>
            <w:tcW w:w="4120" w:type="dxa"/>
            <w:tcBorders>
              <w:top w:val="nil"/>
              <w:left w:val="single" w:color="auto" w:sz="8" w:space="0"/>
              <w:bottom w:val="single" w:color="auto" w:sz="8" w:space="0"/>
              <w:right w:val="single" w:color="auto" w:sz="8" w:space="0"/>
            </w:tcBorders>
            <w:shd w:val="clear" w:color="auto" w:fill="auto"/>
            <w:vAlign w:val="center"/>
          </w:tcPr>
          <w:p w:rsidR="00F40CDB" w:rsidP="001E623A" w:rsidRDefault="00F40CDB" w14:paraId="3C07345B" w14:textId="77777777">
            <w:pPr>
              <w:autoSpaceDN/>
              <w:spacing w:line="240" w:lineRule="auto"/>
              <w:textAlignment w:val="auto"/>
              <w:rPr>
                <w:rFonts w:eastAsia="Times New Roman" w:cs="Calibri"/>
                <w:i/>
                <w:iCs/>
                <w:sz w:val="16"/>
                <w:szCs w:val="16"/>
              </w:rPr>
            </w:pPr>
            <w:r>
              <w:rPr>
                <w:rFonts w:eastAsia="Times New Roman" w:cs="Calibri"/>
                <w:i/>
                <w:iCs/>
                <w:sz w:val="16"/>
                <w:szCs w:val="16"/>
              </w:rPr>
              <w:t>Creative Europe</w:t>
            </w:r>
          </w:p>
        </w:tc>
        <w:tc>
          <w:tcPr>
            <w:tcW w:w="1220" w:type="dxa"/>
            <w:tcBorders>
              <w:top w:val="nil"/>
              <w:left w:val="nil"/>
              <w:bottom w:val="single" w:color="auto" w:sz="8" w:space="0"/>
              <w:right w:val="single" w:color="auto" w:sz="8" w:space="0"/>
            </w:tcBorders>
            <w:shd w:val="clear" w:color="auto" w:fill="auto"/>
            <w:noWrap/>
            <w:vAlign w:val="center"/>
          </w:tcPr>
          <w:p w:rsidR="00F40CDB" w:rsidP="001E623A" w:rsidRDefault="00F40CDB" w14:paraId="7B7068B0" w14:textId="77777777">
            <w:pPr>
              <w:autoSpaceDN/>
              <w:spacing w:line="240" w:lineRule="auto"/>
              <w:jc w:val="right"/>
              <w:textAlignment w:val="auto"/>
              <w:rPr>
                <w:rFonts w:eastAsia="Times New Roman" w:cs="Times New Roman"/>
                <w:sz w:val="16"/>
                <w:szCs w:val="16"/>
              </w:rPr>
            </w:pPr>
            <w:r>
              <w:rPr>
                <w:rFonts w:eastAsia="Times New Roman" w:cs="Times New Roman"/>
                <w:sz w:val="16"/>
                <w:szCs w:val="16"/>
              </w:rPr>
              <w:t>1</w:t>
            </w:r>
          </w:p>
        </w:tc>
      </w:tr>
      <w:tr w:rsidRPr="00D50935" w:rsidR="00F40CDB" w:rsidTr="001E623A" w14:paraId="4BB446A1" w14:textId="77777777">
        <w:trPr>
          <w:trHeight w:val="323"/>
        </w:trPr>
        <w:tc>
          <w:tcPr>
            <w:tcW w:w="4120" w:type="dxa"/>
            <w:tcBorders>
              <w:top w:val="nil"/>
              <w:left w:val="single" w:color="auto" w:sz="8" w:space="0"/>
              <w:bottom w:val="single" w:color="auto" w:sz="8" w:space="0"/>
              <w:right w:val="single" w:color="auto" w:sz="8" w:space="0"/>
            </w:tcBorders>
            <w:shd w:val="clear" w:color="auto" w:fill="auto"/>
            <w:vAlign w:val="center"/>
          </w:tcPr>
          <w:p w:rsidR="00F40CDB" w:rsidP="001E623A" w:rsidRDefault="00F40CDB" w14:paraId="4ECF743D" w14:textId="77777777">
            <w:pPr>
              <w:autoSpaceDN/>
              <w:spacing w:line="240" w:lineRule="auto"/>
              <w:textAlignment w:val="auto"/>
              <w:rPr>
                <w:rFonts w:eastAsia="Times New Roman" w:cs="Calibri"/>
                <w:i/>
                <w:iCs/>
                <w:sz w:val="16"/>
                <w:szCs w:val="16"/>
              </w:rPr>
            </w:pPr>
            <w:r>
              <w:rPr>
                <w:rFonts w:eastAsia="Times New Roman" w:cs="Calibri"/>
                <w:i/>
                <w:iCs/>
                <w:sz w:val="16"/>
                <w:szCs w:val="16"/>
              </w:rPr>
              <w:t>Gelijkheid, waarden en rechten</w:t>
            </w:r>
          </w:p>
        </w:tc>
        <w:tc>
          <w:tcPr>
            <w:tcW w:w="1220" w:type="dxa"/>
            <w:tcBorders>
              <w:top w:val="nil"/>
              <w:left w:val="nil"/>
              <w:bottom w:val="single" w:color="auto" w:sz="8" w:space="0"/>
              <w:right w:val="single" w:color="auto" w:sz="8" w:space="0"/>
            </w:tcBorders>
            <w:shd w:val="clear" w:color="auto" w:fill="auto"/>
            <w:noWrap/>
            <w:vAlign w:val="center"/>
          </w:tcPr>
          <w:p w:rsidR="00F40CDB" w:rsidP="001E623A" w:rsidRDefault="00F40CDB" w14:paraId="07AB24ED" w14:textId="77777777">
            <w:pPr>
              <w:autoSpaceDN/>
              <w:spacing w:line="240" w:lineRule="auto"/>
              <w:jc w:val="right"/>
              <w:textAlignment w:val="auto"/>
              <w:rPr>
                <w:rFonts w:eastAsia="Times New Roman" w:cs="Times New Roman"/>
                <w:sz w:val="16"/>
                <w:szCs w:val="16"/>
              </w:rPr>
            </w:pPr>
            <w:r>
              <w:rPr>
                <w:rFonts w:eastAsia="Times New Roman" w:cs="Times New Roman"/>
                <w:sz w:val="16"/>
                <w:szCs w:val="16"/>
              </w:rPr>
              <w:t>1</w:t>
            </w:r>
          </w:p>
        </w:tc>
      </w:tr>
      <w:tr w:rsidRPr="00D50935" w:rsidR="00F40CDB" w:rsidTr="001E623A" w14:paraId="0039E018" w14:textId="77777777">
        <w:trPr>
          <w:trHeight w:val="332"/>
        </w:trPr>
        <w:tc>
          <w:tcPr>
            <w:tcW w:w="4120" w:type="dxa"/>
            <w:tcBorders>
              <w:top w:val="nil"/>
              <w:left w:val="single" w:color="auto" w:sz="8" w:space="0"/>
              <w:bottom w:val="single" w:color="auto" w:sz="8" w:space="0"/>
              <w:right w:val="single" w:color="auto" w:sz="8" w:space="0"/>
            </w:tcBorders>
            <w:shd w:val="clear" w:color="auto" w:fill="auto"/>
            <w:vAlign w:val="center"/>
          </w:tcPr>
          <w:p w:rsidR="00F40CDB" w:rsidP="001E623A" w:rsidRDefault="00F40CDB" w14:paraId="5E06609C" w14:textId="77777777">
            <w:pPr>
              <w:autoSpaceDN/>
              <w:spacing w:line="240" w:lineRule="auto"/>
              <w:textAlignment w:val="auto"/>
              <w:rPr>
                <w:rFonts w:eastAsia="Times New Roman" w:cs="Calibri"/>
                <w:i/>
                <w:iCs/>
                <w:sz w:val="16"/>
                <w:szCs w:val="16"/>
              </w:rPr>
            </w:pPr>
            <w:proofErr w:type="gramStart"/>
            <w:r>
              <w:rPr>
                <w:rFonts w:eastAsia="Times New Roman" w:cs="Calibri"/>
                <w:i/>
                <w:iCs/>
                <w:sz w:val="16"/>
                <w:szCs w:val="16"/>
              </w:rPr>
              <w:t>Pilot projecten</w:t>
            </w:r>
            <w:proofErr w:type="gramEnd"/>
          </w:p>
        </w:tc>
        <w:tc>
          <w:tcPr>
            <w:tcW w:w="1220" w:type="dxa"/>
            <w:tcBorders>
              <w:top w:val="nil"/>
              <w:left w:val="nil"/>
              <w:bottom w:val="single" w:color="auto" w:sz="8" w:space="0"/>
              <w:right w:val="single" w:color="auto" w:sz="8" w:space="0"/>
            </w:tcBorders>
            <w:shd w:val="clear" w:color="auto" w:fill="auto"/>
            <w:noWrap/>
            <w:vAlign w:val="center"/>
          </w:tcPr>
          <w:p w:rsidR="00F40CDB" w:rsidP="001E623A" w:rsidRDefault="00F40CDB" w14:paraId="35B51D82" w14:textId="77777777">
            <w:pPr>
              <w:autoSpaceDN/>
              <w:spacing w:line="240" w:lineRule="auto"/>
              <w:jc w:val="right"/>
              <w:textAlignment w:val="auto"/>
              <w:rPr>
                <w:rFonts w:eastAsia="Times New Roman" w:cs="Times New Roman"/>
                <w:sz w:val="16"/>
                <w:szCs w:val="16"/>
              </w:rPr>
            </w:pPr>
            <w:r>
              <w:rPr>
                <w:rFonts w:eastAsia="Times New Roman" w:cs="Times New Roman"/>
                <w:sz w:val="16"/>
                <w:szCs w:val="16"/>
              </w:rPr>
              <w:t>12,2</w:t>
            </w:r>
          </w:p>
        </w:tc>
      </w:tr>
      <w:tr w:rsidRPr="00D50935" w:rsidR="00F40CDB" w:rsidTr="001E623A" w14:paraId="39DB5DCB"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4756A05B" w14:textId="77777777">
            <w:pPr>
              <w:autoSpaceDN/>
              <w:spacing w:line="240" w:lineRule="auto"/>
              <w:textAlignment w:val="auto"/>
              <w:rPr>
                <w:rFonts w:eastAsia="Times New Roman" w:cs="Times New Roman"/>
                <w:b/>
                <w:bCs/>
                <w:sz w:val="16"/>
                <w:szCs w:val="16"/>
              </w:rPr>
            </w:pPr>
            <w:r w:rsidRPr="00D50935">
              <w:rPr>
                <w:rFonts w:eastAsia="Times New Roman" w:cs="Calibri"/>
                <w:b/>
                <w:bCs/>
                <w:sz w:val="16"/>
                <w:szCs w:val="16"/>
              </w:rPr>
              <w:t>3 Landbouw en milieu</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6152A045" w14:textId="77777777">
            <w:pPr>
              <w:autoSpaceDN/>
              <w:spacing w:line="240" w:lineRule="auto"/>
              <w:jc w:val="right"/>
              <w:textAlignment w:val="auto"/>
              <w:rPr>
                <w:rFonts w:eastAsia="Times New Roman" w:cs="Times New Roman"/>
                <w:b/>
                <w:bCs/>
                <w:sz w:val="16"/>
                <w:szCs w:val="16"/>
              </w:rPr>
            </w:pPr>
            <w:r>
              <w:rPr>
                <w:rFonts w:eastAsia="Times New Roman" w:cs="Calibri"/>
                <w:b/>
                <w:bCs/>
                <w:sz w:val="16"/>
                <w:szCs w:val="16"/>
              </w:rPr>
              <w:t>-107,3</w:t>
            </w:r>
          </w:p>
        </w:tc>
      </w:tr>
      <w:tr w:rsidRPr="00D50935" w:rsidR="00F40CDB" w:rsidTr="001E623A" w14:paraId="1528F303"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2FAA0FB6" w14:textId="77777777">
            <w:pPr>
              <w:autoSpaceDN/>
              <w:spacing w:line="240" w:lineRule="auto"/>
              <w:textAlignment w:val="auto"/>
              <w:rPr>
                <w:rFonts w:eastAsia="Times New Roman" w:cs="Times New Roman"/>
                <w:i/>
                <w:iCs/>
                <w:sz w:val="16"/>
                <w:szCs w:val="16"/>
              </w:rPr>
            </w:pPr>
            <w:r w:rsidRPr="00D50935">
              <w:rPr>
                <w:rFonts w:eastAsia="Times New Roman" w:cs="Calibri"/>
                <w:i/>
                <w:iCs/>
                <w:sz w:val="16"/>
                <w:szCs w:val="16"/>
              </w:rPr>
              <w:t>EAGF</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2A29803A" w14:textId="77777777">
            <w:pPr>
              <w:autoSpaceDN/>
              <w:spacing w:line="240" w:lineRule="auto"/>
              <w:jc w:val="right"/>
              <w:textAlignment w:val="auto"/>
              <w:rPr>
                <w:rFonts w:eastAsia="Times New Roman" w:cs="Times New Roman"/>
                <w:sz w:val="16"/>
                <w:szCs w:val="16"/>
              </w:rPr>
            </w:pPr>
            <w:r w:rsidRPr="00D50935">
              <w:rPr>
                <w:rFonts w:eastAsia="Times New Roman" w:cs="Calibri"/>
                <w:sz w:val="16"/>
                <w:szCs w:val="16"/>
              </w:rPr>
              <w:t>-118,8</w:t>
            </w:r>
          </w:p>
        </w:tc>
      </w:tr>
      <w:tr w:rsidRPr="00D50935" w:rsidR="00F40CDB" w:rsidTr="001E623A" w14:paraId="1E738979"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5EFF6792" w14:textId="77777777">
            <w:pPr>
              <w:autoSpaceDN/>
              <w:spacing w:line="240" w:lineRule="auto"/>
              <w:textAlignment w:val="auto"/>
              <w:rPr>
                <w:rFonts w:eastAsia="Times New Roman" w:cs="Times New Roman"/>
                <w:i/>
                <w:iCs/>
                <w:sz w:val="16"/>
                <w:szCs w:val="16"/>
              </w:rPr>
            </w:pPr>
            <w:r w:rsidRPr="00D50935">
              <w:rPr>
                <w:rFonts w:eastAsia="Times New Roman" w:cs="Calibri"/>
                <w:i/>
                <w:iCs/>
                <w:sz w:val="16"/>
                <w:szCs w:val="16"/>
              </w:rPr>
              <w:t xml:space="preserve">LIFE </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07352FB3" w14:textId="77777777">
            <w:pPr>
              <w:autoSpaceDN/>
              <w:spacing w:line="240" w:lineRule="auto"/>
              <w:jc w:val="right"/>
              <w:textAlignment w:val="auto"/>
              <w:rPr>
                <w:rFonts w:eastAsia="Times New Roman" w:cs="Times New Roman"/>
                <w:sz w:val="16"/>
                <w:szCs w:val="16"/>
              </w:rPr>
            </w:pPr>
            <w:r w:rsidRPr="00D50935">
              <w:rPr>
                <w:rFonts w:eastAsia="Times New Roman" w:cs="Calibri"/>
                <w:sz w:val="16"/>
                <w:szCs w:val="16"/>
              </w:rPr>
              <w:t>10</w:t>
            </w:r>
          </w:p>
        </w:tc>
      </w:tr>
      <w:tr w:rsidRPr="00D50935" w:rsidR="00F40CDB" w:rsidTr="001E623A" w14:paraId="0DE3F7BB"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516D9736" w14:textId="77777777">
            <w:pPr>
              <w:autoSpaceDN/>
              <w:spacing w:line="240" w:lineRule="auto"/>
              <w:textAlignment w:val="auto"/>
              <w:rPr>
                <w:rFonts w:eastAsia="Times New Roman" w:cs="Times New Roman"/>
                <w:i/>
                <w:iCs/>
                <w:sz w:val="16"/>
                <w:szCs w:val="16"/>
              </w:rPr>
            </w:pPr>
            <w:proofErr w:type="gramStart"/>
            <w:r>
              <w:rPr>
                <w:rFonts w:eastAsia="Times New Roman" w:cs="Calibri"/>
                <w:i/>
                <w:iCs/>
                <w:sz w:val="16"/>
                <w:szCs w:val="16"/>
              </w:rPr>
              <w:t>Pilot projecten</w:t>
            </w:r>
            <w:proofErr w:type="gramEnd"/>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744ECB8E" w14:textId="77777777">
            <w:pPr>
              <w:autoSpaceDN/>
              <w:spacing w:line="240" w:lineRule="auto"/>
              <w:jc w:val="right"/>
              <w:textAlignment w:val="auto"/>
              <w:rPr>
                <w:rFonts w:eastAsia="Times New Roman" w:cs="Times New Roman"/>
                <w:sz w:val="16"/>
                <w:szCs w:val="16"/>
              </w:rPr>
            </w:pPr>
            <w:r w:rsidRPr="00D50935">
              <w:rPr>
                <w:rFonts w:eastAsia="Times New Roman" w:cs="Calibri"/>
                <w:sz w:val="16"/>
                <w:szCs w:val="16"/>
              </w:rPr>
              <w:t>1,5</w:t>
            </w:r>
          </w:p>
        </w:tc>
      </w:tr>
      <w:tr w:rsidRPr="00D50935" w:rsidR="00F40CDB" w:rsidTr="001E623A" w14:paraId="170F08B9"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7DA37F32" w14:textId="77777777">
            <w:pPr>
              <w:autoSpaceDN/>
              <w:spacing w:line="240" w:lineRule="auto"/>
              <w:textAlignment w:val="auto"/>
              <w:rPr>
                <w:rFonts w:eastAsia="Times New Roman" w:cs="Times New Roman"/>
                <w:b/>
                <w:bCs/>
                <w:sz w:val="16"/>
                <w:szCs w:val="16"/>
              </w:rPr>
            </w:pPr>
            <w:r w:rsidRPr="00D50935">
              <w:rPr>
                <w:rFonts w:eastAsia="Times New Roman" w:cs="Calibri"/>
                <w:b/>
                <w:bCs/>
                <w:sz w:val="16"/>
                <w:szCs w:val="16"/>
              </w:rPr>
              <w:t>4 Migratie en grensmanagement</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04539F33" w14:textId="77777777">
            <w:pPr>
              <w:autoSpaceDN/>
              <w:spacing w:line="240" w:lineRule="auto"/>
              <w:jc w:val="right"/>
              <w:textAlignment w:val="auto"/>
              <w:rPr>
                <w:rFonts w:eastAsia="Times New Roman" w:cs="Times New Roman"/>
                <w:b/>
                <w:bCs/>
                <w:sz w:val="16"/>
                <w:szCs w:val="16"/>
              </w:rPr>
            </w:pPr>
            <w:r w:rsidRPr="00D50935">
              <w:rPr>
                <w:rFonts w:eastAsia="Times New Roman" w:cs="Calibri"/>
                <w:b/>
                <w:bCs/>
                <w:sz w:val="16"/>
                <w:szCs w:val="16"/>
              </w:rPr>
              <w:t>8,</w:t>
            </w:r>
            <w:r>
              <w:rPr>
                <w:rFonts w:eastAsia="Times New Roman" w:cs="Calibri"/>
                <w:b/>
                <w:bCs/>
                <w:sz w:val="16"/>
                <w:szCs w:val="16"/>
              </w:rPr>
              <w:t>9</w:t>
            </w:r>
          </w:p>
        </w:tc>
      </w:tr>
      <w:tr w:rsidRPr="00D50935" w:rsidR="00F40CDB" w:rsidTr="001E623A" w14:paraId="3FA81925"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36CE6697" w14:textId="77777777">
            <w:pPr>
              <w:autoSpaceDN/>
              <w:spacing w:line="240" w:lineRule="auto"/>
              <w:textAlignment w:val="auto"/>
              <w:rPr>
                <w:rFonts w:eastAsia="Times New Roman" w:cs="Times New Roman"/>
                <w:i/>
                <w:iCs/>
                <w:sz w:val="16"/>
                <w:szCs w:val="16"/>
              </w:rPr>
            </w:pPr>
            <w:r w:rsidRPr="00D50935">
              <w:rPr>
                <w:rFonts w:eastAsia="Times New Roman" w:cs="Calibri"/>
                <w:i/>
                <w:iCs/>
                <w:sz w:val="16"/>
                <w:szCs w:val="16"/>
              </w:rPr>
              <w:t>IBMF/BMVI</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27429057" w14:textId="77777777">
            <w:pPr>
              <w:autoSpaceDN/>
              <w:spacing w:line="240" w:lineRule="auto"/>
              <w:jc w:val="right"/>
              <w:textAlignment w:val="auto"/>
              <w:rPr>
                <w:rFonts w:eastAsia="Times New Roman" w:cs="Times New Roman"/>
                <w:sz w:val="16"/>
                <w:szCs w:val="16"/>
              </w:rPr>
            </w:pPr>
            <w:r w:rsidRPr="00D50935">
              <w:rPr>
                <w:rFonts w:eastAsia="Times New Roman" w:cs="Calibri"/>
                <w:sz w:val="16"/>
                <w:szCs w:val="16"/>
              </w:rPr>
              <w:t>10</w:t>
            </w:r>
          </w:p>
        </w:tc>
      </w:tr>
      <w:tr w:rsidRPr="00D50935" w:rsidR="00F40CDB" w:rsidTr="001E623A" w14:paraId="35FB55A8"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tcPr>
          <w:p w:rsidRPr="00D50935" w:rsidR="00F40CDB" w:rsidP="001E623A" w:rsidRDefault="00F40CDB" w14:paraId="2ED97B7B" w14:textId="77777777">
            <w:pPr>
              <w:autoSpaceDN/>
              <w:spacing w:line="240" w:lineRule="auto"/>
              <w:textAlignment w:val="auto"/>
              <w:rPr>
                <w:rFonts w:eastAsia="Times New Roman" w:cs="Calibri"/>
                <w:i/>
                <w:iCs/>
                <w:sz w:val="16"/>
                <w:szCs w:val="16"/>
              </w:rPr>
            </w:pPr>
            <w:proofErr w:type="spellStart"/>
            <w:r>
              <w:rPr>
                <w:rFonts w:eastAsia="Times New Roman" w:cs="Calibri"/>
                <w:i/>
                <w:iCs/>
                <w:sz w:val="16"/>
                <w:szCs w:val="16"/>
              </w:rPr>
              <w:t>Frontex</w:t>
            </w:r>
            <w:proofErr w:type="spellEnd"/>
          </w:p>
        </w:tc>
        <w:tc>
          <w:tcPr>
            <w:tcW w:w="1220" w:type="dxa"/>
            <w:tcBorders>
              <w:top w:val="nil"/>
              <w:left w:val="nil"/>
              <w:bottom w:val="single" w:color="auto" w:sz="8" w:space="0"/>
              <w:right w:val="single" w:color="auto" w:sz="8" w:space="0"/>
            </w:tcBorders>
            <w:shd w:val="clear" w:color="auto" w:fill="auto"/>
            <w:noWrap/>
            <w:vAlign w:val="center"/>
          </w:tcPr>
          <w:p w:rsidRPr="00D50935" w:rsidR="00F40CDB" w:rsidP="001E623A" w:rsidRDefault="00F40CDB" w14:paraId="6862EBC2" w14:textId="77777777">
            <w:pPr>
              <w:autoSpaceDN/>
              <w:spacing w:line="240" w:lineRule="auto"/>
              <w:jc w:val="right"/>
              <w:textAlignment w:val="auto"/>
              <w:rPr>
                <w:rFonts w:eastAsia="Times New Roman" w:cs="Calibri"/>
                <w:sz w:val="16"/>
                <w:szCs w:val="16"/>
              </w:rPr>
            </w:pPr>
            <w:r>
              <w:rPr>
                <w:rFonts w:eastAsia="Times New Roman" w:cs="Calibri"/>
                <w:sz w:val="16"/>
                <w:szCs w:val="16"/>
              </w:rPr>
              <w:t>-1,1</w:t>
            </w:r>
          </w:p>
        </w:tc>
      </w:tr>
      <w:tr w:rsidRPr="00D50935" w:rsidR="00F40CDB" w:rsidTr="001E623A" w14:paraId="5DD3382A"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0611E241" w14:textId="77777777">
            <w:pPr>
              <w:autoSpaceDN/>
              <w:spacing w:line="240" w:lineRule="auto"/>
              <w:textAlignment w:val="auto"/>
              <w:rPr>
                <w:rFonts w:eastAsia="Times New Roman" w:cs="Times New Roman"/>
                <w:b/>
                <w:bCs/>
                <w:sz w:val="16"/>
                <w:szCs w:val="16"/>
              </w:rPr>
            </w:pPr>
            <w:r w:rsidRPr="00D50935">
              <w:rPr>
                <w:rFonts w:eastAsia="Times New Roman" w:cs="Calibri"/>
                <w:b/>
                <w:bCs/>
                <w:sz w:val="16"/>
                <w:szCs w:val="16"/>
              </w:rPr>
              <w:t>5 Veiligheid en defensie</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77219161" w14:textId="77777777">
            <w:pPr>
              <w:autoSpaceDN/>
              <w:spacing w:line="240" w:lineRule="auto"/>
              <w:jc w:val="right"/>
              <w:textAlignment w:val="auto"/>
              <w:rPr>
                <w:rFonts w:eastAsia="Times New Roman" w:cs="Times New Roman"/>
                <w:b/>
                <w:bCs/>
                <w:sz w:val="16"/>
                <w:szCs w:val="16"/>
              </w:rPr>
            </w:pPr>
            <w:r w:rsidRPr="00D50935">
              <w:rPr>
                <w:rFonts w:eastAsia="Times New Roman" w:cs="Calibri"/>
                <w:b/>
                <w:bCs/>
                <w:sz w:val="16"/>
                <w:szCs w:val="16"/>
              </w:rPr>
              <w:t>10</w:t>
            </w:r>
          </w:p>
        </w:tc>
      </w:tr>
      <w:tr w:rsidRPr="00D50935" w:rsidR="00F40CDB" w:rsidTr="001E623A" w14:paraId="01609C42"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0B1E7BE7" w14:textId="77777777">
            <w:pPr>
              <w:autoSpaceDN/>
              <w:spacing w:line="240" w:lineRule="auto"/>
              <w:textAlignment w:val="auto"/>
              <w:rPr>
                <w:rFonts w:eastAsia="Times New Roman" w:cs="Times New Roman"/>
                <w:i/>
                <w:iCs/>
                <w:sz w:val="16"/>
                <w:szCs w:val="16"/>
              </w:rPr>
            </w:pPr>
            <w:r>
              <w:rPr>
                <w:rFonts w:eastAsia="Times New Roman" w:cs="Calibri"/>
                <w:i/>
                <w:iCs/>
                <w:sz w:val="16"/>
                <w:szCs w:val="16"/>
              </w:rPr>
              <w:t>Militaire mobiliteit</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2B83FBD3" w14:textId="77777777">
            <w:pPr>
              <w:autoSpaceDN/>
              <w:spacing w:line="240" w:lineRule="auto"/>
              <w:jc w:val="right"/>
              <w:textAlignment w:val="auto"/>
              <w:rPr>
                <w:rFonts w:eastAsia="Times New Roman" w:cs="Times New Roman"/>
                <w:sz w:val="16"/>
                <w:szCs w:val="16"/>
              </w:rPr>
            </w:pPr>
            <w:r w:rsidRPr="00D50935">
              <w:rPr>
                <w:rFonts w:eastAsia="Times New Roman" w:cs="Calibri"/>
                <w:sz w:val="16"/>
                <w:szCs w:val="16"/>
              </w:rPr>
              <w:t>10</w:t>
            </w:r>
          </w:p>
        </w:tc>
      </w:tr>
      <w:tr w:rsidRPr="00D50935" w:rsidR="00F40CDB" w:rsidTr="001E623A" w14:paraId="660DFE42"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725731D7" w14:textId="77777777">
            <w:pPr>
              <w:autoSpaceDN/>
              <w:spacing w:line="240" w:lineRule="auto"/>
              <w:textAlignment w:val="auto"/>
              <w:rPr>
                <w:rFonts w:eastAsia="Times New Roman" w:cs="Times New Roman"/>
                <w:b/>
                <w:bCs/>
                <w:sz w:val="16"/>
                <w:szCs w:val="16"/>
              </w:rPr>
            </w:pPr>
            <w:r w:rsidRPr="00D50935">
              <w:rPr>
                <w:rFonts w:eastAsia="Times New Roman" w:cs="Calibri"/>
                <w:b/>
                <w:bCs/>
                <w:sz w:val="16"/>
                <w:szCs w:val="16"/>
              </w:rPr>
              <w:t>6 Extern beleid</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16200935" w14:textId="77777777">
            <w:pPr>
              <w:autoSpaceDN/>
              <w:spacing w:line="240" w:lineRule="auto"/>
              <w:jc w:val="right"/>
              <w:textAlignment w:val="auto"/>
              <w:rPr>
                <w:rFonts w:eastAsia="Times New Roman" w:cs="Times New Roman"/>
                <w:b/>
                <w:bCs/>
                <w:sz w:val="16"/>
                <w:szCs w:val="16"/>
              </w:rPr>
            </w:pPr>
            <w:r w:rsidRPr="00D50935">
              <w:rPr>
                <w:rFonts w:eastAsia="Times New Roman" w:cs="Calibri"/>
                <w:b/>
                <w:bCs/>
                <w:sz w:val="16"/>
                <w:szCs w:val="16"/>
              </w:rPr>
              <w:t>95</w:t>
            </w:r>
          </w:p>
        </w:tc>
      </w:tr>
      <w:tr w:rsidRPr="00D50935" w:rsidR="00F40CDB" w:rsidTr="001E623A" w14:paraId="23DBBBD0"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41E0192C" w14:textId="77777777">
            <w:pPr>
              <w:autoSpaceDN/>
              <w:spacing w:line="240" w:lineRule="auto"/>
              <w:textAlignment w:val="auto"/>
              <w:rPr>
                <w:rFonts w:eastAsia="Times New Roman" w:cs="Times New Roman"/>
                <w:i/>
                <w:iCs/>
                <w:sz w:val="16"/>
                <w:szCs w:val="16"/>
              </w:rPr>
            </w:pPr>
            <w:r w:rsidRPr="00D50935">
              <w:rPr>
                <w:rFonts w:eastAsia="Times New Roman" w:cs="Calibri"/>
                <w:i/>
                <w:iCs/>
                <w:sz w:val="16"/>
                <w:szCs w:val="16"/>
              </w:rPr>
              <w:t>NDICI</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4D3275BD" w14:textId="77777777">
            <w:pPr>
              <w:autoSpaceDN/>
              <w:spacing w:line="240" w:lineRule="auto"/>
              <w:jc w:val="right"/>
              <w:textAlignment w:val="auto"/>
              <w:rPr>
                <w:rFonts w:eastAsia="Times New Roman" w:cs="Times New Roman"/>
                <w:sz w:val="16"/>
                <w:szCs w:val="16"/>
              </w:rPr>
            </w:pPr>
            <w:r w:rsidRPr="00D50935">
              <w:rPr>
                <w:rFonts w:eastAsia="Times New Roman" w:cs="Calibri"/>
                <w:sz w:val="16"/>
                <w:szCs w:val="16"/>
              </w:rPr>
              <w:t>60</w:t>
            </w:r>
          </w:p>
        </w:tc>
      </w:tr>
      <w:tr w:rsidRPr="00D50935" w:rsidR="00F40CDB" w:rsidTr="001E623A" w14:paraId="1F7375D5" w14:textId="77777777">
        <w:trPr>
          <w:trHeight w:val="315"/>
        </w:trPr>
        <w:tc>
          <w:tcPr>
            <w:tcW w:w="4120" w:type="dxa"/>
            <w:tcBorders>
              <w:top w:val="nil"/>
              <w:left w:val="single" w:color="auto" w:sz="8" w:space="0"/>
              <w:bottom w:val="nil"/>
              <w:right w:val="single" w:color="auto" w:sz="8" w:space="0"/>
            </w:tcBorders>
            <w:shd w:val="clear" w:color="auto" w:fill="auto"/>
            <w:noWrap/>
            <w:vAlign w:val="center"/>
            <w:hideMark/>
          </w:tcPr>
          <w:p w:rsidRPr="00D50935" w:rsidR="00F40CDB" w:rsidP="001E623A" w:rsidRDefault="00F40CDB" w14:paraId="3FC0E079" w14:textId="77777777">
            <w:pPr>
              <w:autoSpaceDN/>
              <w:spacing w:line="240" w:lineRule="auto"/>
              <w:textAlignment w:val="auto"/>
              <w:rPr>
                <w:rFonts w:eastAsia="Times New Roman" w:cs="Times New Roman"/>
                <w:i/>
                <w:iCs/>
                <w:sz w:val="16"/>
                <w:szCs w:val="16"/>
              </w:rPr>
            </w:pPr>
            <w:r w:rsidRPr="00D50935">
              <w:rPr>
                <w:rFonts w:eastAsia="Times New Roman" w:cs="Times New Roman"/>
                <w:i/>
                <w:iCs/>
                <w:sz w:val="16"/>
                <w:szCs w:val="16"/>
              </w:rPr>
              <w:t>H</w:t>
            </w:r>
            <w:r>
              <w:rPr>
                <w:rFonts w:eastAsia="Times New Roman" w:cs="Times New Roman"/>
                <w:i/>
                <w:iCs/>
                <w:sz w:val="16"/>
                <w:szCs w:val="16"/>
              </w:rPr>
              <w:t>umanitaire hulp</w:t>
            </w:r>
          </w:p>
        </w:tc>
        <w:tc>
          <w:tcPr>
            <w:tcW w:w="1220" w:type="dxa"/>
            <w:tcBorders>
              <w:top w:val="nil"/>
              <w:left w:val="nil"/>
              <w:bottom w:val="nil"/>
              <w:right w:val="single" w:color="auto" w:sz="8" w:space="0"/>
            </w:tcBorders>
            <w:shd w:val="clear" w:color="auto" w:fill="auto"/>
            <w:noWrap/>
            <w:vAlign w:val="center"/>
            <w:hideMark/>
          </w:tcPr>
          <w:p w:rsidRPr="00D50935" w:rsidR="00F40CDB" w:rsidP="001E623A" w:rsidRDefault="00F40CDB" w14:paraId="6570477D" w14:textId="77777777">
            <w:pPr>
              <w:autoSpaceDN/>
              <w:spacing w:line="240" w:lineRule="auto"/>
              <w:jc w:val="right"/>
              <w:textAlignment w:val="auto"/>
              <w:rPr>
                <w:rFonts w:eastAsia="Times New Roman" w:cs="Times New Roman"/>
                <w:sz w:val="16"/>
                <w:szCs w:val="16"/>
              </w:rPr>
            </w:pPr>
            <w:r w:rsidRPr="00D50935">
              <w:rPr>
                <w:rFonts w:eastAsia="Times New Roman" w:cs="Times New Roman"/>
                <w:sz w:val="16"/>
                <w:szCs w:val="16"/>
              </w:rPr>
              <w:t>35</w:t>
            </w:r>
          </w:p>
        </w:tc>
      </w:tr>
      <w:tr w:rsidRPr="00D50935" w:rsidR="00F40CDB" w:rsidTr="001E623A" w14:paraId="213A5740" w14:textId="77777777">
        <w:trPr>
          <w:trHeight w:val="630"/>
        </w:trPr>
        <w:tc>
          <w:tcPr>
            <w:tcW w:w="412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D50935" w:rsidR="00F40CDB" w:rsidP="001E623A" w:rsidRDefault="00F40CDB" w14:paraId="2B7C23AD" w14:textId="77777777">
            <w:pPr>
              <w:autoSpaceDN/>
              <w:spacing w:line="240" w:lineRule="auto"/>
              <w:textAlignment w:val="auto"/>
              <w:rPr>
                <w:rFonts w:eastAsia="Times New Roman" w:cs="Times New Roman"/>
                <w:b/>
                <w:bCs/>
                <w:sz w:val="16"/>
                <w:szCs w:val="16"/>
              </w:rPr>
            </w:pPr>
            <w:r w:rsidRPr="00D50935">
              <w:rPr>
                <w:rFonts w:eastAsia="Times New Roman" w:cs="Calibri"/>
                <w:b/>
                <w:bCs/>
                <w:sz w:val="16"/>
                <w:szCs w:val="16"/>
              </w:rPr>
              <w:t>7 Administratieve Uitgaven (</w:t>
            </w:r>
            <w:proofErr w:type="spellStart"/>
            <w:r w:rsidRPr="00D50935">
              <w:rPr>
                <w:rFonts w:eastAsia="Times New Roman" w:cs="Calibri"/>
                <w:b/>
                <w:bCs/>
                <w:sz w:val="16"/>
                <w:szCs w:val="16"/>
              </w:rPr>
              <w:t>technical</w:t>
            </w:r>
            <w:proofErr w:type="spellEnd"/>
            <w:r w:rsidRPr="00D50935">
              <w:rPr>
                <w:rFonts w:eastAsia="Times New Roman" w:cs="Calibri"/>
                <w:b/>
                <w:bCs/>
                <w:sz w:val="16"/>
                <w:szCs w:val="16"/>
              </w:rPr>
              <w:t xml:space="preserve"> </w:t>
            </w:r>
            <w:proofErr w:type="spellStart"/>
            <w:r w:rsidRPr="00D50935">
              <w:rPr>
                <w:rFonts w:eastAsia="Times New Roman" w:cs="Calibri"/>
                <w:b/>
                <w:bCs/>
                <w:sz w:val="16"/>
                <w:szCs w:val="16"/>
              </w:rPr>
              <w:t>adjustments</w:t>
            </w:r>
            <w:proofErr w:type="spellEnd"/>
            <w:r w:rsidRPr="00D50935">
              <w:rPr>
                <w:rFonts w:eastAsia="Times New Roman" w:cs="Calibri"/>
                <w:b/>
                <w:bCs/>
                <w:sz w:val="16"/>
                <w:szCs w:val="16"/>
              </w:rPr>
              <w:t>)</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D50935" w:rsidR="00F40CDB" w:rsidP="001E623A" w:rsidRDefault="00F40CDB" w14:paraId="54717FA2" w14:textId="77777777">
            <w:pPr>
              <w:autoSpaceDN/>
              <w:spacing w:line="240" w:lineRule="auto"/>
              <w:jc w:val="right"/>
              <w:textAlignment w:val="auto"/>
              <w:rPr>
                <w:rFonts w:eastAsia="Times New Roman" w:cs="Times New Roman"/>
                <w:b/>
                <w:bCs/>
                <w:sz w:val="16"/>
                <w:szCs w:val="16"/>
              </w:rPr>
            </w:pPr>
            <w:r w:rsidRPr="00D50935">
              <w:rPr>
                <w:rFonts w:eastAsia="Times New Roman" w:cs="Calibri"/>
                <w:b/>
                <w:bCs/>
                <w:sz w:val="16"/>
                <w:szCs w:val="16"/>
              </w:rPr>
              <w:t>-197,7</w:t>
            </w:r>
          </w:p>
        </w:tc>
      </w:tr>
      <w:tr w:rsidRPr="00D50935" w:rsidR="00F40CDB" w:rsidTr="001E623A" w14:paraId="74E39AFA" w14:textId="77777777">
        <w:trPr>
          <w:trHeight w:val="315"/>
        </w:trPr>
        <w:tc>
          <w:tcPr>
            <w:tcW w:w="4120" w:type="dxa"/>
            <w:tcBorders>
              <w:top w:val="nil"/>
              <w:left w:val="single" w:color="auto" w:sz="8" w:space="0"/>
              <w:bottom w:val="single" w:color="auto" w:sz="8" w:space="0"/>
              <w:right w:val="single" w:color="auto" w:sz="8" w:space="0"/>
            </w:tcBorders>
            <w:shd w:val="clear" w:color="auto" w:fill="auto"/>
            <w:noWrap/>
            <w:vAlign w:val="center"/>
            <w:hideMark/>
          </w:tcPr>
          <w:p w:rsidRPr="00D50935" w:rsidR="00F40CDB" w:rsidP="001E623A" w:rsidRDefault="00F40CDB" w14:paraId="5631ED38" w14:textId="77777777">
            <w:pPr>
              <w:autoSpaceDN/>
              <w:spacing w:line="240" w:lineRule="auto"/>
              <w:textAlignment w:val="auto"/>
              <w:rPr>
                <w:rFonts w:eastAsia="Times New Roman" w:cs="Times New Roman"/>
                <w:b/>
                <w:bCs/>
                <w:sz w:val="16"/>
                <w:szCs w:val="16"/>
              </w:rPr>
            </w:pPr>
            <w:r w:rsidRPr="00D50935">
              <w:rPr>
                <w:rFonts w:eastAsia="Times New Roman" w:cs="Calibri"/>
                <w:b/>
                <w:bCs/>
                <w:sz w:val="16"/>
                <w:szCs w:val="16"/>
              </w:rPr>
              <w:t>Totaal verschil met Amending Letter 1</w:t>
            </w:r>
          </w:p>
        </w:tc>
        <w:tc>
          <w:tcPr>
            <w:tcW w:w="1220" w:type="dxa"/>
            <w:tcBorders>
              <w:top w:val="nil"/>
              <w:left w:val="nil"/>
              <w:bottom w:val="single" w:color="auto" w:sz="8" w:space="0"/>
              <w:right w:val="single" w:color="auto" w:sz="8" w:space="0"/>
            </w:tcBorders>
            <w:shd w:val="clear" w:color="auto" w:fill="auto"/>
            <w:noWrap/>
            <w:vAlign w:val="center"/>
            <w:hideMark/>
          </w:tcPr>
          <w:p w:rsidRPr="00D50935" w:rsidR="00F40CDB" w:rsidP="001E623A" w:rsidRDefault="00F40CDB" w14:paraId="5466554F" w14:textId="77777777">
            <w:pPr>
              <w:autoSpaceDN/>
              <w:spacing w:line="240" w:lineRule="auto"/>
              <w:jc w:val="right"/>
              <w:textAlignment w:val="auto"/>
              <w:rPr>
                <w:rFonts w:eastAsia="Times New Roman" w:cs="Times New Roman"/>
                <w:b/>
                <w:bCs/>
                <w:sz w:val="16"/>
                <w:szCs w:val="16"/>
              </w:rPr>
            </w:pPr>
            <w:r w:rsidRPr="00D50935">
              <w:rPr>
                <w:rFonts w:eastAsia="Times New Roman" w:cs="Calibri"/>
                <w:b/>
                <w:bCs/>
                <w:sz w:val="16"/>
                <w:szCs w:val="16"/>
              </w:rPr>
              <w:t>-</w:t>
            </w:r>
            <w:r>
              <w:rPr>
                <w:rFonts w:eastAsia="Times New Roman" w:cs="Calibri"/>
                <w:b/>
                <w:bCs/>
                <w:sz w:val="16"/>
                <w:szCs w:val="16"/>
              </w:rPr>
              <w:t>107,8</w:t>
            </w:r>
          </w:p>
        </w:tc>
      </w:tr>
      <w:bookmarkEnd w:id="4"/>
    </w:tbl>
    <w:p w:rsidRPr="00556607" w:rsidR="00F40CDB" w:rsidP="00F40CDB" w:rsidRDefault="00F40CDB" w14:paraId="5ABD5C82" w14:textId="77777777">
      <w:pPr>
        <w:spacing w:after="160" w:line="252" w:lineRule="auto"/>
        <w:rPr>
          <w:sz w:val="16"/>
          <w:szCs w:val="16"/>
        </w:rPr>
      </w:pPr>
    </w:p>
    <w:bookmarkEnd w:id="2"/>
    <w:p w:rsidR="00F40CDB" w:rsidP="00F40CDB" w:rsidRDefault="00F40CDB" w14:paraId="2D92D273" w14:textId="77777777">
      <w:pPr>
        <w:rPr>
          <w:rFonts w:eastAsia="Times New Roman" w:cs="Arial"/>
          <w:color w:val="auto"/>
        </w:rPr>
      </w:pPr>
    </w:p>
    <w:p w:rsidR="00F40CDB" w:rsidP="00F40CDB" w:rsidRDefault="00F40CDB" w14:paraId="74A05CD7" w14:textId="77777777">
      <w:pPr>
        <w:rPr>
          <w:rFonts w:eastAsia="Times New Roman" w:cs="Arial"/>
          <w:color w:val="auto"/>
        </w:rPr>
      </w:pPr>
    </w:p>
    <w:p w:rsidR="00F40CDB" w:rsidP="00F40CDB" w:rsidRDefault="00F40CDB" w14:paraId="4716A6DB" w14:textId="77777777">
      <w:pPr>
        <w:rPr>
          <w:rFonts w:eastAsia="Times New Roman" w:cs="Arial"/>
          <w:color w:val="auto"/>
        </w:rPr>
      </w:pPr>
    </w:p>
    <w:p w:rsidR="00F40CDB" w:rsidP="00F40CDB" w:rsidRDefault="00F40CDB" w14:paraId="4B0BF80C" w14:textId="77777777">
      <w:pPr>
        <w:rPr>
          <w:rFonts w:eastAsia="Times New Roman" w:cs="Arial"/>
          <w:color w:val="auto"/>
        </w:rPr>
      </w:pPr>
    </w:p>
    <w:p w:rsidR="00F40CDB" w:rsidP="00F40CDB" w:rsidRDefault="00F40CDB" w14:paraId="2537D20E" w14:textId="77777777">
      <w:pPr>
        <w:rPr>
          <w:rFonts w:eastAsia="Times New Roman" w:cs="Arial"/>
          <w:color w:val="auto"/>
        </w:rPr>
      </w:pPr>
    </w:p>
    <w:p w:rsidRPr="00D9258D" w:rsidR="00F40CDB" w:rsidP="00F40CDB" w:rsidRDefault="00F40CDB" w14:paraId="698239ED" w14:textId="77777777">
      <w:pPr>
        <w:spacing w:line="240" w:lineRule="auto"/>
        <w:rPr>
          <w:rFonts w:eastAsia="Times New Roman" w:cs="Arial"/>
          <w:color w:val="auto"/>
        </w:rPr>
      </w:pPr>
    </w:p>
    <w:p w:rsidR="00F40CDB" w:rsidP="00F40CDB" w:rsidRDefault="00F40CDB" w14:paraId="43F526F1" w14:textId="77777777"/>
    <w:p w:rsidR="00F40CDB" w:rsidP="00F40CDB" w:rsidRDefault="00F40CDB" w14:paraId="2EE3D055" w14:textId="77777777">
      <w:pPr>
        <w:pStyle w:val="Verdana7"/>
      </w:pPr>
    </w:p>
    <w:p w:rsidRPr="00F40CDB" w:rsidR="0090611E" w:rsidP="00F40CDB" w:rsidRDefault="0090611E" w14:paraId="74BC0C1E" w14:textId="77777777"/>
    <w:sectPr w:rsidRPr="00F40CDB" w:rsidR="0090611E" w:rsidSect="003507D9">
      <w:headerReference w:type="default" r:id="rId7"/>
      <w:headerReference w:type="first" r:id="rId8"/>
      <w:pgSz w:w="11905" w:h="16837"/>
      <w:pgMar w:top="2948" w:right="2834" w:bottom="1020" w:left="1587"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C148" w14:textId="77777777" w:rsidR="00010F5B" w:rsidRDefault="00010F5B">
      <w:pPr>
        <w:spacing w:line="240" w:lineRule="auto"/>
      </w:pPr>
      <w:r>
        <w:separator/>
      </w:r>
    </w:p>
  </w:endnote>
  <w:endnote w:type="continuationSeparator" w:id="0">
    <w:p w14:paraId="65A09FBB" w14:textId="77777777" w:rsidR="00010F5B" w:rsidRDefault="00010F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6529" w14:textId="77777777" w:rsidR="00010F5B" w:rsidRDefault="00010F5B">
      <w:pPr>
        <w:spacing w:line="240" w:lineRule="auto"/>
      </w:pPr>
      <w:r>
        <w:separator/>
      </w:r>
    </w:p>
  </w:footnote>
  <w:footnote w:type="continuationSeparator" w:id="0">
    <w:p w14:paraId="30D1BF87" w14:textId="77777777" w:rsidR="00010F5B" w:rsidRDefault="00010F5B">
      <w:pPr>
        <w:spacing w:line="240" w:lineRule="auto"/>
      </w:pPr>
      <w:r>
        <w:continuationSeparator/>
      </w:r>
    </w:p>
  </w:footnote>
  <w:footnote w:id="1">
    <w:p w14:paraId="5D49152C" w14:textId="77777777" w:rsidR="00F40CDB" w:rsidRPr="00E47F8C" w:rsidRDefault="00F40CDB" w:rsidP="00F40CDB">
      <w:pPr>
        <w:pStyle w:val="Voetnoottekst"/>
        <w:rPr>
          <w:sz w:val="14"/>
          <w:szCs w:val="14"/>
          <w:lang w:val="nl-NL"/>
        </w:rPr>
      </w:pPr>
      <w:r w:rsidRPr="00E47F8C">
        <w:rPr>
          <w:rStyle w:val="Voetnootmarkering"/>
          <w:sz w:val="14"/>
          <w:szCs w:val="14"/>
        </w:rPr>
        <w:footnoteRef/>
      </w:r>
      <w:r w:rsidRPr="00E47F8C">
        <w:rPr>
          <w:sz w:val="14"/>
          <w:szCs w:val="14"/>
          <w:lang w:val="nl-NL"/>
        </w:rPr>
        <w:t xml:space="preserve"> Vastleggingen zijn de wettelijke (of contractuele) verplichtingen die worden aangegaan. Betalingen zijn de kasuitgaven, volgend uit vastleggingen.</w:t>
      </w:r>
    </w:p>
  </w:footnote>
  <w:footnote w:id="2">
    <w:p w14:paraId="57BE0F27" w14:textId="77777777" w:rsidR="005D3AF4" w:rsidRPr="005D3AF4" w:rsidRDefault="00F40CDB" w:rsidP="00F40CDB">
      <w:pPr>
        <w:pStyle w:val="Voetnoottekst"/>
        <w:rPr>
          <w:sz w:val="14"/>
          <w:szCs w:val="14"/>
          <w:lang w:val="nl-NL"/>
        </w:rPr>
      </w:pPr>
      <w:r w:rsidRPr="00655159">
        <w:rPr>
          <w:rStyle w:val="Voetnootmarkering"/>
          <w:sz w:val="14"/>
          <w:szCs w:val="14"/>
        </w:rPr>
        <w:footnoteRef/>
      </w:r>
      <w:r w:rsidRPr="002C0811">
        <w:rPr>
          <w:sz w:val="14"/>
          <w:szCs w:val="14"/>
          <w:lang w:val="nl-NL"/>
        </w:rPr>
        <w:t xml:space="preserve"> </w:t>
      </w:r>
      <w:hyperlink r:id="rId1" w:history="1">
        <w:r w:rsidR="005D3AF4" w:rsidRPr="00BA6417">
          <w:rPr>
            <w:rStyle w:val="Hyperlink"/>
            <w:sz w:val="14"/>
            <w:szCs w:val="14"/>
            <w:lang w:val="nl-NL"/>
          </w:rPr>
          <w:t>https://www.consilium.europa.eu/media/69866/20240201-special-euco-conclusions-mff-ukraine-en.pdf</w:t>
        </w:r>
      </w:hyperlink>
    </w:p>
  </w:footnote>
  <w:footnote w:id="3">
    <w:p w14:paraId="315820AA" w14:textId="77777777" w:rsidR="005D3AF4" w:rsidRPr="009A4C3E" w:rsidRDefault="00F40CDB" w:rsidP="00F40CDB">
      <w:pPr>
        <w:pStyle w:val="Voetnoottekst"/>
        <w:rPr>
          <w:sz w:val="14"/>
          <w:szCs w:val="14"/>
          <w:lang w:val="nl-NL"/>
        </w:rPr>
      </w:pPr>
      <w:r w:rsidRPr="009A4C3E">
        <w:rPr>
          <w:rStyle w:val="Voetnootmarkering"/>
          <w:sz w:val="14"/>
          <w:szCs w:val="14"/>
        </w:rPr>
        <w:footnoteRef/>
      </w:r>
      <w:r w:rsidRPr="009A4C3E">
        <w:rPr>
          <w:sz w:val="14"/>
          <w:szCs w:val="14"/>
          <w:lang w:val="nl-NL"/>
        </w:rPr>
        <w:t xml:space="preserve"> </w:t>
      </w:r>
      <w:hyperlink r:id="rId2" w:history="1">
        <w:r w:rsidR="005D3AF4" w:rsidRPr="00BA6417">
          <w:rPr>
            <w:rStyle w:val="Hyperlink"/>
            <w:sz w:val="14"/>
            <w:szCs w:val="14"/>
            <w:lang w:val="nl-NL"/>
          </w:rPr>
          <w:t>https://data.consilium.europa.eu/doc/document/ST-15788-2024-ADD-6/en/pdf</w:t>
        </w:r>
      </w:hyperlink>
    </w:p>
  </w:footnote>
  <w:footnote w:id="4">
    <w:p w14:paraId="1CE9D6E7" w14:textId="77777777" w:rsidR="00F40CDB" w:rsidRPr="00BA3539" w:rsidRDefault="00F40CDB" w:rsidP="00F40CDB">
      <w:pPr>
        <w:pStyle w:val="Voetnoottekst"/>
        <w:rPr>
          <w:b/>
          <w:bCs/>
          <w:sz w:val="14"/>
          <w:szCs w:val="14"/>
          <w:lang w:val="nl-NL"/>
        </w:rPr>
      </w:pPr>
      <w:r w:rsidRPr="009A4C3E">
        <w:rPr>
          <w:rStyle w:val="Voetnootmarkering"/>
          <w:sz w:val="14"/>
          <w:szCs w:val="14"/>
        </w:rPr>
        <w:footnoteRef/>
      </w:r>
      <w:r w:rsidRPr="009A4C3E">
        <w:rPr>
          <w:sz w:val="14"/>
          <w:szCs w:val="14"/>
          <w:lang w:val="nl-NL"/>
        </w:rPr>
        <w:t xml:space="preserve"> </w:t>
      </w:r>
      <w:hyperlink r:id="rId3" w:history="1">
        <w:r w:rsidRPr="009A4C3E">
          <w:rPr>
            <w:rStyle w:val="Hyperlink"/>
            <w:sz w:val="14"/>
            <w:szCs w:val="14"/>
            <w:lang w:val="nl-NL"/>
          </w:rPr>
          <w:t>https://open.overheid.nl/documenten/5ac98119-c957-4d56-aafb-98afd9d18adc/file</w:t>
        </w:r>
      </w:hyperlink>
      <w:r>
        <w:rPr>
          <w:lang w:val="nl-NL"/>
        </w:rPr>
        <w:t xml:space="preserve"> </w:t>
      </w:r>
    </w:p>
  </w:footnote>
  <w:footnote w:id="5">
    <w:p w14:paraId="51E617C9" w14:textId="77777777" w:rsidR="005D3AF4" w:rsidRDefault="005D3AF4"/>
  </w:footnote>
  <w:footnote w:id="6">
    <w:p w14:paraId="032B58E2" w14:textId="77777777" w:rsidR="00F40CDB" w:rsidRPr="007448DE" w:rsidRDefault="00F40CDB" w:rsidP="00F40CDB">
      <w:pPr>
        <w:pStyle w:val="Voetnoottekst"/>
        <w:rPr>
          <w:lang w:val="nl-NL"/>
        </w:rPr>
      </w:pPr>
      <w:r w:rsidRPr="009A4C3E">
        <w:rPr>
          <w:rStyle w:val="Voetnootmarkering"/>
          <w:sz w:val="14"/>
          <w:szCs w:val="14"/>
        </w:rPr>
        <w:footnoteRef/>
      </w:r>
      <w:r w:rsidRPr="009A4C3E">
        <w:rPr>
          <w:sz w:val="14"/>
          <w:szCs w:val="14"/>
          <w:lang w:val="nl-NL"/>
        </w:rPr>
        <w:t xml:space="preserve"> </w:t>
      </w:r>
      <w:hyperlink r:id="rId4" w:history="1">
        <w:r w:rsidRPr="009A4C3E">
          <w:rPr>
            <w:rStyle w:val="Hyperlink"/>
            <w:sz w:val="14"/>
            <w:szCs w:val="14"/>
            <w:lang w:val="nl-NL"/>
          </w:rPr>
          <w:t>https://open.overheid.nl/documenten/5ac98119-c957-4d56-aafb-98afd9d18adc/file</w:t>
        </w:r>
      </w:hyperlink>
    </w:p>
  </w:footnote>
  <w:footnote w:id="7">
    <w:p w14:paraId="30FD87EE" w14:textId="77777777" w:rsidR="00F40CDB" w:rsidRPr="009C0E76" w:rsidRDefault="00F40CDB" w:rsidP="00F40CDB">
      <w:pPr>
        <w:pStyle w:val="Voetnoottekst"/>
        <w:rPr>
          <w:sz w:val="14"/>
          <w:szCs w:val="14"/>
          <w:lang w:val="nl-NL"/>
        </w:rPr>
      </w:pPr>
      <w:r w:rsidRPr="009A4C3E">
        <w:rPr>
          <w:rStyle w:val="Voetnootmarkering"/>
          <w:sz w:val="14"/>
          <w:szCs w:val="14"/>
        </w:rPr>
        <w:footnoteRef/>
      </w:r>
      <w:r w:rsidRPr="009A4C3E">
        <w:rPr>
          <w:sz w:val="14"/>
          <w:szCs w:val="14"/>
          <w:lang w:val="nl-NL"/>
        </w:rPr>
        <w:t xml:space="preserve"> </w:t>
      </w:r>
      <w:hyperlink r:id="rId5" w:history="1">
        <w:r w:rsidRPr="009A4C3E">
          <w:rPr>
            <w:rStyle w:val="Hyperlink"/>
            <w:sz w:val="14"/>
            <w:szCs w:val="14"/>
            <w:lang w:val="nl-NL"/>
          </w:rPr>
          <w:t>https://open.overheid.nl/documenten/5ac98119-c957-4d56-aafb-98afd9d18adc/file</w:t>
        </w:r>
      </w:hyperlink>
    </w:p>
  </w:footnote>
  <w:footnote w:id="8">
    <w:p w14:paraId="0954874A" w14:textId="77777777" w:rsidR="004E729E" w:rsidRPr="004E729E" w:rsidRDefault="004E729E">
      <w:pPr>
        <w:pStyle w:val="Voetnoottekst"/>
      </w:pPr>
      <w:r w:rsidRPr="004E729E">
        <w:rPr>
          <w:rStyle w:val="Voetnootmarkering"/>
          <w:sz w:val="14"/>
          <w:szCs w:val="14"/>
        </w:rPr>
        <w:footnoteRef/>
      </w:r>
      <w:r w:rsidRPr="004E729E">
        <w:rPr>
          <w:sz w:val="14"/>
          <w:szCs w:val="14"/>
          <w:lang w:val="nl-NL"/>
        </w:rPr>
        <w:t xml:space="preserve"> </w:t>
      </w:r>
      <w:hyperlink r:id="rId6" w:history="1">
        <w:r w:rsidRPr="004E729E">
          <w:rPr>
            <w:rStyle w:val="Hyperlink"/>
            <w:sz w:val="14"/>
            <w:szCs w:val="14"/>
            <w:lang w:val="nl-NL"/>
          </w:rPr>
          <w:t>4.3 Artikel 3: Effectieve Europese samenwerking | Ministerie van Financiën - Rijksoverheid</w:t>
        </w:r>
      </w:hyperlink>
      <w:r w:rsidRPr="004E729E">
        <w:rPr>
          <w:sz w:val="14"/>
          <w:szCs w:val="14"/>
          <w:lang w:val="nl-NL"/>
        </w:rPr>
        <w:t xml:space="preserve"> en </w:t>
      </w:r>
      <w:hyperlink r:id="rId7" w:history="1">
        <w:r w:rsidRPr="004E729E">
          <w:rPr>
            <w:rStyle w:val="Hyperlink"/>
            <w:sz w:val="14"/>
            <w:szCs w:val="14"/>
            <w:lang w:val="nl-NL"/>
          </w:rPr>
          <w:t xml:space="preserve">Buitenlandse Zaken (incl. </w:t>
        </w:r>
        <w:r w:rsidRPr="004E729E">
          <w:rPr>
            <w:rStyle w:val="Hyperlink"/>
            <w:sz w:val="14"/>
            <w:szCs w:val="14"/>
          </w:rPr>
          <w:t xml:space="preserve">BHO) | Ministerie van Financiën - </w:t>
        </w:r>
        <w:proofErr w:type="spellStart"/>
        <w:r w:rsidRPr="004E729E">
          <w:rPr>
            <w:rStyle w:val="Hyperlink"/>
            <w:sz w:val="14"/>
            <w:szCs w:val="14"/>
          </w:rPr>
          <w:t>Rijksoverheid</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3852" w14:textId="77777777" w:rsidR="0090611E" w:rsidRDefault="003507D9">
    <w:r>
      <w:rPr>
        <w:noProof/>
      </w:rPr>
      <w:drawing>
        <wp:anchor distT="0" distB="0" distL="114300" distR="114300" simplePos="0" relativeHeight="251665408" behindDoc="0" locked="0" layoutInCell="1" allowOverlap="1" wp14:anchorId="3877ACC9" wp14:editId="622C7A67">
          <wp:simplePos x="0" y="0"/>
          <wp:positionH relativeFrom="margin">
            <wp:posOffset>2854325</wp:posOffset>
          </wp:positionH>
          <wp:positionV relativeFrom="margin">
            <wp:posOffset>-2225040</wp:posOffset>
          </wp:positionV>
          <wp:extent cx="2339975" cy="1582420"/>
          <wp:effectExtent l="0" t="0" r="3175" b="0"/>
          <wp:wrapSquare wrapText="bothSides"/>
          <wp:docPr id="7"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7" name="Woordmerk_MinFin"/>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420"/>
                  </a:xfrm>
                  <a:prstGeom prst="rect">
                    <a:avLst/>
                  </a:prstGeom>
                </pic:spPr>
              </pic:pic>
            </a:graphicData>
          </a:graphic>
        </wp:anchor>
      </w:drawing>
    </w:r>
    <w:r>
      <w:rPr>
        <w:noProof/>
      </w:rPr>
      <w:drawing>
        <wp:anchor distT="0" distB="0" distL="114300" distR="114300" simplePos="0" relativeHeight="251664384" behindDoc="0" locked="0" layoutInCell="1" allowOverlap="1" wp14:anchorId="5F60A406" wp14:editId="19815585">
          <wp:simplePos x="0" y="0"/>
          <wp:positionH relativeFrom="margin">
            <wp:posOffset>2389505</wp:posOffset>
          </wp:positionH>
          <wp:positionV relativeFrom="margin">
            <wp:posOffset>-1882140</wp:posOffset>
          </wp:positionV>
          <wp:extent cx="467995" cy="1583690"/>
          <wp:effectExtent l="0" t="0" r="8255" b="0"/>
          <wp:wrapSquare wrapText="bothSides"/>
          <wp:docPr id="5" name="Rijkslint"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anchor>
      </w:drawing>
    </w:r>
    <w:r w:rsidR="00A27F19">
      <w:rPr>
        <w:noProof/>
      </w:rPr>
      <mc:AlternateContent>
        <mc:Choice Requires="wps">
          <w:drawing>
            <wp:anchor distT="0" distB="0" distL="0" distR="0" simplePos="0" relativeHeight="251653120" behindDoc="0" locked="1" layoutInCell="1" allowOverlap="1" wp14:anchorId="11BA92E8" wp14:editId="3DA27B9D">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E7C1F53" w14:textId="77777777" w:rsidR="009048E8" w:rsidRDefault="00E1434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type w14:anchorId="11BA92E8" id="_x0000_t202" coordsize="21600,21600" o:spt="202" path="m,l,21600r21600,l21600,xe">
              <v:stroke joinstyle="miter"/>
              <v:path gradientshapeok="t" o:connecttype="rect"/>
            </v:shapetype>
            <v:shape id="bd4a94a5-03a6-11ee-8f29-0242ac130005" o:spid="_x0000_s1026"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" filled="f" stroked="f">
              <v:textbox inset="0,0,0,0">
                <w:txbxContent>
                  <w:p w14:paraId="6E7C1F53" w14:textId="77777777" w:rsidR="009048E8" w:rsidRDefault="00E1434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sidR="00A27F19">
      <w:rPr>
        <w:noProof/>
      </w:rPr>
      <mc:AlternateContent>
        <mc:Choice Requires="wps">
          <w:drawing>
            <wp:anchor distT="0" distB="0" distL="0" distR="0" simplePos="0" relativeHeight="251654144" behindDoc="0" locked="1" layoutInCell="1" allowOverlap="1" wp14:anchorId="1D6D0BC1" wp14:editId="7B68BD2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B6F7154" w14:textId="77777777" w:rsidR="009048E8" w:rsidRDefault="00E1434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D6D0BC1" id="bd5d94d9-03a6-11ee-8f29-0242ac130005" o:spid="_x0000_s1027"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" filled="f" stroked="f">
              <v:textbox inset="0,0,0,0">
                <w:txbxContent>
                  <w:p w14:paraId="3B6F7154" w14:textId="77777777" w:rsidR="009048E8" w:rsidRDefault="00E1434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D21A" w14:textId="77777777" w:rsidR="0090611E" w:rsidRDefault="00A27F19">
    <w:pPr>
      <w:spacing w:after="7029" w:line="14" w:lineRule="exact"/>
    </w:pPr>
    <w:r>
      <w:rPr>
        <w:noProof/>
      </w:rPr>
      <mc:AlternateContent>
        <mc:Choice Requires="wps">
          <w:drawing>
            <wp:anchor distT="0" distB="0" distL="0" distR="0" simplePos="0" relativeHeight="251656192" behindDoc="0" locked="1" layoutInCell="1" allowOverlap="1" wp14:anchorId="7C2DA3C2" wp14:editId="7DF04FF8">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97A8283" w14:textId="77777777" w:rsidR="00A27F19" w:rsidRDefault="00A27F19"/>
                      </w:txbxContent>
                    </wps:txbx>
                    <wps:bodyPr vert="horz" wrap="square" lIns="0" tIns="0" rIns="0" bIns="0" anchor="t" anchorCtr="0"/>
                  </wps:wsp>
                </a:graphicData>
              </a:graphic>
            </wp:anchor>
          </w:drawing>
        </mc:Choice>
        <mc:Fallback>
          <w:pict>
            <v:shapetype w14:anchorId="7C2DA3C2" id="_x0000_t202" coordsize="21600,21600" o:spt="202" path="m,l,21600r21600,l21600,xe">
              <v:stroke joinstyle="miter"/>
              <v:path gradientshapeok="t" o:connecttype="rect"/>
            </v:shapetype>
            <v:shape id="bd5d5767-03a6-11ee-8f29-0242ac130005" o:spid="_x0000_s1028"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Dy3ZA7lQEAABQDAAAO&#10;AAAAAAAAAAAAAAAAAC4CAABkcnMvZTJvRG9jLnhtbFBLAQItABQABgAIAAAAIQAu6ZuM3gAAAAgB&#10;AAAPAAAAAAAAAAAAAAAAAO8DAABkcnMvZG93bnJldi54bWxQSwUGAAAAAAQABADzAAAA+gQAAAAA&#10;" filled="f" stroked="f">
              <v:textbox inset="0,0,0,0">
                <w:txbxContent>
                  <w:p w14:paraId="797A8283" w14:textId="77777777" w:rsidR="00A27F19" w:rsidRDefault="00A27F19"/>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738DF19" wp14:editId="2BD37B4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EDF2EE1" w14:textId="77777777" w:rsidR="009048E8" w:rsidRDefault="00E1434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738DF19" id="bd4a9275-03a6-11ee-8f29-0242ac130005" o:spid="_x0000_s1029"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35DrnZMBAAAUAwAA&#10;DgAAAAAAAAAAAAAAAAAuAgAAZHJzL2Uyb0RvYy54bWxQSwECLQAUAAYACAAAACEAOuLU7eEAAAAO&#10;AQAADwAAAAAAAAAAAAAAAADtAwAAZHJzL2Rvd25yZXYueG1sUEsFBgAAAAAEAAQA8wAAAPsEAAAA&#10;AA==&#10;" filled="f" stroked="f">
              <v:textbox inset="0,0,0,0">
                <w:txbxContent>
                  <w:p w14:paraId="1EDF2EE1" w14:textId="77777777" w:rsidR="009048E8" w:rsidRDefault="00E1434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B2C36CA" wp14:editId="1A3EDCD8">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3330A96" w14:textId="77777777" w:rsidR="009048E8" w:rsidRDefault="00E1434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B2C36CA" id="bd5d814d-03a6-11ee-8f29-0242ac130005" o:spid="_x0000_s1030"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" filled="f" stroked="f">
              <v:textbox inset="0,0,0,0">
                <w:txbxContent>
                  <w:p w14:paraId="33330A96" w14:textId="77777777" w:rsidR="009048E8" w:rsidRDefault="00E1434F">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8AB0EE0" wp14:editId="5566A15B">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8AE9CAA" w14:textId="77777777" w:rsidR="00A27F19" w:rsidRDefault="00A27F19"/>
                      </w:txbxContent>
                    </wps:txbx>
                    <wps:bodyPr vert="horz" wrap="square" lIns="0" tIns="0" rIns="0" bIns="0" anchor="t" anchorCtr="0"/>
                  </wps:wsp>
                </a:graphicData>
              </a:graphic>
            </wp:anchor>
          </w:drawing>
        </mc:Choice>
        <mc:Fallback>
          <w:pict>
            <v:shape w14:anchorId="78AB0EE0" id="bd5a43b8-03a6-11ee-8f29-0242ac130005" o:spid="_x0000_s1031"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" filled="f" stroked="f">
              <v:textbox inset="0,0,0,0">
                <w:txbxContent>
                  <w:p w14:paraId="08AE9CAA" w14:textId="77777777" w:rsidR="00A27F19" w:rsidRDefault="00A27F1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893692"/>
    <w:multiLevelType w:val="multilevel"/>
    <w:tmpl w:val="6083F51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E7017A"/>
    <w:multiLevelType w:val="multilevel"/>
    <w:tmpl w:val="C8E5CE9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3275E2"/>
    <w:multiLevelType w:val="multilevel"/>
    <w:tmpl w:val="CF783D8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27189F"/>
    <w:multiLevelType w:val="multilevel"/>
    <w:tmpl w:val="36EDE1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8ADEEF6"/>
    <w:multiLevelType w:val="multilevel"/>
    <w:tmpl w:val="4DC38C0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AD746E"/>
    <w:multiLevelType w:val="multilevel"/>
    <w:tmpl w:val="EE31F0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29840357">
    <w:abstractNumId w:val="1"/>
  </w:num>
  <w:num w:numId="2" w16cid:durableId="1752923865">
    <w:abstractNumId w:val="4"/>
  </w:num>
  <w:num w:numId="3" w16cid:durableId="387994608">
    <w:abstractNumId w:val="3"/>
  </w:num>
  <w:num w:numId="4" w16cid:durableId="2146505275">
    <w:abstractNumId w:val="5"/>
  </w:num>
  <w:num w:numId="5" w16cid:durableId="184029251">
    <w:abstractNumId w:val="2"/>
  </w:num>
  <w:num w:numId="6" w16cid:durableId="203931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1E"/>
    <w:rsid w:val="00010F5B"/>
    <w:rsid w:val="000C3B52"/>
    <w:rsid w:val="00117B1B"/>
    <w:rsid w:val="0013166D"/>
    <w:rsid w:val="00140F2F"/>
    <w:rsid w:val="002C062A"/>
    <w:rsid w:val="002D2772"/>
    <w:rsid w:val="003507D9"/>
    <w:rsid w:val="003A661A"/>
    <w:rsid w:val="004673B8"/>
    <w:rsid w:val="004E729E"/>
    <w:rsid w:val="005C0DEA"/>
    <w:rsid w:val="005D3AF4"/>
    <w:rsid w:val="0065647A"/>
    <w:rsid w:val="0069776B"/>
    <w:rsid w:val="006D0D62"/>
    <w:rsid w:val="007027F0"/>
    <w:rsid w:val="00727082"/>
    <w:rsid w:val="00747A63"/>
    <w:rsid w:val="00784F88"/>
    <w:rsid w:val="00797475"/>
    <w:rsid w:val="008732F9"/>
    <w:rsid w:val="008A4F33"/>
    <w:rsid w:val="008B0D30"/>
    <w:rsid w:val="009048E8"/>
    <w:rsid w:val="0090611E"/>
    <w:rsid w:val="0092426C"/>
    <w:rsid w:val="0094698C"/>
    <w:rsid w:val="00953E2B"/>
    <w:rsid w:val="00A00474"/>
    <w:rsid w:val="00A005E4"/>
    <w:rsid w:val="00A229DB"/>
    <w:rsid w:val="00A27F19"/>
    <w:rsid w:val="00AC2269"/>
    <w:rsid w:val="00B06C58"/>
    <w:rsid w:val="00B071E6"/>
    <w:rsid w:val="00B20613"/>
    <w:rsid w:val="00B51D83"/>
    <w:rsid w:val="00B92F43"/>
    <w:rsid w:val="00BD2C19"/>
    <w:rsid w:val="00C6516A"/>
    <w:rsid w:val="00C74220"/>
    <w:rsid w:val="00CA4C7E"/>
    <w:rsid w:val="00CC48B4"/>
    <w:rsid w:val="00DF601F"/>
    <w:rsid w:val="00E1434F"/>
    <w:rsid w:val="00E30F83"/>
    <w:rsid w:val="00EE4218"/>
    <w:rsid w:val="00F40CDB"/>
    <w:rsid w:val="00FA4462"/>
    <w:rsid w:val="00FE0218"/>
    <w:rsid w:val="159644AE"/>
    <w:rsid w:val="1B34CB36"/>
    <w:rsid w:val="4AB87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2ED17"/>
  <w15:docId w15:val="{5D0D1EAB-D32F-4563-8FA4-F34B5C11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tabs>
        <w:tab w:val="num" w:pos="360"/>
      </w:tabs>
      <w:ind w:left="0" w:firstLine="0"/>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27F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7F19"/>
    <w:rPr>
      <w:rFonts w:ascii="Verdana" w:hAnsi="Verdana"/>
      <w:color w:val="000000"/>
      <w:sz w:val="18"/>
      <w:szCs w:val="18"/>
    </w:rPr>
  </w:style>
  <w:style w:type="paragraph" w:styleId="Voettekst">
    <w:name w:val="footer"/>
    <w:basedOn w:val="Standaard"/>
    <w:link w:val="VoettekstChar"/>
    <w:uiPriority w:val="99"/>
    <w:unhideWhenUsed/>
    <w:rsid w:val="00A27F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7F19"/>
    <w:rPr>
      <w:rFonts w:ascii="Verdana" w:hAnsi="Verdana"/>
      <w:color w:val="000000"/>
      <w:sz w:val="18"/>
      <w:szCs w:val="18"/>
    </w:rPr>
  </w:style>
  <w:style w:type="paragraph" w:styleId="Voetnoottekst">
    <w:name w:val="footnote text"/>
    <w:basedOn w:val="Standaard"/>
    <w:link w:val="VoetnoottekstChar"/>
    <w:uiPriority w:val="99"/>
    <w:unhideWhenUsed/>
    <w:qFormat/>
    <w:rsid w:val="00A27F19"/>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A27F19"/>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qFormat/>
    <w:rsid w:val="00A27F19"/>
    <w:rPr>
      <w:vertAlign w:val="superscript"/>
    </w:rPr>
  </w:style>
  <w:style w:type="paragraph" w:styleId="Revisie">
    <w:name w:val="Revision"/>
    <w:hidden/>
    <w:uiPriority w:val="99"/>
    <w:semiHidden/>
    <w:rsid w:val="00727082"/>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4E729E"/>
    <w:rPr>
      <w:color w:val="605E5C"/>
      <w:shd w:val="clear" w:color="auto" w:fill="E1DFDD"/>
    </w:rPr>
  </w:style>
  <w:style w:type="character" w:styleId="Verwijzingopmerking">
    <w:name w:val="annotation reference"/>
    <w:basedOn w:val="Standaardalinea-lettertype"/>
    <w:uiPriority w:val="99"/>
    <w:semiHidden/>
    <w:unhideWhenUsed/>
    <w:rsid w:val="0065647A"/>
    <w:rPr>
      <w:sz w:val="16"/>
      <w:szCs w:val="16"/>
    </w:rPr>
  </w:style>
  <w:style w:type="paragraph" w:styleId="Tekstopmerking">
    <w:name w:val="annotation text"/>
    <w:basedOn w:val="Standaard"/>
    <w:link w:val="TekstopmerkingChar"/>
    <w:uiPriority w:val="99"/>
    <w:unhideWhenUsed/>
    <w:rsid w:val="0065647A"/>
    <w:pPr>
      <w:spacing w:line="240" w:lineRule="auto"/>
    </w:pPr>
    <w:rPr>
      <w:sz w:val="20"/>
      <w:szCs w:val="20"/>
    </w:rPr>
  </w:style>
  <w:style w:type="character" w:customStyle="1" w:styleId="TekstopmerkingChar">
    <w:name w:val="Tekst opmerking Char"/>
    <w:basedOn w:val="Standaardalinea-lettertype"/>
    <w:link w:val="Tekstopmerking"/>
    <w:uiPriority w:val="99"/>
    <w:rsid w:val="0065647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5647A"/>
    <w:rPr>
      <w:b/>
      <w:bCs/>
    </w:rPr>
  </w:style>
  <w:style w:type="character" w:customStyle="1" w:styleId="OnderwerpvanopmerkingChar">
    <w:name w:val="Onderwerp van opmerking Char"/>
    <w:basedOn w:val="TekstopmerkingChar"/>
    <w:link w:val="Onderwerpvanopmerking"/>
    <w:uiPriority w:val="99"/>
    <w:semiHidden/>
    <w:rsid w:val="0065647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27488">
      <w:bodyDiv w:val="1"/>
      <w:marLeft w:val="0"/>
      <w:marRight w:val="0"/>
      <w:marTop w:val="0"/>
      <w:marBottom w:val="0"/>
      <w:divBdr>
        <w:top w:val="none" w:sz="0" w:space="0" w:color="auto"/>
        <w:left w:val="none" w:sz="0" w:space="0" w:color="auto"/>
        <w:bottom w:val="none" w:sz="0" w:space="0" w:color="auto"/>
        <w:right w:val="none" w:sz="0" w:space="0" w:color="auto"/>
      </w:divBdr>
    </w:div>
    <w:div w:id="1833325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5ac98119-c957-4d56-aafb-98afd9d18adc/file" TargetMode="External"/><Relationship Id="rId7" Type="http://schemas.openxmlformats.org/officeDocument/2006/relationships/hyperlink" Target="https://www.rijksfinancien.nl/najaarsnota/2025/10597780" TargetMode="External"/><Relationship Id="rId2" Type="http://schemas.openxmlformats.org/officeDocument/2006/relationships/hyperlink" Target="https://data.consilium.europa.eu/doc/document/ST-15788-2024-ADD-6/en/pdf" TargetMode="External"/><Relationship Id="rId1" Type="http://schemas.openxmlformats.org/officeDocument/2006/relationships/hyperlink" Target="https://www.consilium.europa.eu/media/69866/20240201-special-euco-conclusions-mff-ukraine-en.pdf" TargetMode="External"/><Relationship Id="rId6" Type="http://schemas.openxmlformats.org/officeDocument/2006/relationships/hyperlink" Target="https://www.rijksfinancien.nl/memorie-van-toelichting/2025/2SUPP/V/onderdeel/10169111" TargetMode="External"/><Relationship Id="rId5" Type="http://schemas.openxmlformats.org/officeDocument/2006/relationships/hyperlink" Target="https://open.overheid.nl/documenten/5ac98119-c957-4d56-aafb-98afd9d18adc/file" TargetMode="External"/><Relationship Id="rId4" Type="http://schemas.openxmlformats.org/officeDocument/2006/relationships/hyperlink" Target="https://open.overheid.nl/documenten/5ac98119-c957-4d56-aafb-98afd9d18adc/fi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1877</ap:Words>
  <ap:Characters>10329</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aan Eerste of Tweede Kamer - Europese jaarbegroting 2026, inzet Ecofin-begrotingsraad en de derde aanvullende Europese begroting 2025</vt:lpstr>
    </vt:vector>
  </ap:TitlesOfParts>
  <ap:LinksUpToDate>false</ap:LinksUpToDate>
  <ap:CharactersWithSpaces>12182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2025-12-18T13:21:00.0000000Z</dcterms:created>
  <dcterms:modified xsi:type="dcterms:W3CDTF">2025-12-18T13:21:00.0000000Z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Europese jaarbegroting 2026, inzet Ecofin-begrotingsraad en de derde aanvullende Europese begroting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24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2025-0000605966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Europese jaarbegroting 2026, inzet Ecofin-begrotingsraad en de derde aanvullende Europese begroting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2025-12-05T10:44:03Z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78a2d432-e0f9-43e6-8969-305bf8282e72</vt:lpwstr>
  </property>
  <property fmtid="{D5CDD505-2E9C-101B-9397-08002B2CF9AE}" pid="37" name="MSIP_Label_6800fede-0e59-47ad-af95-4e63bbdb932d_ContentBits">
    <vt:lpwstr>0</vt:lpwstr>
  </property>
</Properties>
</file>