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B57" w:rsidRDefault="00F54B57" w14:paraId="591E8203" w14:textId="77777777">
      <w:pPr>
        <w:pStyle w:val="StandaardAanhef"/>
      </w:pPr>
    </w:p>
    <w:p w:rsidR="002C7D3D" w:rsidRDefault="00277D4A" w14:paraId="026E9AA4" w14:textId="77777777">
      <w:pPr>
        <w:pStyle w:val="StandaardAanhef"/>
      </w:pPr>
      <w:r>
        <w:t>G</w:t>
      </w:r>
      <w:r w:rsidR="000E2B83">
        <w:t>eachte voorzitter,</w:t>
      </w:r>
    </w:p>
    <w:p w:rsidR="000E2B83" w:rsidRDefault="000E2B83" w14:paraId="682F281E" w14:textId="77777777">
      <w:pPr>
        <w:pStyle w:val="StandaardSlotzin"/>
      </w:pPr>
      <w:r w:rsidRPr="000E2B83">
        <w:t>Naar aanleiding van de vragen van rapporteurs Faddegon en</w:t>
      </w:r>
      <w:r w:rsidR="00727514">
        <w:t xml:space="preserve"> van Dijk</w:t>
      </w:r>
      <w:r w:rsidRPr="000E2B83">
        <w:t xml:space="preserve"> over de Begroting van het ministerie van Financiën en de Nationale Schuld (IX) 202</w:t>
      </w:r>
      <w:r w:rsidR="00727514">
        <w:t>6</w:t>
      </w:r>
      <w:r w:rsidRPr="000E2B83">
        <w:t>, die ons 1</w:t>
      </w:r>
      <w:r w:rsidR="00727514">
        <w:t>9</w:t>
      </w:r>
      <w:r w:rsidRPr="000E2B83">
        <w:t xml:space="preserve"> november zijn toegezonden, beantwoorden wij </w:t>
      </w:r>
      <w:proofErr w:type="gramStart"/>
      <w:r w:rsidRPr="000E2B83">
        <w:t>middels</w:t>
      </w:r>
      <w:proofErr w:type="gramEnd"/>
      <w:r w:rsidRPr="000E2B83">
        <w:t xml:space="preserve"> deze brief de gestelde vragen per onderwerp. Omdat de onderwerpen in deze brief raken aan de portefeuilles van alle drie de bewindspersonen, stuur ik deze brief mede namens </w:t>
      </w:r>
      <w:r w:rsidR="00727514">
        <w:t>d</w:t>
      </w:r>
      <w:r w:rsidRPr="00727514" w:rsidR="00727514">
        <w:t>e staatssecretaris van Financiën – Fiscaliteit, Belastingdienst en Douane</w:t>
      </w:r>
      <w:r w:rsidR="00727514">
        <w:t xml:space="preserve"> en </w:t>
      </w:r>
      <w:r w:rsidRPr="00727514" w:rsidR="00727514">
        <w:t>de staatssecretaris van Financiën – Herstel en Toeslagen</w:t>
      </w:r>
      <w:r w:rsidR="00727514">
        <w:t>.</w:t>
      </w:r>
    </w:p>
    <w:p w:rsidRPr="00727514" w:rsidR="00727514" w:rsidP="00727514" w:rsidRDefault="00727514" w14:paraId="7422FCFC" w14:textId="77777777"/>
    <w:p w:rsidR="000E2B83" w:rsidP="00727514" w:rsidRDefault="00727514" w14:paraId="7D504A93" w14:textId="77777777">
      <w:pPr>
        <w:pStyle w:val="StandaardSlotzin"/>
        <w:spacing w:before="0"/>
        <w:rPr>
          <w:b/>
          <w:bCs/>
        </w:rPr>
      </w:pPr>
      <w:r w:rsidRPr="00727514">
        <w:rPr>
          <w:b/>
          <w:bCs/>
        </w:rPr>
        <w:t>Concretisering beleidsprioriteiten, brede welvaart, verantwoordingsonderzoek</w:t>
      </w:r>
    </w:p>
    <w:p w:rsidRPr="00727514" w:rsidR="00727514" w:rsidP="00727514" w:rsidRDefault="00727514" w14:paraId="0C49F380" w14:textId="77777777"/>
    <w:p w:rsidR="00B804AC" w:rsidP="00B804AC" w:rsidRDefault="00B804AC" w14:paraId="0C0F1FFD" w14:textId="77777777">
      <w:pPr>
        <w:pStyle w:val="StandaardSlotzin"/>
        <w:spacing w:before="0"/>
        <w:rPr>
          <w:i/>
          <w:iCs/>
        </w:rPr>
      </w:pPr>
      <w:r>
        <w:rPr>
          <w:i/>
          <w:iCs/>
        </w:rPr>
        <w:t>De commissie vraagt of de minister:</w:t>
      </w:r>
    </w:p>
    <w:p w:rsidRPr="00277D4A" w:rsidR="00B804AC" w:rsidP="00B804AC" w:rsidRDefault="00B804AC" w14:paraId="3B4AE003" w14:textId="77777777"/>
    <w:p w:rsidR="00B804AC" w:rsidP="00B804AC" w:rsidRDefault="00B804AC" w14:paraId="4280A849" w14:textId="77777777">
      <w:pPr>
        <w:pStyle w:val="StandaardSlotzin"/>
        <w:numPr>
          <w:ilvl w:val="0"/>
          <w:numId w:val="7"/>
        </w:numPr>
        <w:spacing w:before="0"/>
        <w:rPr>
          <w:i/>
          <w:iCs/>
        </w:rPr>
      </w:pPr>
      <w:r w:rsidRPr="00727514">
        <w:rPr>
          <w:i/>
          <w:iCs/>
        </w:rPr>
        <w:t>De beleidsthema’s voor 2026 verder kan concretiseren met streefwaarden en meetbare indicatoren;</w:t>
      </w:r>
    </w:p>
    <w:p w:rsidR="00B804AC" w:rsidP="00B804AC" w:rsidRDefault="00B804AC" w14:paraId="5CC4C026" w14:textId="77777777"/>
    <w:p w:rsidRPr="00B74A51" w:rsidR="00B804AC" w:rsidP="00B804AC" w:rsidRDefault="00B804AC" w14:paraId="030C6486" w14:textId="77777777">
      <w:pPr>
        <w:spacing w:line="240" w:lineRule="auto"/>
        <w:rPr>
          <w:rFonts w:eastAsia="Calibri" w:cs="Aptos"/>
          <w:i/>
          <w:iCs/>
        </w:rPr>
      </w:pPr>
      <w:r w:rsidRPr="00A23836">
        <w:rPr>
          <w:rFonts w:eastAsia="Calibri" w:cs="Aptos"/>
        </w:rPr>
        <w:t xml:space="preserve">Het ministerie zet stappen om de ontwerpbegrotingen verder te versterken met concreter, resultaatgericht beleid. </w:t>
      </w:r>
      <w:r w:rsidRPr="00B74A51">
        <w:rPr>
          <w:rFonts w:eastAsia="Calibri" w:cs="Aptos"/>
        </w:rPr>
        <w:t xml:space="preserve">Ter invulling van de motie Van der Lee c.s. </w:t>
      </w:r>
      <w:r>
        <w:rPr>
          <w:rFonts w:eastAsia="Calibri" w:cs="Aptos"/>
        </w:rPr>
        <w:t xml:space="preserve">is aan </w:t>
      </w:r>
      <w:r w:rsidRPr="00B74A51">
        <w:rPr>
          <w:rFonts w:eastAsia="Calibri" w:cs="Aptos"/>
        </w:rPr>
        <w:t>vakministers gevraagd centraal en herkenbaar te rapporteren over de belangrijkste doelen van hun beleidsterrein in het jaarverslag en de begroting. Dit wordt nader uitgewerkt en opgenomen in de Rijksbegrotingsvoorschriften in voorbereiding op Prinsjesdag volgend jaar.</w:t>
      </w:r>
      <w:r w:rsidRPr="00B74A51">
        <w:rPr>
          <w:rStyle w:val="Voetnootmarkering"/>
          <w:rFonts w:eastAsia="Calibri" w:cs="Aptos"/>
        </w:rPr>
        <w:t xml:space="preserve"> </w:t>
      </w:r>
      <w:r w:rsidRPr="00A23836">
        <w:rPr>
          <w:rStyle w:val="Voetnootmarkering"/>
          <w:rFonts w:eastAsia="Calibri" w:cs="Aptos"/>
        </w:rPr>
        <w:footnoteReference w:id="1"/>
      </w:r>
      <w:r w:rsidRPr="00A23836">
        <w:rPr>
          <w:rFonts w:eastAsia="Calibri" w:cs="Aptos"/>
        </w:rPr>
        <w:t xml:space="preserve"> </w:t>
      </w:r>
    </w:p>
    <w:p w:rsidRPr="00A23836" w:rsidR="00B804AC" w:rsidP="00B804AC" w:rsidRDefault="00B804AC" w14:paraId="0D791FAE" w14:textId="77777777">
      <w:pPr>
        <w:spacing w:line="240" w:lineRule="auto"/>
        <w:rPr>
          <w:rFonts w:eastAsia="Calibri" w:cs="Aptos"/>
        </w:rPr>
      </w:pPr>
    </w:p>
    <w:p w:rsidRPr="00A23836" w:rsidR="00B804AC" w:rsidP="00B804AC" w:rsidRDefault="00B804AC" w14:paraId="7AC11620" w14:textId="77777777">
      <w:pPr>
        <w:spacing w:line="240" w:lineRule="auto"/>
        <w:rPr>
          <w:rFonts w:eastAsia="Calibri" w:cs="Aptos"/>
        </w:rPr>
      </w:pPr>
      <w:r w:rsidRPr="00A23836">
        <w:rPr>
          <w:rFonts w:eastAsia="Calibri" w:cs="Aptos"/>
        </w:rPr>
        <w:t xml:space="preserve">In de ontwerpbegroting 2026 van </w:t>
      </w:r>
      <w:r>
        <w:rPr>
          <w:rFonts w:eastAsia="Calibri" w:cs="Aptos"/>
        </w:rPr>
        <w:t>F</w:t>
      </w:r>
      <w:r w:rsidRPr="00A23836">
        <w:rPr>
          <w:rFonts w:eastAsia="Calibri" w:cs="Aptos"/>
        </w:rPr>
        <w:t>inanciën zijn de bestaande beleidsdoelen – onder meer op het gebied financiële markten, deelnemingen, prestaties van de Belastingdienst, dienst Toeslagen en Douane – al gevuld met:</w:t>
      </w:r>
    </w:p>
    <w:p w:rsidRPr="00A23836" w:rsidR="00B804AC" w:rsidP="00B804AC" w:rsidRDefault="00B804AC" w14:paraId="5C7AB825" w14:textId="77777777">
      <w:pPr>
        <w:numPr>
          <w:ilvl w:val="0"/>
          <w:numId w:val="8"/>
        </w:numPr>
        <w:autoSpaceDN/>
        <w:spacing w:line="240" w:lineRule="auto"/>
        <w:textAlignment w:val="auto"/>
        <w:rPr>
          <w:rFonts w:eastAsia="Calibri" w:cs="Aptos"/>
        </w:rPr>
      </w:pPr>
      <w:r w:rsidRPr="00A23836">
        <w:rPr>
          <w:rFonts w:eastAsia="Calibri" w:cs="Aptos"/>
        </w:rPr>
        <w:t>Indicatoren, waar mogelijk kwantitatief;</w:t>
      </w:r>
    </w:p>
    <w:p w:rsidRPr="00A23836" w:rsidR="00B804AC" w:rsidP="00B804AC" w:rsidRDefault="00B804AC" w14:paraId="6AF73A48" w14:textId="77777777">
      <w:pPr>
        <w:numPr>
          <w:ilvl w:val="0"/>
          <w:numId w:val="8"/>
        </w:numPr>
        <w:autoSpaceDN/>
        <w:spacing w:line="240" w:lineRule="auto"/>
        <w:textAlignment w:val="auto"/>
        <w:rPr>
          <w:rFonts w:eastAsia="Calibri" w:cs="Aptos"/>
        </w:rPr>
      </w:pPr>
      <w:r w:rsidRPr="00A23836">
        <w:rPr>
          <w:rFonts w:eastAsia="Calibri" w:cs="Aptos"/>
        </w:rPr>
        <w:t xml:space="preserve">Streefwaarden voor 2026 </w:t>
      </w:r>
    </w:p>
    <w:p w:rsidRPr="00A23836" w:rsidR="00B804AC" w:rsidP="00B804AC" w:rsidRDefault="00B804AC" w14:paraId="2983CA01" w14:textId="77777777">
      <w:pPr>
        <w:numPr>
          <w:ilvl w:val="0"/>
          <w:numId w:val="8"/>
        </w:numPr>
        <w:autoSpaceDN/>
        <w:spacing w:line="240" w:lineRule="auto"/>
        <w:textAlignment w:val="auto"/>
        <w:rPr>
          <w:rFonts w:eastAsia="Calibri" w:cs="Aptos"/>
        </w:rPr>
      </w:pPr>
      <w:r w:rsidRPr="00A23836">
        <w:rPr>
          <w:rFonts w:eastAsia="Calibri" w:cs="Aptos"/>
        </w:rPr>
        <w:t>Toelichtingen op de mate waarin indicatoren aansluiten op de Rijksbegrotingsvoorschriften en op aanbevelingen van de Algemene Rekenkamer.</w:t>
      </w:r>
    </w:p>
    <w:p w:rsidRPr="00A23836" w:rsidR="00B804AC" w:rsidP="00B804AC" w:rsidRDefault="00B804AC" w14:paraId="3FE946EE" w14:textId="77777777"/>
    <w:p w:rsidR="00B804AC" w:rsidP="00B804AC" w:rsidRDefault="00B804AC" w14:paraId="7352E5A2" w14:textId="77777777">
      <w:pPr>
        <w:pStyle w:val="StandaardSlotzin"/>
        <w:numPr>
          <w:ilvl w:val="0"/>
          <w:numId w:val="7"/>
        </w:numPr>
        <w:spacing w:before="0"/>
        <w:rPr>
          <w:i/>
          <w:iCs/>
        </w:rPr>
      </w:pPr>
      <w:proofErr w:type="gramStart"/>
      <w:r>
        <w:rPr>
          <w:i/>
          <w:iCs/>
        </w:rPr>
        <w:t>i</w:t>
      </w:r>
      <w:r w:rsidRPr="00F54B57">
        <w:rPr>
          <w:i/>
          <w:iCs/>
        </w:rPr>
        <w:t>n</w:t>
      </w:r>
      <w:proofErr w:type="gramEnd"/>
      <w:r w:rsidRPr="00F54B57">
        <w:rPr>
          <w:i/>
          <w:iCs/>
        </w:rPr>
        <w:t xml:space="preserve"> kan gaan op hoe de ontwerpbegroting in 2026 rekening houdt met brede welvaart;</w:t>
      </w:r>
    </w:p>
    <w:p w:rsidR="00B804AC" w:rsidP="00B804AC" w:rsidRDefault="00B804AC" w14:paraId="4E407B80" w14:textId="77777777"/>
    <w:p w:rsidRPr="000A564C" w:rsidR="00B804AC" w:rsidP="00B804AC" w:rsidRDefault="00B804AC" w14:paraId="1ACEBCE3" w14:textId="77777777">
      <w:pPr>
        <w:spacing w:line="240" w:lineRule="auto"/>
        <w:rPr>
          <w:rFonts w:eastAsia="Times New Roman" w:cs="Arial"/>
        </w:rPr>
      </w:pPr>
      <w:r w:rsidRPr="00DF52D6">
        <w:rPr>
          <w:rFonts w:eastAsia="Times New Roman" w:cs="Arial"/>
        </w:rPr>
        <w:t xml:space="preserve">Er is toenemende aandacht voor niet-financiële informatie in begrotingsstukken. </w:t>
      </w:r>
      <w:r>
        <w:rPr>
          <w:rFonts w:eastAsia="Times New Roman" w:cs="Arial"/>
        </w:rPr>
        <w:t xml:space="preserve">Het demissionaire kabinet heeft in de Miljoenennota 2026 een economische structuuranalyse gedaan. De analyse gaat in op de kenmerken van de economie die tot nu toe hebben bijgedragen aan onze welvaart en kijkt ook vooruit naar de uitdagingen op de lange termijn. </w:t>
      </w:r>
      <w:r w:rsidRPr="000A564C">
        <w:t>Veel gaat goed: veel Nederlanders zijn tevreden met het leven, de koopkracht neemt toe, we zijn productief en onze economie is veerkrachtig tijdens schokken. De toekomstige economische groei staat echter onder druk door vergrijzing en zal door de beperktere groei van het arbeidsaanbod voornamelijk moeten komen vanuit de productiviteitsgroei. Hier besteedt het kabinet uitgebreid aandacht aan in de structuuranalyse.</w:t>
      </w:r>
    </w:p>
    <w:p w:rsidRPr="00DF52D6" w:rsidR="00B804AC" w:rsidP="00B804AC" w:rsidRDefault="00B804AC" w14:paraId="08310CB6" w14:textId="77777777">
      <w:pPr>
        <w:spacing w:line="240" w:lineRule="auto"/>
        <w:rPr>
          <w:rFonts w:eastAsia="Times New Roman" w:cs="Arial"/>
        </w:rPr>
      </w:pPr>
    </w:p>
    <w:p w:rsidRPr="002C7D8B" w:rsidR="00B804AC" w:rsidP="00B804AC" w:rsidRDefault="00B804AC" w14:paraId="5CC15717" w14:textId="77777777">
      <w:pPr>
        <w:spacing w:line="240" w:lineRule="auto"/>
        <w:rPr>
          <w:rFonts w:eastAsia="Times New Roman" w:cs="Arial"/>
        </w:rPr>
      </w:pPr>
      <w:r>
        <w:rPr>
          <w:rFonts w:eastAsia="Times New Roman" w:cs="Arial"/>
        </w:rPr>
        <w:t>Daarnaast besteedt</w:t>
      </w:r>
      <w:r w:rsidRPr="00DF52D6">
        <w:rPr>
          <w:rFonts w:eastAsia="Times New Roman" w:cs="Arial"/>
        </w:rPr>
        <w:t xml:space="preserve"> het Financieel Jaarverslag van het Rijk aandacht aan de brede ontwikkelingen in de </w:t>
      </w:r>
      <w:proofErr w:type="gramStart"/>
      <w:r w:rsidRPr="00DF52D6">
        <w:rPr>
          <w:rFonts w:eastAsia="Times New Roman" w:cs="Arial"/>
        </w:rPr>
        <w:t>samenleving</w:t>
      </w:r>
      <w:r>
        <w:rPr>
          <w:rFonts w:eastAsia="Times New Roman" w:cs="Arial"/>
        </w:rPr>
        <w:t xml:space="preserve">, </w:t>
      </w:r>
      <w:r w:rsidRPr="00DF52D6">
        <w:rPr>
          <w:rFonts w:eastAsia="Times New Roman" w:cs="Arial"/>
        </w:rPr>
        <w:t xml:space="preserve"> met</w:t>
      </w:r>
      <w:proofErr w:type="gramEnd"/>
      <w:r w:rsidRPr="00DF52D6">
        <w:rPr>
          <w:rFonts w:eastAsia="Times New Roman" w:cs="Arial"/>
        </w:rPr>
        <w:t xml:space="preserve"> daarbij veel aandacht voor de Monitor Brede Welvaart van het Centraal Bureau voor de Statistiek (CBS). Daarnaast </w:t>
      </w:r>
      <w:r>
        <w:rPr>
          <w:rFonts w:eastAsia="Times New Roman" w:cs="Arial"/>
        </w:rPr>
        <w:t>publiceert het CBS</w:t>
      </w:r>
      <w:r w:rsidRPr="00DF52D6">
        <w:rPr>
          <w:rFonts w:eastAsia="Times New Roman" w:cs="Arial"/>
        </w:rPr>
        <w:t xml:space="preserve"> </w:t>
      </w:r>
      <w:r>
        <w:rPr>
          <w:rFonts w:eastAsia="Times New Roman" w:cs="Arial"/>
        </w:rPr>
        <w:t xml:space="preserve">op Verantwoordingsdag de </w:t>
      </w:r>
      <w:proofErr w:type="spellStart"/>
      <w:r>
        <w:rPr>
          <w:rFonts w:eastAsia="Times New Roman" w:cs="Arial"/>
        </w:rPr>
        <w:t>Factsheets</w:t>
      </w:r>
      <w:proofErr w:type="spellEnd"/>
      <w:r>
        <w:rPr>
          <w:rFonts w:eastAsia="Times New Roman" w:cs="Arial"/>
        </w:rPr>
        <w:t xml:space="preserve"> Brede Welvaart, waar de indicatoren per departement zijn verd</w:t>
      </w:r>
      <w:r w:rsidRPr="002C7D8B">
        <w:rPr>
          <w:rFonts w:eastAsia="Times New Roman" w:cs="Arial"/>
        </w:rPr>
        <w:t xml:space="preserve">eeld. De bedoeling is dat we leren van het verleden en deze lessen toepassen in de toekomst. </w:t>
      </w:r>
    </w:p>
    <w:p w:rsidRPr="00871631" w:rsidR="00B804AC" w:rsidP="00B804AC" w:rsidRDefault="00B804AC" w14:paraId="0036F74F" w14:textId="77777777"/>
    <w:p w:rsidRPr="00871631" w:rsidR="00B804AC" w:rsidP="00B804AC" w:rsidRDefault="00B804AC" w14:paraId="57BA3F08" w14:textId="77777777"/>
    <w:p w:rsidR="00B804AC" w:rsidP="00B804AC" w:rsidRDefault="00B804AC" w14:paraId="1F10EBA1" w14:textId="77777777">
      <w:pPr>
        <w:pStyle w:val="StandaardSlotzin"/>
        <w:numPr>
          <w:ilvl w:val="0"/>
          <w:numId w:val="7"/>
        </w:numPr>
        <w:spacing w:before="0"/>
        <w:rPr>
          <w:i/>
          <w:iCs/>
        </w:rPr>
      </w:pPr>
      <w:proofErr w:type="gramStart"/>
      <w:r>
        <w:rPr>
          <w:i/>
          <w:iCs/>
        </w:rPr>
        <w:t>en</w:t>
      </w:r>
      <w:proofErr w:type="gramEnd"/>
      <w:r>
        <w:rPr>
          <w:i/>
          <w:iCs/>
        </w:rPr>
        <w:t xml:space="preserve"> </w:t>
      </w:r>
      <w:bookmarkStart w:name="_Hlk215238112" w:id="0"/>
      <w:r>
        <w:rPr>
          <w:i/>
          <w:iCs/>
        </w:rPr>
        <w:t>c</w:t>
      </w:r>
      <w:r w:rsidRPr="00F54B57">
        <w:rPr>
          <w:i/>
          <w:iCs/>
        </w:rPr>
        <w:t>oncreet en gestructureerd kan expliciteren of en hoe de ontwerpbegroting voor 2026 gebruikmaakt van de bevindingen van het verantwoordingsonderzoek over de ontwerpbegroting van 2024?</w:t>
      </w:r>
    </w:p>
    <w:p w:rsidR="00B804AC" w:rsidP="00B804AC" w:rsidRDefault="00B804AC" w14:paraId="672C398E" w14:textId="77777777">
      <w:pPr>
        <w:spacing w:line="240" w:lineRule="auto"/>
        <w:ind w:left="360"/>
        <w:rPr>
          <w:rFonts w:ascii="Aptos" w:hAnsi="Aptos" w:eastAsia="Calibri" w:cs="Aptos"/>
        </w:rPr>
      </w:pPr>
    </w:p>
    <w:p w:rsidR="00B804AC" w:rsidP="00B804AC" w:rsidRDefault="00B804AC" w14:paraId="26A8F406" w14:textId="77777777">
      <w:pPr>
        <w:spacing w:line="240" w:lineRule="auto"/>
        <w:rPr>
          <w:rFonts w:eastAsia="Calibri" w:cs="Aptos"/>
        </w:rPr>
      </w:pPr>
      <w:r w:rsidRPr="00A23836">
        <w:rPr>
          <w:rFonts w:eastAsia="Calibri" w:cs="Aptos"/>
        </w:rPr>
        <w:t xml:space="preserve">In het jaarlijkse Verantwoordingsonderzoek (VO) beoordeelt de Algemene Rekenkamer (AR) of de verantwoording die de ministers afleggen via de jaarverslagen en het beheer dat zij voeren, voldoet aan de wettelijke eisen. Het gaat om eisen aan de verantwoording over de financiële informatie, de bedrijfsvoering en de beleidsresultaten. </w:t>
      </w:r>
      <w:r w:rsidRPr="00283CF0">
        <w:rPr>
          <w:rFonts w:eastAsia="Calibri" w:cs="Aptos"/>
        </w:rPr>
        <w:t>Het ministerie van Financiën neemt de bevindingen uit het VO-rapport Financiën 2024 serieus, zet de AR-aanbevelingen actief om in acties en werkt aan verdere verbeteringen, zoals beschreven in de bestuurlijke reactie op het rapport.</w:t>
      </w:r>
      <w:r w:rsidRPr="00283CF0">
        <w:rPr>
          <w:rStyle w:val="Voetnootmarkering"/>
          <w:rFonts w:eastAsia="Calibri" w:cs="Aptos"/>
        </w:rPr>
        <w:t xml:space="preserve"> </w:t>
      </w:r>
      <w:r w:rsidRPr="00A23836">
        <w:rPr>
          <w:rStyle w:val="Voetnootmarkering"/>
          <w:rFonts w:eastAsia="Calibri" w:cs="Aptos"/>
        </w:rPr>
        <w:footnoteReference w:id="2"/>
      </w:r>
      <w:r w:rsidRPr="00A23836">
        <w:rPr>
          <w:rFonts w:eastAsia="Calibri" w:cs="Aptos"/>
        </w:rPr>
        <w:t xml:space="preserve"> </w:t>
      </w:r>
      <w:r w:rsidRPr="00283CF0">
        <w:rPr>
          <w:rFonts w:eastAsia="Calibri" w:cs="Aptos"/>
        </w:rPr>
        <w:t xml:space="preserve"> </w:t>
      </w:r>
      <w:r w:rsidRPr="00A23836">
        <w:rPr>
          <w:rFonts w:eastAsia="Calibri" w:cs="Aptos"/>
        </w:rPr>
        <w:t>In het VO 2025 beoordeelt de AR in hoeverre de aanbevelingen uit het VO</w:t>
      </w:r>
      <w:r>
        <w:rPr>
          <w:rFonts w:eastAsia="Calibri" w:cs="Aptos"/>
        </w:rPr>
        <w:t xml:space="preserve"> </w:t>
      </w:r>
      <w:r w:rsidRPr="00A23836">
        <w:rPr>
          <w:rFonts w:eastAsia="Calibri" w:cs="Aptos"/>
        </w:rPr>
        <w:t>2024 zijn opgepakt, waarna hierover wordt gerapporteerd aan de Staten-Generaal.</w:t>
      </w:r>
    </w:p>
    <w:bookmarkEnd w:id="0"/>
    <w:p w:rsidR="00B804AC" w:rsidP="00B804AC" w:rsidRDefault="00B804AC" w14:paraId="3AA65230" w14:textId="77777777">
      <w:pPr>
        <w:spacing w:line="240" w:lineRule="auto"/>
        <w:rPr>
          <w:rFonts w:eastAsia="Calibri" w:cs="Aptos"/>
        </w:rPr>
      </w:pPr>
    </w:p>
    <w:p w:rsidRPr="00A23836" w:rsidR="00B804AC" w:rsidP="00B804AC" w:rsidRDefault="00B804AC" w14:paraId="19ABC445" w14:textId="77777777">
      <w:pPr>
        <w:spacing w:line="240" w:lineRule="auto"/>
        <w:rPr>
          <w:rFonts w:eastAsia="Calibri" w:cs="Aptos"/>
        </w:rPr>
      </w:pPr>
      <w:r w:rsidRPr="00A23836">
        <w:rPr>
          <w:rFonts w:eastAsia="Calibri" w:cs="Aptos"/>
        </w:rPr>
        <w:t xml:space="preserve">De ontwerpbegroting richt zich primair op het prioriteren van beleidsdoelen van het ministerie en het vastleggen van uitgaven en ontvangsten voor het komend begrotingsjaar. Daarom wordt in de begroting 2026 </w:t>
      </w:r>
      <w:r>
        <w:rPr>
          <w:rFonts w:eastAsia="Calibri" w:cs="Aptos"/>
        </w:rPr>
        <w:t xml:space="preserve">primair ingegaan op de AR-bevindingen op het gebied van beleid, zoals </w:t>
      </w:r>
      <w:r w:rsidRPr="00A23836">
        <w:rPr>
          <w:rFonts w:eastAsia="Calibri" w:cs="Aptos"/>
        </w:rPr>
        <w:t xml:space="preserve">de wijzigingen ten aanzien </w:t>
      </w:r>
      <w:proofErr w:type="gramStart"/>
      <w:r w:rsidRPr="00A23836">
        <w:rPr>
          <w:rFonts w:eastAsia="Calibri" w:cs="Aptos"/>
        </w:rPr>
        <w:t>van  de</w:t>
      </w:r>
      <w:proofErr w:type="gramEnd"/>
      <w:r w:rsidRPr="00A23836">
        <w:rPr>
          <w:rFonts w:eastAsia="Calibri" w:cs="Aptos"/>
        </w:rPr>
        <w:t xml:space="preserve"> S</w:t>
      </w:r>
      <w:r>
        <w:rPr>
          <w:rFonts w:eastAsia="Calibri" w:cs="Aptos"/>
        </w:rPr>
        <w:t>trategische Evaluatie Agenda</w:t>
      </w:r>
      <w:r w:rsidRPr="00A23836">
        <w:rPr>
          <w:rFonts w:eastAsia="Calibri" w:cs="Aptos"/>
        </w:rPr>
        <w:t>, Box-3 en de hersteloperatie Toeslagen</w:t>
      </w:r>
      <w:r>
        <w:rPr>
          <w:rFonts w:eastAsia="Calibri" w:cs="Aptos"/>
        </w:rPr>
        <w:t>,</w:t>
      </w:r>
      <w:r w:rsidRPr="00A23836">
        <w:rPr>
          <w:rFonts w:eastAsia="Calibri" w:cs="Aptos"/>
        </w:rPr>
        <w:t xml:space="preserve"> </w:t>
      </w:r>
    </w:p>
    <w:p w:rsidRPr="000F0DF4" w:rsidR="00B804AC" w:rsidP="00B804AC" w:rsidRDefault="00B804AC" w14:paraId="6D9553D2" w14:textId="77777777"/>
    <w:p w:rsidR="00B804AC" w:rsidP="00B804AC" w:rsidRDefault="00B804AC" w14:paraId="14BD8771" w14:textId="77777777">
      <w:pPr>
        <w:rPr>
          <w:b/>
          <w:bCs/>
        </w:rPr>
      </w:pPr>
      <w:r w:rsidRPr="00727514">
        <w:rPr>
          <w:b/>
          <w:bCs/>
        </w:rPr>
        <w:t xml:space="preserve">Strategische evaluatie agenda </w:t>
      </w:r>
    </w:p>
    <w:p w:rsidRPr="00727514" w:rsidR="00B804AC" w:rsidP="00B804AC" w:rsidRDefault="00B804AC" w14:paraId="4601C01C" w14:textId="77777777">
      <w:pPr>
        <w:rPr>
          <w:b/>
          <w:bCs/>
        </w:rPr>
      </w:pPr>
    </w:p>
    <w:p w:rsidR="00B804AC" w:rsidP="00B804AC" w:rsidRDefault="00B804AC" w14:paraId="4C33C5A4" w14:textId="77777777">
      <w:pPr>
        <w:rPr>
          <w:i/>
          <w:iCs/>
        </w:rPr>
      </w:pPr>
      <w:r>
        <w:rPr>
          <w:i/>
          <w:iCs/>
        </w:rPr>
        <w:t>D</w:t>
      </w:r>
      <w:r w:rsidRPr="00727514">
        <w:rPr>
          <w:i/>
          <w:iCs/>
        </w:rPr>
        <w:t>e commissie</w:t>
      </w:r>
      <w:r>
        <w:rPr>
          <w:i/>
          <w:iCs/>
        </w:rPr>
        <w:t xml:space="preserve"> vraagt</w:t>
      </w:r>
      <w:r w:rsidRPr="00727514">
        <w:rPr>
          <w:i/>
          <w:iCs/>
        </w:rPr>
        <w:t xml:space="preserve"> de minister voor de afzonderlijke jaren het budgettaire belang aan te geven van het evaluatieonderzoek dat in die jaren wordt afgerond.</w:t>
      </w:r>
    </w:p>
    <w:p w:rsidR="00B804AC" w:rsidP="00B804AC" w:rsidRDefault="00B804AC" w14:paraId="79320BC0" w14:textId="77777777">
      <w:pPr>
        <w:rPr>
          <w:i/>
          <w:iCs/>
        </w:rPr>
      </w:pPr>
    </w:p>
    <w:p w:rsidRPr="000234A1" w:rsidR="00B804AC" w:rsidP="00B804AC" w:rsidRDefault="00B804AC" w14:paraId="0FF9C987" w14:textId="77777777">
      <w:r w:rsidRPr="000234A1">
        <w:t xml:space="preserve">Alle beleidsartikelen op de begroting van het ministerie van Financiën staan op de Strategische Evaluatie Agenda (SEA) </w:t>
      </w:r>
      <w:proofErr w:type="gramStart"/>
      <w:r w:rsidRPr="000234A1">
        <w:t>middels</w:t>
      </w:r>
      <w:proofErr w:type="gramEnd"/>
      <w:r w:rsidRPr="000234A1">
        <w:t xml:space="preserve"> een koppeling aan beleidsthema’s. Beleidsthema’s worden op hun beurt gedekt door ten minste één periodieke rapportage elke 7 jaar, zodat tussen 2025 en 2031 alle artikelen worden gedekt door evaluatieonderzoek. </w:t>
      </w:r>
      <w:proofErr w:type="gramStart"/>
      <w:r w:rsidRPr="000234A1">
        <w:t>Conform</w:t>
      </w:r>
      <w:proofErr w:type="gramEnd"/>
      <w:r w:rsidRPr="000234A1">
        <w:t xml:space="preserve"> de Regeling periodiek evaluatieonderzoek </w:t>
      </w:r>
      <w:r w:rsidRPr="000234A1">
        <w:lastRenderedPageBreak/>
        <w:t>2022 zijn alle belangrijke thema’s in termen van maatschappelijke en budgettaire relevantie vertegenwoordigd. De SEA-thema’s, periodieke rapportages en begrotingsartikelen zijn als volgt verbonden:</w:t>
      </w:r>
    </w:p>
    <w:p w:rsidRPr="002F1E66" w:rsidR="00B804AC" w:rsidP="00B804AC" w:rsidRDefault="00B804AC" w14:paraId="7CB4EE6C" w14:textId="77777777">
      <w:pPr>
        <w:rPr>
          <w:highlight w:val="yellow"/>
        </w:rPr>
      </w:pPr>
    </w:p>
    <w:tbl>
      <w:tblPr>
        <w:tblStyle w:val="Tabelraster"/>
        <w:tblW w:w="7792" w:type="dxa"/>
        <w:tblLayout w:type="fixed"/>
        <w:tblLook w:val="04A0" w:firstRow="1" w:lastRow="0" w:firstColumn="1" w:lastColumn="0" w:noHBand="0" w:noVBand="1"/>
      </w:tblPr>
      <w:tblGrid>
        <w:gridCol w:w="1980"/>
        <w:gridCol w:w="2977"/>
        <w:gridCol w:w="1275"/>
        <w:gridCol w:w="1560"/>
      </w:tblGrid>
      <w:tr w:rsidRPr="002F1E66" w:rsidR="00B804AC" w:rsidTr="006B75F1" w14:paraId="488BEDE7" w14:textId="77777777">
        <w:tc>
          <w:tcPr>
            <w:tcW w:w="1980"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442B8FC8" w14:textId="77777777">
            <w:pPr>
              <w:rPr>
                <w:b/>
                <w:bCs/>
              </w:rPr>
            </w:pPr>
            <w:r w:rsidRPr="007E1F9E">
              <w:rPr>
                <w:b/>
                <w:bCs/>
              </w:rPr>
              <w:t>SEA-thema</w:t>
            </w:r>
          </w:p>
        </w:tc>
        <w:tc>
          <w:tcPr>
            <w:tcW w:w="2977"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5637D0E2" w14:textId="77777777">
            <w:pPr>
              <w:rPr>
                <w:b/>
                <w:bCs/>
              </w:rPr>
            </w:pPr>
            <w:r w:rsidRPr="007E1F9E">
              <w:rPr>
                <w:b/>
                <w:bCs/>
              </w:rPr>
              <w:t>Periodieke Rapportage (Afrondingsjaar)</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36555727" w14:textId="77777777">
            <w:pPr>
              <w:rPr>
                <w:b/>
                <w:bCs/>
              </w:rPr>
            </w:pPr>
            <w:proofErr w:type="spellStart"/>
            <w:r w:rsidRPr="00E87376">
              <w:rPr>
                <w:b/>
                <w:bCs/>
              </w:rPr>
              <w:t>Begrotin-gsartikel</w:t>
            </w:r>
            <w:proofErr w:type="spellEnd"/>
          </w:p>
        </w:tc>
        <w:tc>
          <w:tcPr>
            <w:tcW w:w="1560" w:type="dxa"/>
            <w:tcBorders>
              <w:top w:val="single" w:color="auto" w:sz="4" w:space="0"/>
              <w:left w:val="single" w:color="auto" w:sz="4" w:space="0"/>
              <w:bottom w:val="single" w:color="auto" w:sz="4" w:space="0"/>
              <w:right w:val="single" w:color="auto" w:sz="4" w:space="0"/>
            </w:tcBorders>
            <w:hideMark/>
          </w:tcPr>
          <w:p w:rsidRPr="000234A1" w:rsidR="00B804AC" w:rsidP="006B75F1" w:rsidRDefault="00B804AC" w14:paraId="02FD3FF9" w14:textId="77777777">
            <w:pPr>
              <w:rPr>
                <w:b/>
                <w:bCs/>
              </w:rPr>
            </w:pPr>
            <w:r w:rsidRPr="000234A1">
              <w:rPr>
                <w:b/>
                <w:bCs/>
              </w:rPr>
              <w:t>Begrote uitgaven artikel in 2026 (bedragen x € 1 mln.)</w:t>
            </w:r>
          </w:p>
        </w:tc>
      </w:tr>
      <w:tr w:rsidRPr="002F1E66" w:rsidR="00B804AC" w:rsidTr="006B75F1" w14:paraId="172B33D0" w14:textId="77777777">
        <w:tc>
          <w:tcPr>
            <w:tcW w:w="1980"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3B328479" w14:textId="77777777">
            <w:r w:rsidRPr="007E1F9E">
              <w:t>Solide overheidsfinanciën</w:t>
            </w:r>
          </w:p>
        </w:tc>
        <w:tc>
          <w:tcPr>
            <w:tcW w:w="2977"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1C10E05D" w14:textId="77777777">
            <w:pPr>
              <w:numPr>
                <w:ilvl w:val="0"/>
                <w:numId w:val="9"/>
              </w:numPr>
            </w:pPr>
            <w:r w:rsidRPr="007E1F9E">
              <w:t xml:space="preserve">Periodieke rapportage </w:t>
            </w:r>
            <w:proofErr w:type="spellStart"/>
            <w:r w:rsidRPr="007E1F9E">
              <w:t>BTW-compensatiefonds</w:t>
            </w:r>
            <w:proofErr w:type="spellEnd"/>
            <w:r w:rsidRPr="007E1F9E">
              <w:t xml:space="preserve"> (2028)</w:t>
            </w:r>
          </w:p>
          <w:p w:rsidR="00B804AC" w:rsidP="006B75F1" w:rsidRDefault="00B804AC" w14:paraId="4E7C116C" w14:textId="77777777">
            <w:pPr>
              <w:numPr>
                <w:ilvl w:val="0"/>
                <w:numId w:val="9"/>
              </w:numPr>
            </w:pPr>
            <w:r w:rsidRPr="007E1F9E">
              <w:t>Schuldfinanciering tegen zo laag mogelijke kosten onder acceptabel risico (2025)</w:t>
            </w:r>
          </w:p>
          <w:p w:rsidRPr="00283CF0" w:rsidR="00B804AC" w:rsidP="006B75F1" w:rsidRDefault="00B804AC" w14:paraId="08B53A93" w14:textId="77777777"/>
          <w:p w:rsidRPr="00283CF0" w:rsidR="00B804AC" w:rsidP="006B75F1" w:rsidRDefault="00B804AC" w14:paraId="2B94C0D1" w14:textId="77777777"/>
          <w:p w:rsidRPr="00283CF0" w:rsidR="00B804AC" w:rsidP="006B75F1" w:rsidRDefault="00B804AC" w14:paraId="04B5DA3C" w14:textId="77777777"/>
          <w:p w:rsidRPr="007E1F9E" w:rsidR="00B804AC" w:rsidP="006B75F1" w:rsidRDefault="00B804AC" w14:paraId="4F81EE23" w14:textId="77777777">
            <w:pPr>
              <w:numPr>
                <w:ilvl w:val="0"/>
                <w:numId w:val="9"/>
              </w:numPr>
            </w:pPr>
            <w:r w:rsidRPr="007E1F9E">
              <w:t>Periodieke rapportage Kasbeheer (2031)</w:t>
            </w:r>
          </w:p>
          <w:p w:rsidRPr="007E1F9E" w:rsidR="00B804AC" w:rsidP="006B75F1" w:rsidRDefault="00B804AC" w14:paraId="46999359" w14:textId="77777777">
            <w:pPr>
              <w:numPr>
                <w:ilvl w:val="0"/>
                <w:numId w:val="9"/>
              </w:numPr>
            </w:pPr>
            <w:r w:rsidRPr="007E1F9E">
              <w:t>Evaluatie begrotingsbeleid (2029)</w:t>
            </w:r>
          </w:p>
        </w:tc>
        <w:tc>
          <w:tcPr>
            <w:tcW w:w="1275" w:type="dxa"/>
            <w:tcBorders>
              <w:top w:val="single" w:color="auto" w:sz="4" w:space="0"/>
              <w:left w:val="single" w:color="auto" w:sz="4" w:space="0"/>
              <w:bottom w:val="single" w:color="auto" w:sz="4" w:space="0"/>
              <w:right w:val="single" w:color="auto" w:sz="4" w:space="0"/>
            </w:tcBorders>
          </w:tcPr>
          <w:p w:rsidRPr="00E87376" w:rsidR="00B804AC" w:rsidP="006B75F1" w:rsidRDefault="00B804AC" w14:paraId="0CB6A6FC" w14:textId="77777777">
            <w:r w:rsidRPr="00E87376">
              <w:t>6</w:t>
            </w:r>
          </w:p>
          <w:p w:rsidRPr="00E87376" w:rsidR="00B804AC" w:rsidP="006B75F1" w:rsidRDefault="00B804AC" w14:paraId="5630C95E" w14:textId="77777777"/>
          <w:p w:rsidRPr="00E87376" w:rsidR="00B804AC" w:rsidP="006B75F1" w:rsidRDefault="00B804AC" w14:paraId="28AA015A" w14:textId="77777777"/>
          <w:p w:rsidRPr="00E87376" w:rsidR="00B804AC" w:rsidP="006B75F1" w:rsidRDefault="00B804AC" w14:paraId="1D02AA3F" w14:textId="77777777">
            <w:r w:rsidRPr="00E87376">
              <w:t>11</w:t>
            </w:r>
          </w:p>
          <w:p w:rsidRPr="00E87376" w:rsidR="00B804AC" w:rsidP="006B75F1" w:rsidRDefault="00B804AC" w14:paraId="0A49F07B" w14:textId="77777777"/>
          <w:p w:rsidRPr="00E87376" w:rsidR="00B804AC" w:rsidP="006B75F1" w:rsidRDefault="00B804AC" w14:paraId="519B5DFF" w14:textId="77777777"/>
          <w:p w:rsidRPr="00E87376" w:rsidR="00B804AC" w:rsidP="006B75F1" w:rsidRDefault="00B804AC" w14:paraId="5071EC22" w14:textId="77777777"/>
          <w:p w:rsidRPr="00E87376" w:rsidR="00B804AC" w:rsidP="006B75F1" w:rsidRDefault="00B804AC" w14:paraId="3D7CAECA" w14:textId="77777777">
            <w:r w:rsidRPr="00E87376">
              <w:t>12</w:t>
            </w:r>
          </w:p>
          <w:p w:rsidRPr="00E87376" w:rsidR="00B804AC" w:rsidP="006B75F1" w:rsidRDefault="00B804AC" w14:paraId="734A5E6F" w14:textId="77777777"/>
          <w:p w:rsidRPr="00E87376" w:rsidR="00B804AC" w:rsidP="006B75F1" w:rsidRDefault="00B804AC" w14:paraId="0715CD7A" w14:textId="77777777">
            <w:r w:rsidRPr="00E87376">
              <w:t>n.v.t.</w:t>
            </w:r>
          </w:p>
        </w:tc>
        <w:tc>
          <w:tcPr>
            <w:tcW w:w="1560" w:type="dxa"/>
            <w:tcBorders>
              <w:top w:val="single" w:color="auto" w:sz="4" w:space="0"/>
              <w:left w:val="single" w:color="auto" w:sz="4" w:space="0"/>
              <w:bottom w:val="single" w:color="auto" w:sz="4" w:space="0"/>
              <w:right w:val="single" w:color="auto" w:sz="4" w:space="0"/>
            </w:tcBorders>
          </w:tcPr>
          <w:p w:rsidRPr="00E01D00" w:rsidR="00B804AC" w:rsidP="006B75F1" w:rsidRDefault="00B804AC" w14:paraId="6A786C41" w14:textId="77777777">
            <w:pPr>
              <w:rPr>
                <w:color w:val="auto"/>
              </w:rPr>
            </w:pPr>
            <w:r w:rsidRPr="00E01D00">
              <w:rPr>
                <w:color w:val="auto"/>
              </w:rPr>
              <w:t>4.481,6</w:t>
            </w:r>
          </w:p>
          <w:p w:rsidRPr="00E01D00" w:rsidR="00B804AC" w:rsidP="006B75F1" w:rsidRDefault="00B804AC" w14:paraId="28DDD687" w14:textId="77777777">
            <w:pPr>
              <w:rPr>
                <w:color w:val="auto"/>
              </w:rPr>
            </w:pPr>
          </w:p>
          <w:p w:rsidRPr="00E01D00" w:rsidR="00B804AC" w:rsidP="006B75F1" w:rsidRDefault="00B804AC" w14:paraId="617BB582" w14:textId="77777777">
            <w:pPr>
              <w:rPr>
                <w:color w:val="auto"/>
              </w:rPr>
            </w:pPr>
          </w:p>
          <w:p w:rsidRPr="00E01D00" w:rsidR="00B804AC" w:rsidP="006B75F1" w:rsidRDefault="00B804AC" w14:paraId="61EF2C78" w14:textId="77777777">
            <w:pPr>
              <w:rPr>
                <w:color w:val="auto"/>
              </w:rPr>
            </w:pPr>
            <w:r w:rsidRPr="00E01D00">
              <w:rPr>
                <w:color w:val="auto"/>
              </w:rPr>
              <w:t>37.621,6</w:t>
            </w:r>
          </w:p>
          <w:p w:rsidRPr="00E01D00" w:rsidR="00B804AC" w:rsidP="006B75F1" w:rsidRDefault="00B804AC" w14:paraId="2F89D52E" w14:textId="77777777">
            <w:pPr>
              <w:rPr>
                <w:color w:val="auto"/>
              </w:rPr>
            </w:pPr>
          </w:p>
          <w:p w:rsidRPr="00E01D00" w:rsidR="00B804AC" w:rsidP="006B75F1" w:rsidRDefault="00B804AC" w14:paraId="55C41A87" w14:textId="77777777">
            <w:pPr>
              <w:rPr>
                <w:color w:val="auto"/>
              </w:rPr>
            </w:pPr>
          </w:p>
          <w:p w:rsidRPr="00E01D00" w:rsidR="00B804AC" w:rsidP="006B75F1" w:rsidRDefault="00B804AC" w14:paraId="5F3A9E8F" w14:textId="77777777">
            <w:pPr>
              <w:rPr>
                <w:color w:val="auto"/>
              </w:rPr>
            </w:pPr>
          </w:p>
          <w:p w:rsidRPr="00E01D00" w:rsidR="00B804AC" w:rsidP="006B75F1" w:rsidRDefault="00B804AC" w14:paraId="66E1B4E8" w14:textId="77777777">
            <w:pPr>
              <w:rPr>
                <w:color w:val="auto"/>
              </w:rPr>
            </w:pPr>
            <w:r w:rsidRPr="00E01D00">
              <w:rPr>
                <w:color w:val="auto"/>
              </w:rPr>
              <w:t>4.825,9</w:t>
            </w:r>
          </w:p>
          <w:p w:rsidRPr="00E01D00" w:rsidR="00B804AC" w:rsidP="006B75F1" w:rsidRDefault="00B804AC" w14:paraId="7BE603C4" w14:textId="77777777">
            <w:pPr>
              <w:rPr>
                <w:color w:val="auto"/>
              </w:rPr>
            </w:pPr>
          </w:p>
          <w:p w:rsidRPr="00E01D00" w:rsidR="00B804AC" w:rsidP="006B75F1" w:rsidRDefault="00B804AC" w14:paraId="422B6E17" w14:textId="77777777">
            <w:pPr>
              <w:rPr>
                <w:color w:val="auto"/>
              </w:rPr>
            </w:pPr>
            <w:r w:rsidRPr="00E01D00">
              <w:rPr>
                <w:color w:val="auto"/>
              </w:rPr>
              <w:t>n.v.t.</w:t>
            </w:r>
          </w:p>
        </w:tc>
      </w:tr>
      <w:tr w:rsidRPr="002F1E66" w:rsidR="00B804AC" w:rsidTr="006B75F1" w14:paraId="6DE4C7B1" w14:textId="77777777">
        <w:tc>
          <w:tcPr>
            <w:tcW w:w="1980"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6F6F62AA" w14:textId="77777777">
            <w:r w:rsidRPr="007E1F9E">
              <w:t>Economie en vestigingsklimaat</w:t>
            </w:r>
          </w:p>
        </w:tc>
        <w:tc>
          <w:tcPr>
            <w:tcW w:w="2977" w:type="dxa"/>
            <w:tcBorders>
              <w:top w:val="single" w:color="auto" w:sz="4" w:space="0"/>
              <w:left w:val="single" w:color="auto" w:sz="4" w:space="0"/>
              <w:bottom w:val="single" w:color="auto" w:sz="4" w:space="0"/>
              <w:right w:val="single" w:color="auto" w:sz="4" w:space="0"/>
            </w:tcBorders>
            <w:hideMark/>
          </w:tcPr>
          <w:p w:rsidRPr="007E1F9E" w:rsidR="00B804AC" w:rsidP="006B75F1" w:rsidRDefault="00B804AC" w14:paraId="1F290520" w14:textId="77777777">
            <w:pPr>
              <w:numPr>
                <w:ilvl w:val="0"/>
                <w:numId w:val="9"/>
              </w:numPr>
            </w:pPr>
            <w:r w:rsidRPr="007E1F9E">
              <w:t>Periodieke rapportage deelnemingen (2027)</w:t>
            </w:r>
          </w:p>
          <w:p w:rsidRPr="007E1F9E" w:rsidR="00B804AC" w:rsidP="006B75F1" w:rsidRDefault="00B804AC" w14:paraId="03B66FB9" w14:textId="77777777">
            <w:pPr>
              <w:numPr>
                <w:ilvl w:val="0"/>
                <w:numId w:val="9"/>
              </w:numPr>
            </w:pPr>
            <w:r w:rsidRPr="007E1F9E">
              <w:t>Periodieke rapportage Internationale Financiële Betrekkingen (2031)</w:t>
            </w:r>
          </w:p>
          <w:p w:rsidRPr="007E1F9E" w:rsidR="00B804AC" w:rsidP="006B75F1" w:rsidRDefault="00B804AC" w14:paraId="08E8D08C" w14:textId="77777777">
            <w:pPr>
              <w:numPr>
                <w:ilvl w:val="0"/>
                <w:numId w:val="9"/>
              </w:numPr>
            </w:pPr>
            <w:r w:rsidRPr="007E1F9E">
              <w:t>Periodieke rapportage exportkredietverzekeringen (2030)</w:t>
            </w:r>
          </w:p>
        </w:tc>
        <w:tc>
          <w:tcPr>
            <w:tcW w:w="1275" w:type="dxa"/>
            <w:tcBorders>
              <w:top w:val="single" w:color="auto" w:sz="4" w:space="0"/>
              <w:left w:val="single" w:color="auto" w:sz="4" w:space="0"/>
              <w:bottom w:val="single" w:color="auto" w:sz="4" w:space="0"/>
              <w:right w:val="single" w:color="auto" w:sz="4" w:space="0"/>
            </w:tcBorders>
          </w:tcPr>
          <w:p w:rsidRPr="00E87376" w:rsidR="00B804AC" w:rsidP="006B75F1" w:rsidRDefault="00B804AC" w14:paraId="66953125" w14:textId="77777777">
            <w:r w:rsidRPr="00E87376">
              <w:t>3</w:t>
            </w:r>
          </w:p>
          <w:p w:rsidRPr="00E87376" w:rsidR="00B804AC" w:rsidP="006B75F1" w:rsidRDefault="00B804AC" w14:paraId="048B51AE" w14:textId="77777777"/>
          <w:p w:rsidRPr="00E87376" w:rsidR="00B804AC" w:rsidP="006B75F1" w:rsidRDefault="00B804AC" w14:paraId="6FC92FA3" w14:textId="77777777">
            <w:r w:rsidRPr="00E87376">
              <w:t>4</w:t>
            </w:r>
          </w:p>
          <w:p w:rsidRPr="00E87376" w:rsidR="00B804AC" w:rsidP="006B75F1" w:rsidRDefault="00B804AC" w14:paraId="14357F99" w14:textId="77777777"/>
          <w:p w:rsidRPr="00E87376" w:rsidR="00B804AC" w:rsidP="006B75F1" w:rsidRDefault="00B804AC" w14:paraId="636CBBF7" w14:textId="77777777"/>
          <w:p w:rsidRPr="00E87376" w:rsidR="00B804AC" w:rsidP="006B75F1" w:rsidRDefault="00B804AC" w14:paraId="5D73D316" w14:textId="77777777">
            <w:r w:rsidRPr="00E87376">
              <w:t>5</w:t>
            </w:r>
          </w:p>
        </w:tc>
        <w:tc>
          <w:tcPr>
            <w:tcW w:w="1560" w:type="dxa"/>
            <w:tcBorders>
              <w:top w:val="single" w:color="auto" w:sz="4" w:space="0"/>
              <w:left w:val="single" w:color="auto" w:sz="4" w:space="0"/>
              <w:bottom w:val="single" w:color="auto" w:sz="4" w:space="0"/>
              <w:right w:val="single" w:color="auto" w:sz="4" w:space="0"/>
            </w:tcBorders>
          </w:tcPr>
          <w:p w:rsidRPr="00E01D00" w:rsidR="00B804AC" w:rsidP="006B75F1" w:rsidRDefault="00B804AC" w14:paraId="3F75E376" w14:textId="77777777">
            <w:pPr>
              <w:rPr>
                <w:color w:val="auto"/>
              </w:rPr>
            </w:pPr>
            <w:r w:rsidRPr="00E01D00">
              <w:rPr>
                <w:color w:val="auto"/>
              </w:rPr>
              <w:t>11.690,0</w:t>
            </w:r>
          </w:p>
          <w:p w:rsidRPr="00E01D00" w:rsidR="00B804AC" w:rsidP="006B75F1" w:rsidRDefault="00B804AC" w14:paraId="28A3F1FF" w14:textId="77777777">
            <w:pPr>
              <w:rPr>
                <w:color w:val="auto"/>
              </w:rPr>
            </w:pPr>
          </w:p>
          <w:p w:rsidRPr="00E01D00" w:rsidR="00B804AC" w:rsidP="006B75F1" w:rsidRDefault="00B804AC" w14:paraId="34878C18" w14:textId="77777777">
            <w:pPr>
              <w:rPr>
                <w:color w:val="auto"/>
              </w:rPr>
            </w:pPr>
            <w:r w:rsidRPr="00E01D00">
              <w:rPr>
                <w:color w:val="auto"/>
              </w:rPr>
              <w:t>323,5</w:t>
            </w:r>
          </w:p>
          <w:p w:rsidRPr="00E01D00" w:rsidR="00B804AC" w:rsidP="006B75F1" w:rsidRDefault="00B804AC" w14:paraId="4F1640FF" w14:textId="77777777">
            <w:pPr>
              <w:rPr>
                <w:color w:val="auto"/>
              </w:rPr>
            </w:pPr>
          </w:p>
          <w:p w:rsidRPr="00E01D00" w:rsidR="00B804AC" w:rsidP="006B75F1" w:rsidRDefault="00B804AC" w14:paraId="23C84D08" w14:textId="77777777">
            <w:pPr>
              <w:rPr>
                <w:color w:val="auto"/>
              </w:rPr>
            </w:pPr>
          </w:p>
          <w:p w:rsidRPr="00E01D00" w:rsidR="00B804AC" w:rsidP="006B75F1" w:rsidRDefault="00B804AC" w14:paraId="563FEFF1" w14:textId="77777777">
            <w:pPr>
              <w:rPr>
                <w:color w:val="auto"/>
              </w:rPr>
            </w:pPr>
            <w:r w:rsidRPr="00E01D00">
              <w:rPr>
                <w:color w:val="auto"/>
              </w:rPr>
              <w:t>173,5</w:t>
            </w:r>
          </w:p>
        </w:tc>
      </w:tr>
      <w:tr w:rsidRPr="002F1E66" w:rsidR="00B804AC" w:rsidTr="006B75F1" w14:paraId="5945451E" w14:textId="77777777">
        <w:tc>
          <w:tcPr>
            <w:tcW w:w="1980"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7CCDB4A7" w14:textId="77777777">
            <w:r w:rsidRPr="00E87376">
              <w:t>Financiële sector</w:t>
            </w:r>
          </w:p>
        </w:tc>
        <w:tc>
          <w:tcPr>
            <w:tcW w:w="2977"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7A986579" w14:textId="77777777">
            <w:pPr>
              <w:numPr>
                <w:ilvl w:val="0"/>
                <w:numId w:val="9"/>
              </w:numPr>
            </w:pPr>
            <w:r w:rsidRPr="00E87376">
              <w:t>Periodieke rapportage financiële markten (2025)</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4379C812" w14:textId="77777777">
            <w:r w:rsidRPr="00E87376">
              <w:t>2</w:t>
            </w:r>
          </w:p>
        </w:tc>
        <w:tc>
          <w:tcPr>
            <w:tcW w:w="1560" w:type="dxa"/>
            <w:tcBorders>
              <w:top w:val="single" w:color="auto" w:sz="4" w:space="0"/>
              <w:left w:val="single" w:color="auto" w:sz="4" w:space="0"/>
              <w:bottom w:val="single" w:color="auto" w:sz="4" w:space="0"/>
              <w:right w:val="single" w:color="auto" w:sz="4" w:space="0"/>
            </w:tcBorders>
            <w:hideMark/>
          </w:tcPr>
          <w:p w:rsidRPr="00E01D00" w:rsidR="00B804AC" w:rsidP="006B75F1" w:rsidRDefault="00B804AC" w14:paraId="31FD30C8" w14:textId="77777777">
            <w:pPr>
              <w:rPr>
                <w:color w:val="auto"/>
              </w:rPr>
            </w:pPr>
            <w:r w:rsidRPr="00E01D00">
              <w:rPr>
                <w:color w:val="auto"/>
              </w:rPr>
              <w:t>33,4</w:t>
            </w:r>
          </w:p>
        </w:tc>
      </w:tr>
      <w:tr w:rsidRPr="002F1E66" w:rsidR="00B804AC" w:rsidTr="006B75F1" w14:paraId="369CEE4E" w14:textId="77777777">
        <w:tc>
          <w:tcPr>
            <w:tcW w:w="1980"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51796F48" w14:textId="77777777">
            <w:r w:rsidRPr="00E87376">
              <w:t>Fiscaal beleid</w:t>
            </w:r>
          </w:p>
        </w:tc>
        <w:tc>
          <w:tcPr>
            <w:tcW w:w="2977"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3AAEFFC3" w14:textId="77777777">
            <w:pPr>
              <w:numPr>
                <w:ilvl w:val="0"/>
                <w:numId w:val="9"/>
              </w:numPr>
            </w:pPr>
            <w:r w:rsidRPr="00E87376">
              <w:t>Periodieke rapportage fiscale regelingen (2029)</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6696B72D" w14:textId="77777777">
            <w:r w:rsidRPr="00E87376">
              <w:t>1</w:t>
            </w:r>
          </w:p>
        </w:tc>
        <w:tc>
          <w:tcPr>
            <w:tcW w:w="1560" w:type="dxa"/>
            <w:tcBorders>
              <w:top w:val="single" w:color="auto" w:sz="4" w:space="0"/>
              <w:left w:val="single" w:color="auto" w:sz="4" w:space="0"/>
              <w:bottom w:val="single" w:color="auto" w:sz="4" w:space="0"/>
              <w:right w:val="single" w:color="auto" w:sz="4" w:space="0"/>
            </w:tcBorders>
            <w:hideMark/>
          </w:tcPr>
          <w:p w:rsidRPr="00E01D00" w:rsidR="00B804AC" w:rsidP="006B75F1" w:rsidRDefault="00B804AC" w14:paraId="3EFE234C" w14:textId="77777777">
            <w:pPr>
              <w:rPr>
                <w:color w:val="auto"/>
              </w:rPr>
            </w:pPr>
            <w:r w:rsidRPr="00E01D00">
              <w:rPr>
                <w:color w:val="auto"/>
              </w:rPr>
              <w:t>3.884,5</w:t>
            </w:r>
            <w:r>
              <w:rPr>
                <w:rStyle w:val="Voetnootmarkering"/>
                <w:color w:val="auto"/>
              </w:rPr>
              <w:footnoteReference w:id="3"/>
            </w:r>
          </w:p>
        </w:tc>
      </w:tr>
      <w:tr w:rsidRPr="002F1E66" w:rsidR="00B804AC" w:rsidTr="006B75F1" w14:paraId="58974924" w14:textId="77777777">
        <w:tc>
          <w:tcPr>
            <w:tcW w:w="1980"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3D6EFC0E" w14:textId="77777777">
            <w:r w:rsidRPr="00E87376">
              <w:t>Belastingdienst</w:t>
            </w:r>
          </w:p>
        </w:tc>
        <w:tc>
          <w:tcPr>
            <w:tcW w:w="2977"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65C87721" w14:textId="77777777">
            <w:pPr>
              <w:numPr>
                <w:ilvl w:val="0"/>
                <w:numId w:val="9"/>
              </w:numPr>
            </w:pPr>
            <w:r w:rsidRPr="00E87376">
              <w:t>Periodieke rapportage Belastingdienst (2029)</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568F2938" w14:textId="77777777">
            <w:r w:rsidRPr="00E87376">
              <w:t>1</w:t>
            </w:r>
          </w:p>
        </w:tc>
        <w:tc>
          <w:tcPr>
            <w:tcW w:w="1560" w:type="dxa"/>
            <w:tcBorders>
              <w:top w:val="single" w:color="auto" w:sz="4" w:space="0"/>
              <w:left w:val="single" w:color="auto" w:sz="4" w:space="0"/>
              <w:bottom w:val="single" w:color="auto" w:sz="4" w:space="0"/>
              <w:right w:val="single" w:color="auto" w:sz="4" w:space="0"/>
            </w:tcBorders>
            <w:hideMark/>
          </w:tcPr>
          <w:p w:rsidRPr="00E01D00" w:rsidR="00B804AC" w:rsidP="006B75F1" w:rsidRDefault="00B804AC" w14:paraId="4D2D2954" w14:textId="77777777">
            <w:pPr>
              <w:rPr>
                <w:color w:val="auto"/>
              </w:rPr>
            </w:pPr>
            <w:r w:rsidRPr="00E01D00">
              <w:rPr>
                <w:color w:val="auto"/>
              </w:rPr>
              <w:t>3.884,5</w:t>
            </w:r>
          </w:p>
        </w:tc>
      </w:tr>
      <w:tr w:rsidRPr="002F1E66" w:rsidR="00B804AC" w:rsidTr="006B75F1" w14:paraId="4604F508" w14:textId="77777777">
        <w:tc>
          <w:tcPr>
            <w:tcW w:w="1980"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3EDDCAD0" w14:textId="77777777">
            <w:r w:rsidRPr="00E87376">
              <w:t>Toeslagen</w:t>
            </w:r>
          </w:p>
        </w:tc>
        <w:tc>
          <w:tcPr>
            <w:tcW w:w="2977"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5DBA5425" w14:textId="77777777">
            <w:pPr>
              <w:numPr>
                <w:ilvl w:val="0"/>
                <w:numId w:val="9"/>
              </w:numPr>
            </w:pPr>
            <w:r w:rsidRPr="00E87376">
              <w:t>Periodieke rapportage dienstverlening Toeslagen (2028)</w:t>
            </w:r>
          </w:p>
          <w:p w:rsidRPr="00E87376" w:rsidR="00B804AC" w:rsidP="006B75F1" w:rsidRDefault="00B804AC" w14:paraId="503AED53" w14:textId="77777777">
            <w:pPr>
              <w:numPr>
                <w:ilvl w:val="0"/>
                <w:numId w:val="9"/>
              </w:numPr>
            </w:pPr>
            <w:r w:rsidRPr="00E87376">
              <w:t>Periodieke rapportage hersteloperatie (2028)</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7FAF79D7" w14:textId="77777777">
            <w:r w:rsidRPr="00E87376">
              <w:t>13</w:t>
            </w:r>
          </w:p>
        </w:tc>
        <w:tc>
          <w:tcPr>
            <w:tcW w:w="1560" w:type="dxa"/>
            <w:tcBorders>
              <w:top w:val="single" w:color="auto" w:sz="4" w:space="0"/>
              <w:left w:val="single" w:color="auto" w:sz="4" w:space="0"/>
              <w:bottom w:val="single" w:color="auto" w:sz="4" w:space="0"/>
              <w:right w:val="single" w:color="auto" w:sz="4" w:space="0"/>
            </w:tcBorders>
            <w:hideMark/>
          </w:tcPr>
          <w:p w:rsidRPr="00E01D00" w:rsidR="00B804AC" w:rsidP="006B75F1" w:rsidRDefault="00B804AC" w14:paraId="09E23481" w14:textId="77777777">
            <w:pPr>
              <w:rPr>
                <w:color w:val="auto"/>
              </w:rPr>
            </w:pPr>
            <w:r w:rsidRPr="00E01D00">
              <w:rPr>
                <w:color w:val="auto"/>
              </w:rPr>
              <w:t>1.955,9</w:t>
            </w:r>
          </w:p>
        </w:tc>
      </w:tr>
      <w:tr w:rsidRPr="002F1E66" w:rsidR="00B804AC" w:rsidTr="006B75F1" w14:paraId="55F2F6C5" w14:textId="77777777">
        <w:tc>
          <w:tcPr>
            <w:tcW w:w="1980"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47390847" w14:textId="77777777">
            <w:r w:rsidRPr="00E87376">
              <w:t>Douane</w:t>
            </w:r>
          </w:p>
        </w:tc>
        <w:tc>
          <w:tcPr>
            <w:tcW w:w="2977"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71FF537F" w14:textId="77777777">
            <w:pPr>
              <w:numPr>
                <w:ilvl w:val="0"/>
                <w:numId w:val="9"/>
              </w:numPr>
            </w:pPr>
            <w:r w:rsidRPr="00E87376">
              <w:t>Periodieke rapportage Douane (2026)</w:t>
            </w:r>
          </w:p>
        </w:tc>
        <w:tc>
          <w:tcPr>
            <w:tcW w:w="1275" w:type="dxa"/>
            <w:tcBorders>
              <w:top w:val="single" w:color="auto" w:sz="4" w:space="0"/>
              <w:left w:val="single" w:color="auto" w:sz="4" w:space="0"/>
              <w:bottom w:val="single" w:color="auto" w:sz="4" w:space="0"/>
              <w:right w:val="single" w:color="auto" w:sz="4" w:space="0"/>
            </w:tcBorders>
            <w:hideMark/>
          </w:tcPr>
          <w:p w:rsidRPr="00E87376" w:rsidR="00B804AC" w:rsidP="006B75F1" w:rsidRDefault="00B804AC" w14:paraId="6B3328D1" w14:textId="77777777">
            <w:r w:rsidRPr="00E87376">
              <w:t>9</w:t>
            </w:r>
          </w:p>
        </w:tc>
        <w:tc>
          <w:tcPr>
            <w:tcW w:w="1560" w:type="dxa"/>
            <w:tcBorders>
              <w:top w:val="single" w:color="auto" w:sz="4" w:space="0"/>
              <w:left w:val="single" w:color="auto" w:sz="4" w:space="0"/>
              <w:bottom w:val="single" w:color="auto" w:sz="4" w:space="0"/>
              <w:right w:val="single" w:color="auto" w:sz="4" w:space="0"/>
            </w:tcBorders>
            <w:hideMark/>
          </w:tcPr>
          <w:p w:rsidRPr="00E01D00" w:rsidR="00B804AC" w:rsidP="006B75F1" w:rsidRDefault="00B804AC" w14:paraId="24B1D988" w14:textId="77777777">
            <w:pPr>
              <w:rPr>
                <w:color w:val="auto"/>
              </w:rPr>
            </w:pPr>
            <w:r w:rsidRPr="00E01D00">
              <w:rPr>
                <w:color w:val="auto"/>
              </w:rPr>
              <w:t>889,6</w:t>
            </w:r>
          </w:p>
        </w:tc>
      </w:tr>
    </w:tbl>
    <w:p w:rsidR="00B804AC" w:rsidP="00B804AC" w:rsidRDefault="00B804AC" w14:paraId="64F1BE87" w14:textId="77777777">
      <w:pPr>
        <w:rPr>
          <w:highlight w:val="yellow"/>
        </w:rPr>
      </w:pPr>
    </w:p>
    <w:p w:rsidRPr="006C7204" w:rsidR="00B804AC" w:rsidP="00B804AC" w:rsidRDefault="00B804AC" w14:paraId="29272E84" w14:textId="77777777">
      <w:r w:rsidRPr="000234A1">
        <w:t>Het plan van aanpak van Periodieke rapportages</w:t>
      </w:r>
      <w:r>
        <w:t>, dat altijd met de Kamer wordt gedeeld,</w:t>
      </w:r>
      <w:r w:rsidRPr="000234A1">
        <w:t xml:space="preserve"> bevat de budgettaire grondslag van deze syntheseonderzoeken. </w:t>
      </w:r>
      <w:r w:rsidRPr="000234A1">
        <w:lastRenderedPageBreak/>
        <w:t xml:space="preserve">Onderliggend aan de Periodieke rapportages vinden evaluaties plaats die een kleinere omvang </w:t>
      </w:r>
      <w:r w:rsidRPr="00C105E7">
        <w:t xml:space="preserve">hebben. De budgettaire grondslag van deze evaluaties is soms moeilijk te meten, zoals bij wetsevaluaties of </w:t>
      </w:r>
      <w:proofErr w:type="spellStart"/>
      <w:r w:rsidRPr="00C105E7">
        <w:t>artikeloverschrijdende</w:t>
      </w:r>
      <w:proofErr w:type="spellEnd"/>
      <w:r w:rsidRPr="00C105E7">
        <w:t xml:space="preserve"> onderwerpen, waardoor het ingewikkeld is op dit niveau een optelsom van het budgettaire belang van evaluatieonderzoek per jaar aan te geven. Naast het maatschappelijke en budgettaire belang van onderwerpen, speelt ook de inzichtbehoefte van de organisatie een belangrijke rol bij het opzetten van deze evaluaties. Het (kern)doel van de SEA is om betere en meer bruikbare inzichten te krijgen in de (voorwaarden voor) doeltreffendheid en doelmatigheid van beleid om daarmee bij te dragen aan een hogere maatschappelijke toegevoegde waarde van beleid.</w:t>
      </w:r>
      <w:r>
        <w:t xml:space="preserve"> Voor het verkrijgen van dergelijke inzichten is het noodzakelijk om focus aan te brengen in de scope van het evaluatieonderzoek. </w:t>
      </w:r>
      <w:r w:rsidRPr="002F1E66">
        <w:t xml:space="preserve">Sinds de SEA 2026 </w:t>
      </w:r>
      <w:r>
        <w:t xml:space="preserve">worden de achterliggende overwegingen daarom uitgebreid onder de SEA-tabellen toegelicht. </w:t>
      </w:r>
    </w:p>
    <w:p w:rsidR="00B804AC" w:rsidP="00B804AC" w:rsidRDefault="00B804AC" w14:paraId="5F303FE3" w14:textId="77777777">
      <w:pPr>
        <w:rPr>
          <w:i/>
          <w:iCs/>
        </w:rPr>
      </w:pPr>
    </w:p>
    <w:p w:rsidR="00B804AC" w:rsidP="00B804AC" w:rsidRDefault="00B804AC" w14:paraId="590FE1AC" w14:textId="77777777">
      <w:pPr>
        <w:rPr>
          <w:b/>
          <w:bCs/>
        </w:rPr>
      </w:pPr>
      <w:r w:rsidRPr="00727514">
        <w:rPr>
          <w:b/>
          <w:bCs/>
        </w:rPr>
        <w:t xml:space="preserve">Toelichting op financiële en beleidsrisico’s </w:t>
      </w:r>
    </w:p>
    <w:p w:rsidR="00B804AC" w:rsidP="00B804AC" w:rsidRDefault="00B804AC" w14:paraId="51516723" w14:textId="77777777">
      <w:pPr>
        <w:rPr>
          <w:i/>
          <w:iCs/>
        </w:rPr>
      </w:pPr>
    </w:p>
    <w:p w:rsidR="00B804AC" w:rsidP="00B804AC" w:rsidRDefault="00B804AC" w14:paraId="3AEE99E2" w14:textId="77777777">
      <w:pPr>
        <w:rPr>
          <w:i/>
          <w:iCs/>
        </w:rPr>
      </w:pPr>
      <w:r>
        <w:rPr>
          <w:i/>
          <w:iCs/>
        </w:rPr>
        <w:t>D</w:t>
      </w:r>
      <w:r w:rsidRPr="00727514">
        <w:rPr>
          <w:i/>
          <w:iCs/>
        </w:rPr>
        <w:t xml:space="preserve">e commissie </w:t>
      </w:r>
      <w:r>
        <w:rPr>
          <w:i/>
          <w:iCs/>
        </w:rPr>
        <w:t xml:space="preserve">vraagt </w:t>
      </w:r>
      <w:r w:rsidRPr="00727514">
        <w:rPr>
          <w:i/>
          <w:iCs/>
        </w:rPr>
        <w:t>de minister in te gaan op de arbeidsmarktkrapte en wat dat kan betekenen voor het vermogen van het ministerie van Financiën (inclusief de Belastingdienst) om zijn beleid uit te voeren.</w:t>
      </w:r>
    </w:p>
    <w:p w:rsidR="00B804AC" w:rsidP="00B804AC" w:rsidRDefault="00B804AC" w14:paraId="6E9249B7" w14:textId="77777777">
      <w:pPr>
        <w:rPr>
          <w:i/>
          <w:iCs/>
        </w:rPr>
      </w:pPr>
    </w:p>
    <w:p w:rsidR="00B804AC" w:rsidP="00B804AC" w:rsidRDefault="00B804AC" w14:paraId="7D22F0C8" w14:textId="77777777">
      <w:pPr>
        <w:rPr>
          <w:rFonts w:cs="Calibri"/>
          <w:color w:val="212121"/>
        </w:rPr>
      </w:pPr>
      <w:r>
        <w:t xml:space="preserve">Het ministerie van </w:t>
      </w:r>
      <w:r w:rsidRPr="008C7CB5">
        <w:t xml:space="preserve">Financiën </w:t>
      </w:r>
      <w:r>
        <w:t>heeft</w:t>
      </w:r>
      <w:r w:rsidRPr="008C7CB5">
        <w:t xml:space="preserve"> zich de afgelopen jaren in</w:t>
      </w:r>
      <w:r>
        <w:t>gespannen</w:t>
      </w:r>
      <w:r w:rsidRPr="008C7CB5">
        <w:t xml:space="preserve"> om op formatie te komen, zoals ik schreef in mijn </w:t>
      </w:r>
      <w:r>
        <w:t xml:space="preserve">eerdere </w:t>
      </w:r>
      <w:r w:rsidRPr="008C7CB5">
        <w:t xml:space="preserve">brief aan uw </w:t>
      </w:r>
      <w:r>
        <w:t>Kame</w:t>
      </w:r>
      <w:r w:rsidRPr="008C7CB5">
        <w:t>r.</w:t>
      </w:r>
      <w:r w:rsidRPr="008C7CB5" w:rsidR="007E2589">
        <w:rPr>
          <w:rStyle w:val="Voetnootmarkering"/>
        </w:rPr>
        <w:footnoteReference w:id="4"/>
      </w:r>
      <w:r w:rsidRPr="008C7CB5">
        <w:t xml:space="preserve"> </w:t>
      </w:r>
      <w:r>
        <w:t>D</w:t>
      </w:r>
      <w:r w:rsidRPr="008C7CB5">
        <w:t xml:space="preserve">e wervingsopgave </w:t>
      </w:r>
      <w:r>
        <w:t xml:space="preserve">zal </w:t>
      </w:r>
      <w:r w:rsidRPr="008C7CB5">
        <w:t>de komende jaren aanhoud</w:t>
      </w:r>
      <w:r>
        <w:t>en</w:t>
      </w:r>
      <w:r w:rsidRPr="008C7CB5">
        <w:t xml:space="preserve"> door met name natuurlijke uitstroom</w:t>
      </w:r>
      <w:r>
        <w:t>. N</w:t>
      </w:r>
      <w:r w:rsidRPr="008C7CB5">
        <w:t xml:space="preserve">ieuwe taken en nieuw beleid </w:t>
      </w:r>
      <w:r>
        <w:t xml:space="preserve">kunnen </w:t>
      </w:r>
      <w:r w:rsidRPr="008C7CB5">
        <w:t>ook</w:t>
      </w:r>
      <w:r>
        <w:t xml:space="preserve">, al dan niet tijdelijk, invloed hebben, zoals bijvoorbeeld </w:t>
      </w:r>
      <w:r w:rsidRPr="003013B9">
        <w:t>rond box 3</w:t>
      </w:r>
      <w:r>
        <w:t>.</w:t>
      </w:r>
      <w:r>
        <w:rPr>
          <w:rStyle w:val="Voetnootmarkering"/>
        </w:rPr>
        <w:footnoteReference w:id="5"/>
      </w:r>
      <w:r>
        <w:t xml:space="preserve"> </w:t>
      </w:r>
      <w:r w:rsidRPr="00312E18">
        <w:rPr>
          <w:rFonts w:cs="Calibri"/>
          <w:color w:val="212121"/>
        </w:rPr>
        <w:t xml:space="preserve">Daarnaast heeft de taakstelling met name </w:t>
      </w:r>
      <w:r>
        <w:rPr>
          <w:rFonts w:cs="Calibri"/>
          <w:color w:val="212121"/>
        </w:rPr>
        <w:t xml:space="preserve">voor </w:t>
      </w:r>
      <w:r w:rsidRPr="00312E18">
        <w:rPr>
          <w:rFonts w:cs="Calibri"/>
          <w:color w:val="212121"/>
        </w:rPr>
        <w:t>het kerndepartement</w:t>
      </w:r>
      <w:r w:rsidRPr="00312E18">
        <w:rPr>
          <w:rStyle w:val="apple-converted-space"/>
          <w:rFonts w:cs="Calibri"/>
          <w:color w:val="212121"/>
        </w:rPr>
        <w:t> </w:t>
      </w:r>
      <w:r w:rsidRPr="00312E18">
        <w:rPr>
          <w:rFonts w:cs="Calibri"/>
          <w:color w:val="212121"/>
        </w:rPr>
        <w:t xml:space="preserve">een dalend effect op het aantal vacatures. </w:t>
      </w:r>
    </w:p>
    <w:p w:rsidR="00B804AC" w:rsidP="00B804AC" w:rsidRDefault="00B804AC" w14:paraId="407C19E0" w14:textId="77777777">
      <w:pPr>
        <w:rPr>
          <w:rFonts w:cs="Calibri"/>
          <w:color w:val="212121"/>
        </w:rPr>
      </w:pPr>
    </w:p>
    <w:p w:rsidRPr="00B16328" w:rsidR="00B804AC" w:rsidP="00B804AC" w:rsidRDefault="00B804AC" w14:paraId="73F96B88" w14:textId="77777777">
      <w:r w:rsidRPr="00312E18">
        <w:rPr>
          <w:rFonts w:cs="Calibri"/>
          <w:color w:val="212121"/>
        </w:rPr>
        <w:t>Door werving én behoud zorgt Financiën voor voldoende</w:t>
      </w:r>
      <w:r w:rsidRPr="00312E18">
        <w:rPr>
          <w:rStyle w:val="apple-converted-space"/>
          <w:rFonts w:cs="Calibri"/>
          <w:color w:val="212121"/>
        </w:rPr>
        <w:t> </w:t>
      </w:r>
      <w:r w:rsidRPr="00312E18">
        <w:rPr>
          <w:rFonts w:cs="Calibri"/>
          <w:color w:val="212121"/>
        </w:rPr>
        <w:t>en gekwalificeerde</w:t>
      </w:r>
      <w:r w:rsidRPr="00312E18">
        <w:rPr>
          <w:rStyle w:val="apple-converted-space"/>
          <w:rFonts w:cs="Calibri"/>
          <w:color w:val="212121"/>
        </w:rPr>
        <w:t> </w:t>
      </w:r>
      <w:r w:rsidRPr="00312E18">
        <w:rPr>
          <w:rFonts w:cs="Calibri"/>
          <w:color w:val="212121"/>
        </w:rPr>
        <w:t>medewerkers om de maatschappelijke taak uit te voeren en burgers en bedrijven van dienst te zijn. Denk daarbij aan het proactief benaderen van kandidaten, het bevorderen van interne doorstroom, talentprogramma’s, gerichte arbeidsmarktcommunicatie, en de ontwikkeling van eigen medewerkers.</w:t>
      </w:r>
      <w:r w:rsidRPr="008C7CB5">
        <w:t xml:space="preserve"> </w:t>
      </w:r>
      <w:r>
        <w:t>Ook</w:t>
      </w:r>
      <w:r w:rsidRPr="00312E18">
        <w:t xml:space="preserve"> </w:t>
      </w:r>
      <w:r>
        <w:t>zet ik in</w:t>
      </w:r>
      <w:r w:rsidRPr="00312E18">
        <w:t xml:space="preserve"> op arbeidsextensief</w:t>
      </w:r>
      <w:r>
        <w:rPr>
          <w:rStyle w:val="Voetnootmarkering"/>
        </w:rPr>
        <w:footnoteReference w:id="6"/>
      </w:r>
      <w:r w:rsidRPr="00312E18">
        <w:t xml:space="preserve"> werken met als doel </w:t>
      </w:r>
      <w:r>
        <w:t>ons werk</w:t>
      </w:r>
      <w:r w:rsidRPr="00312E18">
        <w:t xml:space="preserve"> met </w:t>
      </w:r>
      <w:r>
        <w:t>minder personeel</w:t>
      </w:r>
      <w:r w:rsidRPr="00312E18">
        <w:t xml:space="preserve"> uit te voeren.</w:t>
      </w:r>
      <w:r>
        <w:t xml:space="preserve"> Daarvoor is het ook van belang huidige wet- en regelgeving te vereenvoudigen en bij nieuw beleid, dit zodanig vorm te geven dat de uitvoeringslast zo beperkt mogelijk is.</w:t>
      </w:r>
    </w:p>
    <w:p w:rsidRPr="00E60E39" w:rsidR="00B804AC" w:rsidP="00B804AC" w:rsidRDefault="00B804AC" w14:paraId="429F3359" w14:textId="77777777">
      <w:pPr>
        <w:rPr>
          <w:i/>
          <w:iCs/>
        </w:rPr>
      </w:pPr>
    </w:p>
    <w:p w:rsidR="00B804AC" w:rsidP="00B804AC" w:rsidRDefault="00B804AC" w14:paraId="7081A962" w14:textId="77777777">
      <w:pPr>
        <w:spacing w:line="240" w:lineRule="auto"/>
        <w:rPr>
          <w:b/>
          <w:bCs/>
        </w:rPr>
      </w:pPr>
      <w:r>
        <w:rPr>
          <w:b/>
          <w:bCs/>
        </w:rPr>
        <w:br w:type="page"/>
      </w:r>
    </w:p>
    <w:p w:rsidRPr="00727514" w:rsidR="00B804AC" w:rsidP="00B804AC" w:rsidRDefault="00B804AC" w14:paraId="394BFC74" w14:textId="77777777">
      <w:pPr>
        <w:pStyle w:val="StandaardSlotzin"/>
        <w:spacing w:before="0"/>
        <w:rPr>
          <w:b/>
          <w:bCs/>
        </w:rPr>
      </w:pPr>
      <w:r w:rsidRPr="00727514">
        <w:rPr>
          <w:b/>
          <w:bCs/>
        </w:rPr>
        <w:lastRenderedPageBreak/>
        <w:t xml:space="preserve">Ontwikkeling rentelasten versus staatsschuld </w:t>
      </w:r>
    </w:p>
    <w:p w:rsidR="00B804AC" w:rsidP="00B804AC" w:rsidRDefault="00B804AC" w14:paraId="3320BEB1" w14:textId="77777777">
      <w:pPr>
        <w:pStyle w:val="StandaardSlotzin"/>
        <w:spacing w:before="0"/>
        <w:rPr>
          <w:i/>
          <w:iCs/>
        </w:rPr>
      </w:pPr>
    </w:p>
    <w:p w:rsidR="00B804AC" w:rsidP="00B804AC" w:rsidRDefault="00B804AC" w14:paraId="0A4049E5" w14:textId="77777777">
      <w:pPr>
        <w:pStyle w:val="StandaardSlotzin"/>
        <w:spacing w:before="0"/>
        <w:rPr>
          <w:i/>
          <w:iCs/>
        </w:rPr>
      </w:pPr>
      <w:r>
        <w:rPr>
          <w:i/>
          <w:iCs/>
        </w:rPr>
        <w:t>D</w:t>
      </w:r>
      <w:r w:rsidRPr="00727514">
        <w:rPr>
          <w:i/>
          <w:iCs/>
        </w:rPr>
        <w:t>e commissie</w:t>
      </w:r>
      <w:r>
        <w:rPr>
          <w:i/>
          <w:iCs/>
        </w:rPr>
        <w:t xml:space="preserve"> vraagt</w:t>
      </w:r>
      <w:r w:rsidRPr="00727514">
        <w:rPr>
          <w:i/>
          <w:iCs/>
        </w:rPr>
        <w:t xml:space="preserve"> de minister of hij figuur 8 uit de ontwerpbegroting kan uitbreiden met de jaren 2027-2030 om te laten zien hoe de rentelasten zich in die jaren ontwikkelen afgezet tegen de ontwikkeling van de staatsschuld</w:t>
      </w:r>
      <w:r>
        <w:rPr>
          <w:i/>
          <w:iCs/>
        </w:rPr>
        <w:t>.</w:t>
      </w:r>
    </w:p>
    <w:p w:rsidR="00B804AC" w:rsidP="00B804AC" w:rsidRDefault="00B804AC" w14:paraId="5F5F9581" w14:textId="77777777"/>
    <w:p w:rsidRPr="008745F9" w:rsidR="00B804AC" w:rsidP="00B804AC" w:rsidRDefault="00B804AC" w14:paraId="70F7625B" w14:textId="77777777">
      <w:r w:rsidRPr="008745F9">
        <w:t>In de onderstaande grafiek is figuur 8 uit de ontwerpbegroting uitgebreid met de jaren 2027-2030</w:t>
      </w:r>
      <w:r>
        <w:t>.</w:t>
      </w:r>
    </w:p>
    <w:p w:rsidRPr="000F0DF4" w:rsidR="00B804AC" w:rsidP="00B804AC" w:rsidRDefault="00B804AC" w14:paraId="5D853DDC" w14:textId="77777777">
      <w:r>
        <w:rPr>
          <w:noProof/>
        </w:rPr>
        <w:drawing>
          <wp:inline distT="0" distB="0" distL="0" distR="0" wp14:anchorId="22CCE2F2" wp14:editId="292B1284">
            <wp:extent cx="4752340" cy="3101340"/>
            <wp:effectExtent l="0" t="0" r="0" b="3810"/>
            <wp:docPr id="1676547389" name="Grafiek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04AC" w:rsidP="00B804AC" w:rsidRDefault="00B804AC" w14:paraId="5BA3040D" w14:textId="77777777"/>
    <w:p w:rsidRPr="00727514" w:rsidR="00B804AC" w:rsidP="00B804AC" w:rsidRDefault="00B804AC" w14:paraId="17DF4C7A" w14:textId="77777777">
      <w:pPr>
        <w:rPr>
          <w:b/>
          <w:bCs/>
        </w:rPr>
      </w:pPr>
      <w:r w:rsidRPr="00727514">
        <w:rPr>
          <w:b/>
          <w:bCs/>
        </w:rPr>
        <w:t xml:space="preserve">Inhuur externen </w:t>
      </w:r>
    </w:p>
    <w:p w:rsidR="00B804AC" w:rsidP="00B804AC" w:rsidRDefault="00B804AC" w14:paraId="6C85B16B" w14:textId="77777777">
      <w:pPr>
        <w:rPr>
          <w:i/>
          <w:iCs/>
        </w:rPr>
      </w:pPr>
    </w:p>
    <w:p w:rsidR="00B804AC" w:rsidP="00B804AC" w:rsidRDefault="00B804AC" w14:paraId="5FF4528D" w14:textId="77777777">
      <w:pPr>
        <w:rPr>
          <w:i/>
          <w:iCs/>
        </w:rPr>
      </w:pPr>
      <w:r>
        <w:rPr>
          <w:i/>
          <w:iCs/>
        </w:rPr>
        <w:t>D</w:t>
      </w:r>
      <w:r w:rsidRPr="00727514">
        <w:rPr>
          <w:i/>
          <w:iCs/>
        </w:rPr>
        <w:t xml:space="preserve">e commissie </w:t>
      </w:r>
      <w:r>
        <w:rPr>
          <w:i/>
          <w:iCs/>
        </w:rPr>
        <w:t xml:space="preserve">vraagt </w:t>
      </w:r>
      <w:r w:rsidRPr="00727514">
        <w:rPr>
          <w:i/>
          <w:iCs/>
        </w:rPr>
        <w:t>de minist</w:t>
      </w:r>
      <w:r>
        <w:rPr>
          <w:i/>
          <w:iCs/>
        </w:rPr>
        <w:t xml:space="preserve">er </w:t>
      </w:r>
      <w:r w:rsidRPr="00727514">
        <w:rPr>
          <w:i/>
          <w:iCs/>
        </w:rPr>
        <w:t>wat de achtergrond is van de daling van de inhuur van externen tussen 2025 en 2030</w:t>
      </w:r>
      <w:r>
        <w:rPr>
          <w:i/>
          <w:iCs/>
        </w:rPr>
        <w:t>.</w:t>
      </w:r>
    </w:p>
    <w:p w:rsidR="00B804AC" w:rsidP="00B804AC" w:rsidRDefault="00B804AC" w14:paraId="3B0FCEA7" w14:textId="77777777">
      <w:pPr>
        <w:rPr>
          <w:i/>
          <w:iCs/>
        </w:rPr>
      </w:pPr>
    </w:p>
    <w:p w:rsidR="00B804AC" w:rsidP="00B804AC" w:rsidRDefault="00B804AC" w14:paraId="6877B7EE" w14:textId="77777777">
      <w:r>
        <w:t xml:space="preserve">Financiën zet in op de afbouw van externe inhuur. Hierbij houd ik wel rekening met de modernisering van de ICT bij de Belastingdienst, de blijvende behoefte aan uitzendkrachten voor de Belastingtelefoon en de herstelopgave bij Toeslagen. </w:t>
      </w:r>
      <w:r w:rsidRPr="00D719CE">
        <w:t>Deze opgaven vergen tijdelijke inzet en specialistische kennis</w:t>
      </w:r>
      <w:r>
        <w:t xml:space="preserve">. </w:t>
      </w:r>
      <w:r w:rsidRPr="00D719CE">
        <w:t>Met de afbouw van externe inhuur, waarvan een deel door verambtelijking</w:t>
      </w:r>
      <w:r>
        <w:rPr>
          <w:rStyle w:val="Voetnootmarkering"/>
        </w:rPr>
        <w:footnoteReference w:id="7"/>
      </w:r>
      <w:r>
        <w:t>, borg ik kennis, zorg ik voor de stabiliteit van de organisatie</w:t>
      </w:r>
      <w:r>
        <w:rPr>
          <w:rStyle w:val="Voetnootmarkering"/>
        </w:rPr>
        <w:footnoteReference w:id="8"/>
      </w:r>
      <w:r>
        <w:t xml:space="preserve"> en druk ik de kosten. </w:t>
      </w:r>
      <w:r w:rsidRPr="00D719CE">
        <w:t xml:space="preserve">Hierdoor kan Financiën ook op de lange termijn aan de maatschappelijke opgaven werken. </w:t>
      </w:r>
      <w:r>
        <w:t>Tenslotte voldoe ik graag aan de Roemernorm</w:t>
      </w:r>
      <w:r>
        <w:rPr>
          <w:rStyle w:val="Voetnootmarkering"/>
        </w:rPr>
        <w:footnoteReference w:id="9"/>
      </w:r>
      <w:r>
        <w:t xml:space="preserve"> en de opdracht aan de departementen uit het </w:t>
      </w:r>
      <w:hyperlink w:history="1" r:id="rId8">
        <w:r w:rsidRPr="007F1CD0">
          <w:rPr>
            <w:rStyle w:val="Hyperlink"/>
          </w:rPr>
          <w:t>hoofdlijnenakkoord</w:t>
        </w:r>
      </w:hyperlink>
      <w:r>
        <w:t xml:space="preserve"> van het huidige demissionaire kabinet. </w:t>
      </w:r>
    </w:p>
    <w:p w:rsidR="00B804AC" w:rsidP="00B804AC" w:rsidRDefault="00B804AC" w14:paraId="53D80871" w14:textId="77777777"/>
    <w:p w:rsidR="00B804AC" w:rsidP="00B804AC" w:rsidRDefault="00B804AC" w14:paraId="21C8AEDE" w14:textId="77777777">
      <w:pPr>
        <w:spacing w:line="240" w:lineRule="auto"/>
        <w:rPr>
          <w:b/>
          <w:bCs/>
        </w:rPr>
      </w:pPr>
      <w:r>
        <w:rPr>
          <w:b/>
          <w:bCs/>
        </w:rPr>
        <w:br w:type="page"/>
      </w:r>
    </w:p>
    <w:p w:rsidRPr="00727514" w:rsidR="00B804AC" w:rsidP="00B804AC" w:rsidRDefault="00B804AC" w14:paraId="2AE94FFE" w14:textId="77777777">
      <w:pPr>
        <w:rPr>
          <w:b/>
          <w:bCs/>
        </w:rPr>
      </w:pPr>
      <w:r w:rsidRPr="00727514">
        <w:rPr>
          <w:b/>
          <w:bCs/>
        </w:rPr>
        <w:lastRenderedPageBreak/>
        <w:t xml:space="preserve">Burgertevredenheid Toeslagenontvangers </w:t>
      </w:r>
    </w:p>
    <w:p w:rsidR="00B804AC" w:rsidP="00B804AC" w:rsidRDefault="00B804AC" w14:paraId="53AE98D7" w14:textId="77777777"/>
    <w:p w:rsidR="00B804AC" w:rsidP="00B804AC" w:rsidRDefault="00B804AC" w14:paraId="6C2A5A94" w14:textId="77777777">
      <w:pPr>
        <w:rPr>
          <w:i/>
          <w:iCs/>
        </w:rPr>
      </w:pPr>
      <w:r>
        <w:rPr>
          <w:i/>
          <w:iCs/>
        </w:rPr>
        <w:t>D</w:t>
      </w:r>
      <w:r w:rsidRPr="00727514">
        <w:rPr>
          <w:i/>
          <w:iCs/>
        </w:rPr>
        <w:t>e commissie</w:t>
      </w:r>
      <w:r>
        <w:rPr>
          <w:i/>
          <w:iCs/>
        </w:rPr>
        <w:t xml:space="preserve"> vraagt</w:t>
      </w:r>
      <w:r w:rsidRPr="00727514">
        <w:rPr>
          <w:i/>
          <w:iCs/>
        </w:rPr>
        <w:t xml:space="preserve"> de minister hoe de streefwaarden voor (on)tevredenheid van toeslagontvangers voor 2025 en 2026 zich verhouden tot de waarden van de indicator Burgertevredenheid in 2023 en 2024</w:t>
      </w:r>
      <w:r>
        <w:rPr>
          <w:i/>
          <w:iCs/>
        </w:rPr>
        <w:t>.</w:t>
      </w:r>
    </w:p>
    <w:p w:rsidRPr="00060AE2" w:rsidR="00B804AC" w:rsidP="00B804AC" w:rsidRDefault="00B804AC" w14:paraId="2FE1BDE0" w14:textId="77777777">
      <w:pPr>
        <w:shd w:val="clear" w:color="auto" w:fill="FFFFFF"/>
        <w:spacing w:before="100" w:beforeAutospacing="1" w:after="100" w:afterAutospacing="1"/>
      </w:pPr>
      <w:r w:rsidRPr="00060AE2">
        <w:t xml:space="preserve">Tot en met 2024 werd de indicator burgertevredenheid berekend als 100% minus het aandeel burgers dat (zeer) ontevreden was. Dat betekende dat ook neutrale antwoorden en de categorie “weet ik niet” werden meegeteld als tevreden. </w:t>
      </w:r>
    </w:p>
    <w:p w:rsidRPr="00060AE2" w:rsidR="00B804AC" w:rsidP="00B804AC" w:rsidRDefault="00B804AC" w14:paraId="023E199D" w14:textId="77777777">
      <w:pPr>
        <w:shd w:val="clear" w:color="auto" w:fill="FFFFFF"/>
        <w:spacing w:before="100" w:beforeAutospacing="1" w:after="100" w:afterAutospacing="1"/>
      </w:pPr>
      <w:r w:rsidRPr="00060AE2">
        <w:t xml:space="preserve">Vanaf het jaarplan 2025 is de definitie aangepast. Tevredenheid wordt voortaan beperkt tot het aandeel burgers dat expliciet aangeeft (zeer) tevreden te zijn. Daarnaast wordt een tweede indicator toegevoegd voor het aandeel burgers dat expliciet (zeer) ontevreden is. Het neutrale en “weet ik niet”-deel wordt dus niet langer automatisch als tevredenheid meegeteld, maar kan uit de combinatie van beide indicatoren worden afgeleid. Het verschil tussen beide definities komt dus voort uit het al dan niet meetellen van de </w:t>
      </w:r>
      <w:proofErr w:type="spellStart"/>
      <w:r w:rsidRPr="00060AE2">
        <w:t>middencategorie</w:t>
      </w:r>
      <w:proofErr w:type="spellEnd"/>
      <w:r w:rsidRPr="00060AE2">
        <w:t>.</w:t>
      </w:r>
    </w:p>
    <w:p w:rsidR="00B804AC" w:rsidP="00B804AC" w:rsidRDefault="00B804AC" w14:paraId="23694A58" w14:textId="77777777">
      <w:pPr>
        <w:shd w:val="clear" w:color="auto" w:fill="FFFFFF"/>
        <w:spacing w:before="100" w:beforeAutospacing="1" w:after="100" w:afterAutospacing="1"/>
        <w:rPr>
          <w:sz w:val="20"/>
          <w:szCs w:val="20"/>
        </w:rPr>
      </w:pPr>
      <w:r w:rsidRPr="00060AE2">
        <w:t>De definitie is aangepast om verschillen en misverstanden te voorkomen. Er wordt voortaan één uniforme definitie gehanteerd voor het meten en rapporteren van burgertevredenheid. Deze definitie geldt zowel binnen de begrotings- en P&amp;C cyclus als in de externe communicatie via onder meer de website en sociale media. De cijfers sluiten hierdoor ook beter aan op de daadwerkelijke ervaring van burgers met de dienstverlening. De gedachte hierachter is dat iemand die ‘weet ik niet’ invult, onvoldoende ervaring heeft om een oordeel te geven. Daarnaast is een neutrale beoordeling niet expliciet positief of negatief. Door deze antwoorden buiten de tevredenheidsscore te houden, wordt het cijfer zuiverder en scherper.</w:t>
      </w:r>
    </w:p>
    <w:p w:rsidR="002C7D3D" w:rsidRDefault="000E2B83" w14:paraId="1955CF31" w14:textId="77777777">
      <w:pPr>
        <w:pStyle w:val="StandaardSlotzin"/>
      </w:pPr>
      <w:r>
        <w:t>Hoogachtend,</w:t>
      </w:r>
    </w:p>
    <w:p w:rsidR="002C7D3D" w:rsidRDefault="002C7D3D" w14:paraId="0BFA3E4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C7D3D" w14:paraId="3B3CEAFD" w14:textId="77777777">
        <w:tc>
          <w:tcPr>
            <w:tcW w:w="3592" w:type="dxa"/>
          </w:tcPr>
          <w:p w:rsidR="002C7D3D" w:rsidRDefault="000E2B83" w14:paraId="1A33FB78"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C7D3D" w:rsidRDefault="002C7D3D" w14:paraId="5742DD9E" w14:textId="77777777"/>
        </w:tc>
      </w:tr>
      <w:tr w:rsidR="002C7D3D" w14:paraId="18BFCD2F" w14:textId="77777777">
        <w:tc>
          <w:tcPr>
            <w:tcW w:w="3592" w:type="dxa"/>
          </w:tcPr>
          <w:p w:rsidR="002C7D3D" w:rsidRDefault="002C7D3D" w14:paraId="2B0FB7AA" w14:textId="77777777"/>
        </w:tc>
        <w:tc>
          <w:tcPr>
            <w:tcW w:w="3892" w:type="dxa"/>
          </w:tcPr>
          <w:p w:rsidR="002C7D3D" w:rsidRDefault="002C7D3D" w14:paraId="1505C0BD" w14:textId="77777777"/>
        </w:tc>
      </w:tr>
      <w:tr w:rsidR="002C7D3D" w14:paraId="4D95E558" w14:textId="77777777">
        <w:tc>
          <w:tcPr>
            <w:tcW w:w="3592" w:type="dxa"/>
          </w:tcPr>
          <w:p w:rsidR="002C7D3D" w:rsidRDefault="002C7D3D" w14:paraId="112F323C" w14:textId="77777777"/>
        </w:tc>
        <w:tc>
          <w:tcPr>
            <w:tcW w:w="3892" w:type="dxa"/>
          </w:tcPr>
          <w:p w:rsidR="002C7D3D" w:rsidRDefault="002C7D3D" w14:paraId="5AA6D713" w14:textId="77777777"/>
        </w:tc>
      </w:tr>
      <w:tr w:rsidR="002C7D3D" w14:paraId="6D57602E" w14:textId="77777777">
        <w:tc>
          <w:tcPr>
            <w:tcW w:w="3592" w:type="dxa"/>
          </w:tcPr>
          <w:p w:rsidR="002C7D3D" w:rsidRDefault="002C7D3D" w14:paraId="0A8C3AF6" w14:textId="77777777"/>
        </w:tc>
        <w:tc>
          <w:tcPr>
            <w:tcW w:w="3892" w:type="dxa"/>
          </w:tcPr>
          <w:p w:rsidR="002C7D3D" w:rsidRDefault="002C7D3D" w14:paraId="40BEA89D" w14:textId="77777777"/>
        </w:tc>
      </w:tr>
      <w:tr w:rsidR="002C7D3D" w14:paraId="34E2B032" w14:textId="77777777">
        <w:tc>
          <w:tcPr>
            <w:tcW w:w="3592" w:type="dxa"/>
          </w:tcPr>
          <w:p w:rsidR="002C7D3D" w:rsidRDefault="002C7D3D" w14:paraId="4C11BA0C" w14:textId="77777777"/>
        </w:tc>
        <w:tc>
          <w:tcPr>
            <w:tcW w:w="3892" w:type="dxa"/>
          </w:tcPr>
          <w:p w:rsidR="002C7D3D" w:rsidRDefault="002C7D3D" w14:paraId="5F1B4995" w14:textId="77777777"/>
        </w:tc>
      </w:tr>
    </w:tbl>
    <w:p w:rsidR="002C7D3D" w:rsidRDefault="002C7D3D" w14:paraId="778E4A8C" w14:textId="77777777">
      <w:pPr>
        <w:pStyle w:val="WitregelW1bodytekst"/>
      </w:pPr>
    </w:p>
    <w:p w:rsidR="002C7D3D" w:rsidRDefault="002C7D3D" w14:paraId="28CEDBA4" w14:textId="77777777">
      <w:pPr>
        <w:pStyle w:val="Verdana7"/>
      </w:pPr>
    </w:p>
    <w:sectPr w:rsidR="002C7D3D">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E6EE" w14:textId="77777777" w:rsidR="000E2B83" w:rsidRDefault="000E2B83">
      <w:pPr>
        <w:spacing w:line="240" w:lineRule="auto"/>
      </w:pPr>
      <w:r>
        <w:separator/>
      </w:r>
    </w:p>
  </w:endnote>
  <w:endnote w:type="continuationSeparator" w:id="0">
    <w:p w14:paraId="4ED43E9F" w14:textId="77777777" w:rsidR="000E2B83" w:rsidRDefault="000E2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0C07" w14:textId="77777777" w:rsidR="000E2B83" w:rsidRDefault="000E2B83">
      <w:pPr>
        <w:spacing w:line="240" w:lineRule="auto"/>
      </w:pPr>
      <w:r>
        <w:separator/>
      </w:r>
    </w:p>
  </w:footnote>
  <w:footnote w:type="continuationSeparator" w:id="0">
    <w:p w14:paraId="22ECF172" w14:textId="77777777" w:rsidR="000E2B83" w:rsidRDefault="000E2B83">
      <w:pPr>
        <w:spacing w:line="240" w:lineRule="auto"/>
      </w:pPr>
      <w:r>
        <w:continuationSeparator/>
      </w:r>
    </w:p>
  </w:footnote>
  <w:footnote w:id="1">
    <w:p w14:paraId="6ABAA80D" w14:textId="77777777" w:rsidR="00B804AC" w:rsidRPr="00A23836" w:rsidRDefault="00B804AC" w:rsidP="00B804AC">
      <w:pPr>
        <w:pStyle w:val="Voetnoottekst"/>
        <w:rPr>
          <w:rFonts w:ascii="Verdana" w:hAnsi="Verdana"/>
          <w:sz w:val="16"/>
          <w:szCs w:val="16"/>
        </w:rPr>
      </w:pPr>
      <w:r w:rsidRPr="00A23836">
        <w:rPr>
          <w:rStyle w:val="Voetnootmarkering"/>
          <w:rFonts w:ascii="Verdana" w:hAnsi="Verdana"/>
          <w:sz w:val="16"/>
          <w:szCs w:val="16"/>
        </w:rPr>
        <w:footnoteRef/>
      </w:r>
      <w:r w:rsidRPr="00A23836">
        <w:rPr>
          <w:rFonts w:ascii="Verdana" w:hAnsi="Verdana"/>
          <w:sz w:val="16"/>
          <w:szCs w:val="16"/>
        </w:rPr>
        <w:t xml:space="preserve"> Kamerstukken II 2024-2025, 36740, nr. 7.</w:t>
      </w:r>
    </w:p>
  </w:footnote>
  <w:footnote w:id="2">
    <w:p w14:paraId="15CDF41C" w14:textId="77777777" w:rsidR="00B804AC" w:rsidRPr="00A23836" w:rsidRDefault="00B804AC" w:rsidP="00B804AC">
      <w:pPr>
        <w:pStyle w:val="Voetnoottekst"/>
        <w:rPr>
          <w:rFonts w:ascii="Verdana" w:hAnsi="Verdana"/>
          <w:sz w:val="16"/>
          <w:szCs w:val="16"/>
        </w:rPr>
      </w:pPr>
      <w:r w:rsidRPr="00A23836">
        <w:rPr>
          <w:rStyle w:val="Voetnootmarkering"/>
          <w:rFonts w:ascii="Verdana" w:hAnsi="Verdana"/>
          <w:sz w:val="16"/>
          <w:szCs w:val="16"/>
        </w:rPr>
        <w:footnoteRef/>
      </w:r>
      <w:r w:rsidRPr="00A23836">
        <w:rPr>
          <w:rFonts w:ascii="Verdana" w:hAnsi="Verdana"/>
          <w:sz w:val="16"/>
          <w:szCs w:val="16"/>
        </w:rPr>
        <w:t xml:space="preserve"> </w:t>
      </w:r>
      <w:hyperlink r:id="rId1" w:history="1">
        <w:r w:rsidRPr="00283CF0">
          <w:rPr>
            <w:rStyle w:val="Hyperlink"/>
            <w:rFonts w:ascii="Verdana" w:hAnsi="Verdana"/>
            <w:sz w:val="16"/>
            <w:szCs w:val="16"/>
          </w:rPr>
          <w:t>Reactie minister van Financiën op Verantwoordingsonderzoek 2024 Financiën en Nationale Schuld | Algemene Rekenkamer</w:t>
        </w:r>
      </w:hyperlink>
    </w:p>
  </w:footnote>
  <w:footnote w:id="3">
    <w:p w14:paraId="191A938A" w14:textId="77777777" w:rsidR="00B804AC" w:rsidRDefault="00B804AC" w:rsidP="00B804AC">
      <w:pPr>
        <w:pStyle w:val="Voetnoottekst"/>
      </w:pPr>
      <w:r>
        <w:rPr>
          <w:rStyle w:val="Voetnootmarkering"/>
        </w:rPr>
        <w:footnoteRef/>
      </w:r>
      <w:r>
        <w:t xml:space="preserve"> </w:t>
      </w:r>
      <w:r w:rsidRPr="00C61FF5">
        <w:rPr>
          <w:rFonts w:ascii="Verdana" w:hAnsi="Verdana"/>
          <w:sz w:val="16"/>
          <w:szCs w:val="16"/>
        </w:rPr>
        <w:t xml:space="preserve">Voor het evaluatieonderzoek naar fiscale regelingen ligt het budgettaire belang vooral in de gederfde inkomsten naar aanleiding van deze regelingen. In 2026 bedraagt het totale budgettaire belang van (gemonitorde) fiscale regelingen naar verwachting </w:t>
      </w:r>
      <w:proofErr w:type="gramStart"/>
      <w:r w:rsidRPr="00C61FF5">
        <w:rPr>
          <w:rFonts w:ascii="Verdana" w:hAnsi="Verdana"/>
          <w:sz w:val="16"/>
          <w:szCs w:val="16"/>
        </w:rPr>
        <w:t>circa</w:t>
      </w:r>
      <w:proofErr w:type="gramEnd"/>
      <w:r w:rsidRPr="00C61FF5">
        <w:rPr>
          <w:rFonts w:ascii="Verdana" w:hAnsi="Verdana"/>
          <w:sz w:val="16"/>
          <w:szCs w:val="16"/>
        </w:rPr>
        <w:t xml:space="preserve"> 188 miljard euro. </w:t>
      </w:r>
    </w:p>
  </w:footnote>
  <w:footnote w:id="4">
    <w:p w14:paraId="2B9AE5E8" w14:textId="77777777" w:rsidR="007E2589" w:rsidRPr="00C95A67" w:rsidRDefault="007E2589" w:rsidP="007E2589">
      <w:pPr>
        <w:pStyle w:val="Geenafstand"/>
        <w:rPr>
          <w:rFonts w:ascii="Verdana" w:hAnsi="Verdana"/>
          <w:sz w:val="16"/>
          <w:szCs w:val="16"/>
        </w:rPr>
      </w:pPr>
      <w:r w:rsidRPr="00C95A67">
        <w:rPr>
          <w:rStyle w:val="Voetnootmarkering"/>
          <w:rFonts w:ascii="Verdana" w:hAnsi="Verdana"/>
          <w:sz w:val="16"/>
          <w:szCs w:val="16"/>
        </w:rPr>
        <w:footnoteRef/>
      </w:r>
      <w:r w:rsidRPr="00C95A67">
        <w:rPr>
          <w:rFonts w:ascii="Verdana" w:hAnsi="Verdana"/>
          <w:sz w:val="16"/>
          <w:szCs w:val="16"/>
        </w:rPr>
        <w:t xml:space="preserve"> </w:t>
      </w:r>
      <w:r w:rsidRPr="00C95A67">
        <w:rPr>
          <w:rFonts w:ascii="Verdana" w:hAnsi="Verdana"/>
          <w:sz w:val="16"/>
          <w:szCs w:val="16"/>
        </w:rPr>
        <w:fldChar w:fldCharType="begin"/>
      </w:r>
      <w:r w:rsidRPr="00C95A67">
        <w:rPr>
          <w:rFonts w:ascii="Verdana" w:hAnsi="Verdana"/>
          <w:sz w:val="16"/>
          <w:szCs w:val="16"/>
        </w:rPr>
        <w:instrText xml:space="preserve"> DOCPROPERTY  "Onderwerp"  \* MERGEFORMAT </w:instrText>
      </w:r>
      <w:r w:rsidRPr="00C95A67">
        <w:rPr>
          <w:rFonts w:ascii="Verdana" w:hAnsi="Verdana"/>
          <w:sz w:val="16"/>
          <w:szCs w:val="16"/>
        </w:rPr>
        <w:fldChar w:fldCharType="separate"/>
      </w:r>
      <w:r w:rsidRPr="00C95A67">
        <w:rPr>
          <w:rFonts w:ascii="Verdana" w:hAnsi="Verdana"/>
          <w:sz w:val="16"/>
          <w:szCs w:val="16"/>
        </w:rPr>
        <w:t>Beantwoording vragen naar aanleiding van het verslag van de rapporteur over het jaarverslag IX 2024</w:t>
      </w:r>
      <w:r w:rsidRPr="00C95A67">
        <w:rPr>
          <w:rFonts w:ascii="Verdana" w:hAnsi="Verdana"/>
          <w:sz w:val="16"/>
          <w:szCs w:val="16"/>
        </w:rPr>
        <w:fldChar w:fldCharType="end"/>
      </w:r>
      <w:r w:rsidRPr="00C95A67">
        <w:rPr>
          <w:rFonts w:ascii="Verdana" w:hAnsi="Verdana"/>
          <w:sz w:val="16"/>
          <w:szCs w:val="16"/>
        </w:rPr>
        <w:t xml:space="preserve"> (Kamerstukken II, 2024/2025, 36 740-IX, nr. 9)</w:t>
      </w:r>
    </w:p>
  </w:footnote>
  <w:footnote w:id="5">
    <w:p w14:paraId="7072C7C6" w14:textId="77777777" w:rsidR="00B804AC" w:rsidRPr="00C95A67" w:rsidRDefault="00B804AC" w:rsidP="00B804AC">
      <w:pPr>
        <w:pStyle w:val="Voetnoottekst"/>
        <w:rPr>
          <w:rFonts w:ascii="Verdana" w:hAnsi="Verdana"/>
          <w:sz w:val="16"/>
          <w:szCs w:val="16"/>
        </w:rPr>
      </w:pPr>
      <w:r w:rsidRPr="00C95A67">
        <w:rPr>
          <w:rStyle w:val="Voetnootmarkering"/>
          <w:rFonts w:ascii="Verdana" w:hAnsi="Verdana"/>
          <w:sz w:val="16"/>
          <w:szCs w:val="16"/>
        </w:rPr>
        <w:footnoteRef/>
      </w:r>
      <w:r w:rsidRPr="00C95A67">
        <w:rPr>
          <w:rFonts w:ascii="Verdana" w:hAnsi="Verdana"/>
          <w:sz w:val="16"/>
          <w:szCs w:val="16"/>
        </w:rPr>
        <w:t xml:space="preserve"> </w:t>
      </w:r>
      <w:r w:rsidRPr="00657399">
        <w:rPr>
          <w:rFonts w:ascii="Verdana" w:hAnsi="Verdana"/>
          <w:sz w:val="16"/>
          <w:szCs w:val="16"/>
        </w:rPr>
        <w:t>Stand van zaken Belastingdienst (Kamerstukken II, 2025/2026, 31 066, nr. 1518).</w:t>
      </w:r>
    </w:p>
  </w:footnote>
  <w:footnote w:id="6">
    <w:p w14:paraId="7E66F69B" w14:textId="77777777" w:rsidR="00B804AC" w:rsidRPr="00460305" w:rsidRDefault="00B804AC" w:rsidP="00B804AC">
      <w:pPr>
        <w:pStyle w:val="Voetnoottekst"/>
        <w:rPr>
          <w:rFonts w:ascii="Verdana" w:hAnsi="Verdana"/>
        </w:rPr>
      </w:pPr>
      <w:r w:rsidRPr="00657399">
        <w:rPr>
          <w:rStyle w:val="Voetnootmarkering"/>
          <w:rFonts w:ascii="Verdana" w:hAnsi="Verdana"/>
          <w:sz w:val="16"/>
          <w:szCs w:val="16"/>
        </w:rPr>
        <w:footnoteRef/>
      </w:r>
      <w:r w:rsidRPr="00657399">
        <w:rPr>
          <w:rFonts w:ascii="Verdana" w:hAnsi="Verdana"/>
          <w:sz w:val="16"/>
          <w:szCs w:val="16"/>
        </w:rPr>
        <w:t xml:space="preserve"> Manieren om de huidige en toekomstige werkprocessen slimmer, anders en minder arbeidsintensief in te richten.</w:t>
      </w:r>
    </w:p>
  </w:footnote>
  <w:footnote w:id="7">
    <w:p w14:paraId="4F0F85EE" w14:textId="77777777" w:rsidR="00B804AC" w:rsidRPr="00460305" w:rsidRDefault="00B804AC" w:rsidP="00B804AC">
      <w:pPr>
        <w:pStyle w:val="Voetnoottekst"/>
        <w:rPr>
          <w:rFonts w:ascii="Verdana" w:hAnsi="Verdana"/>
          <w:sz w:val="18"/>
          <w:szCs w:val="18"/>
        </w:rPr>
      </w:pPr>
      <w:r w:rsidRPr="00460305">
        <w:rPr>
          <w:rStyle w:val="Voetnootmarkering"/>
          <w:rFonts w:ascii="Verdana" w:hAnsi="Verdana"/>
          <w:sz w:val="18"/>
          <w:szCs w:val="18"/>
        </w:rPr>
        <w:footnoteRef/>
      </w:r>
      <w:r w:rsidRPr="00460305">
        <w:rPr>
          <w:rFonts w:ascii="Verdana" w:hAnsi="Verdana"/>
          <w:sz w:val="18"/>
          <w:szCs w:val="18"/>
        </w:rPr>
        <w:t xml:space="preserve"> </w:t>
      </w:r>
      <w:r w:rsidRPr="00460305">
        <w:rPr>
          <w:rFonts w:ascii="Verdana" w:hAnsi="Verdana"/>
          <w:sz w:val="16"/>
          <w:szCs w:val="16"/>
        </w:rPr>
        <w:t>Verambtelijking betekent het werk dat door externen wordt gedaan, structureel door eigen ambtenaren laten uitvoeren.</w:t>
      </w:r>
    </w:p>
  </w:footnote>
  <w:footnote w:id="8">
    <w:p w14:paraId="2191CB69" w14:textId="77777777" w:rsidR="00B804AC" w:rsidRPr="00460305" w:rsidRDefault="00B804AC" w:rsidP="00B804AC">
      <w:pPr>
        <w:pStyle w:val="Voetnoottekst"/>
        <w:rPr>
          <w:rFonts w:ascii="Verdana" w:hAnsi="Verdana"/>
          <w:sz w:val="18"/>
          <w:szCs w:val="18"/>
        </w:rPr>
      </w:pPr>
      <w:r w:rsidRPr="00460305">
        <w:rPr>
          <w:rStyle w:val="Voetnootmarkering"/>
          <w:rFonts w:ascii="Verdana" w:hAnsi="Verdana"/>
          <w:sz w:val="18"/>
          <w:szCs w:val="18"/>
        </w:rPr>
        <w:footnoteRef/>
      </w:r>
      <w:r w:rsidRPr="00460305">
        <w:rPr>
          <w:rFonts w:ascii="Verdana" w:hAnsi="Verdana"/>
          <w:sz w:val="18"/>
          <w:szCs w:val="18"/>
        </w:rPr>
        <w:t xml:space="preserve"> </w:t>
      </w:r>
      <w:r w:rsidRPr="00460305">
        <w:rPr>
          <w:rFonts w:ascii="Verdana" w:hAnsi="Verdana"/>
          <w:sz w:val="16"/>
          <w:szCs w:val="16"/>
        </w:rPr>
        <w:t xml:space="preserve">In lijn met het rapport “De deskundige overheid” van de WRR, via </w:t>
      </w:r>
      <w:hyperlink r:id="rId2" w:history="1">
        <w:r w:rsidRPr="00460305">
          <w:rPr>
            <w:rStyle w:val="Hyperlink"/>
            <w:rFonts w:ascii="Verdana" w:hAnsi="Verdana"/>
            <w:sz w:val="16"/>
            <w:szCs w:val="16"/>
          </w:rPr>
          <w:t>Deskundige overheid | Rapport | WRR</w:t>
        </w:r>
      </w:hyperlink>
    </w:p>
  </w:footnote>
  <w:footnote w:id="9">
    <w:p w14:paraId="71354DB6" w14:textId="77777777" w:rsidR="00B804AC" w:rsidRPr="00460305" w:rsidRDefault="00B804AC" w:rsidP="00B804AC">
      <w:pPr>
        <w:pStyle w:val="Voetnoottekst"/>
        <w:rPr>
          <w:rFonts w:ascii="Verdana" w:hAnsi="Verdana"/>
          <w:sz w:val="16"/>
          <w:szCs w:val="16"/>
        </w:rPr>
      </w:pPr>
      <w:r w:rsidRPr="00460305">
        <w:rPr>
          <w:rStyle w:val="Voetnootmarkering"/>
          <w:rFonts w:ascii="Verdana" w:hAnsi="Verdana"/>
          <w:sz w:val="16"/>
          <w:szCs w:val="16"/>
        </w:rPr>
        <w:footnoteRef/>
      </w:r>
      <w:r w:rsidRPr="00460305">
        <w:rPr>
          <w:rFonts w:ascii="Verdana" w:hAnsi="Verdana"/>
          <w:sz w:val="16"/>
          <w:szCs w:val="16"/>
        </w:rPr>
        <w:t xml:space="preserve"> De Roemernorm is 10% inhuur van externen van het totale personeelsbudget (Kamerstukken II, 2009/10, 32360,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A2A9" w14:textId="77777777" w:rsidR="002C7D3D" w:rsidRDefault="000E2B83">
    <w:r>
      <w:rPr>
        <w:noProof/>
      </w:rPr>
      <mc:AlternateContent>
        <mc:Choice Requires="wps">
          <w:drawing>
            <wp:anchor distT="0" distB="0" distL="0" distR="0" simplePos="0" relativeHeight="251652096" behindDoc="0" locked="1" layoutInCell="1" allowOverlap="1" wp14:anchorId="583AE52B" wp14:editId="6676810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C8336A" w14:textId="77777777" w:rsidR="002C7D3D" w:rsidRDefault="000E2B83">
                          <w:pPr>
                            <w:pStyle w:val="StandaardReferentiegegevensKop"/>
                          </w:pPr>
                          <w:r>
                            <w:t>Ons kenmerk</w:t>
                          </w:r>
                        </w:p>
                        <w:p w14:paraId="526940B9" w14:textId="36601AC7" w:rsidR="00D36DDF" w:rsidRDefault="00C20C4A">
                          <w:pPr>
                            <w:pStyle w:val="StandaardReferentiegegevens"/>
                          </w:pPr>
                          <w:fldSimple w:instr=" DOCPROPERTY  &quot;Kenmerk&quot;  \* MERGEFORMAT ">
                            <w:r w:rsidR="007462E7">
                              <w:t>2025-0000547123</w:t>
                            </w:r>
                          </w:fldSimple>
                        </w:p>
                      </w:txbxContent>
                    </wps:txbx>
                    <wps:bodyPr vert="horz" wrap="square" lIns="0" tIns="0" rIns="0" bIns="0" anchor="t" anchorCtr="0"/>
                  </wps:wsp>
                </a:graphicData>
              </a:graphic>
            </wp:anchor>
          </w:drawing>
        </mc:Choice>
        <mc:Fallback>
          <w:pict>
            <v:shapetype w14:anchorId="583AE52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C8336A" w14:textId="77777777" w:rsidR="002C7D3D" w:rsidRDefault="000E2B83">
                    <w:pPr>
                      <w:pStyle w:val="StandaardReferentiegegevensKop"/>
                    </w:pPr>
                    <w:r>
                      <w:t>Ons kenmerk</w:t>
                    </w:r>
                  </w:p>
                  <w:p w14:paraId="526940B9" w14:textId="36601AC7" w:rsidR="00D36DDF" w:rsidRDefault="00C20C4A">
                    <w:pPr>
                      <w:pStyle w:val="StandaardReferentiegegevens"/>
                    </w:pPr>
                    <w:fldSimple w:instr=" DOCPROPERTY  &quot;Kenmerk&quot;  \* MERGEFORMAT ">
                      <w:r w:rsidR="007462E7">
                        <w:t>2025-0000547123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B40E4A6" wp14:editId="33909ED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F9A895" w14:textId="77777777" w:rsidR="00D36DDF" w:rsidRDefault="00C20C4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B40E4A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9F9A895" w14:textId="77777777" w:rsidR="00D36DDF" w:rsidRDefault="00C20C4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E2AF66C" wp14:editId="613C764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9FFA771" w14:textId="57F7C496" w:rsidR="00D36DDF" w:rsidRDefault="00C20C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2AF66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9FFA771" w14:textId="57F7C496" w:rsidR="00D36DDF" w:rsidRDefault="00C20C4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5B03" w14:textId="77777777" w:rsidR="002C7D3D" w:rsidRDefault="000E2B83">
    <w:pPr>
      <w:spacing w:after="7029" w:line="14" w:lineRule="exact"/>
    </w:pPr>
    <w:r>
      <w:rPr>
        <w:noProof/>
      </w:rPr>
      <mc:AlternateContent>
        <mc:Choice Requires="wps">
          <w:drawing>
            <wp:anchor distT="0" distB="0" distL="0" distR="0" simplePos="0" relativeHeight="251655168" behindDoc="0" locked="1" layoutInCell="1" allowOverlap="1" wp14:anchorId="67929B52" wp14:editId="7E5D799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439A688" w14:textId="77777777" w:rsidR="002C7D3D" w:rsidRDefault="000E2B83">
                          <w:pPr>
                            <w:spacing w:line="240" w:lineRule="auto"/>
                          </w:pPr>
                          <w:r>
                            <w:rPr>
                              <w:noProof/>
                            </w:rPr>
                            <w:drawing>
                              <wp:inline distT="0" distB="0" distL="0" distR="0" wp14:anchorId="759456FF" wp14:editId="56DA736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929B5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439A688" w14:textId="77777777" w:rsidR="002C7D3D" w:rsidRDefault="000E2B83">
                    <w:pPr>
                      <w:spacing w:line="240" w:lineRule="auto"/>
                    </w:pPr>
                    <w:r>
                      <w:rPr>
                        <w:noProof/>
                      </w:rPr>
                      <w:drawing>
                        <wp:inline distT="0" distB="0" distL="0" distR="0" wp14:anchorId="759456FF" wp14:editId="56DA736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30EB022" wp14:editId="4587E23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F548C36" w14:textId="77777777" w:rsidR="000E2B83" w:rsidRDefault="000E2B83"/>
                      </w:txbxContent>
                    </wps:txbx>
                    <wps:bodyPr vert="horz" wrap="square" lIns="0" tIns="0" rIns="0" bIns="0" anchor="t" anchorCtr="0"/>
                  </wps:wsp>
                </a:graphicData>
              </a:graphic>
            </wp:anchor>
          </w:drawing>
        </mc:Choice>
        <mc:Fallback>
          <w:pict>
            <v:shape w14:anchorId="630EB02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F548C36" w14:textId="77777777" w:rsidR="000E2B83" w:rsidRDefault="000E2B8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FD437A" wp14:editId="7712525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28DA9B" w14:textId="77777777" w:rsidR="002C7D3D" w:rsidRDefault="000E2B83">
                          <w:pPr>
                            <w:pStyle w:val="StandaardReferentiegegevens"/>
                          </w:pPr>
                          <w:r>
                            <w:t>Korte Voorhout 7</w:t>
                          </w:r>
                        </w:p>
                        <w:p w14:paraId="49574AB8" w14:textId="77777777" w:rsidR="002C7D3D" w:rsidRDefault="000E2B83">
                          <w:pPr>
                            <w:pStyle w:val="StandaardReferentiegegevens"/>
                          </w:pPr>
                          <w:r>
                            <w:t>2511 CW  Den Haag</w:t>
                          </w:r>
                        </w:p>
                        <w:p w14:paraId="34DA4997" w14:textId="77777777" w:rsidR="002C7D3D" w:rsidRDefault="000E2B83">
                          <w:pPr>
                            <w:pStyle w:val="StandaardReferentiegegevens"/>
                          </w:pPr>
                          <w:r>
                            <w:t>Postbus 20201</w:t>
                          </w:r>
                        </w:p>
                        <w:p w14:paraId="3545EA0B" w14:textId="77777777" w:rsidR="002C7D3D" w:rsidRDefault="000E2B83">
                          <w:pPr>
                            <w:pStyle w:val="StandaardReferentiegegevens"/>
                          </w:pPr>
                          <w:r>
                            <w:t>2500 EE  Den Haag</w:t>
                          </w:r>
                        </w:p>
                        <w:p w14:paraId="563066B6" w14:textId="77777777" w:rsidR="002C7D3D" w:rsidRDefault="000E2B83">
                          <w:pPr>
                            <w:pStyle w:val="StandaardReferentiegegevens"/>
                          </w:pPr>
                          <w:proofErr w:type="gramStart"/>
                          <w:r>
                            <w:t>www.rijksoverheid.nl/fin</w:t>
                          </w:r>
                          <w:proofErr w:type="gramEnd"/>
                        </w:p>
                        <w:p w14:paraId="19E12F3C" w14:textId="77777777" w:rsidR="002C7D3D" w:rsidRDefault="002C7D3D">
                          <w:pPr>
                            <w:pStyle w:val="WitregelW2"/>
                          </w:pPr>
                        </w:p>
                        <w:p w14:paraId="6EDDBF7A" w14:textId="77777777" w:rsidR="002C7D3D" w:rsidRDefault="000E2B83">
                          <w:pPr>
                            <w:pStyle w:val="StandaardReferentiegegevensKop"/>
                          </w:pPr>
                          <w:r>
                            <w:t>Ons kenmerk</w:t>
                          </w:r>
                        </w:p>
                        <w:p w14:paraId="4C078B61" w14:textId="6F089206" w:rsidR="00D36DDF" w:rsidRDefault="00C20C4A">
                          <w:pPr>
                            <w:pStyle w:val="StandaardReferentiegegevens"/>
                          </w:pPr>
                          <w:fldSimple w:instr=" DOCPROPERTY  &quot;Kenmerk&quot;  \* MERGEFORMAT ">
                            <w:r w:rsidR="007462E7">
                              <w:t>2025-0000547123</w:t>
                            </w:r>
                          </w:fldSimple>
                        </w:p>
                        <w:p w14:paraId="587ADCFB" w14:textId="77777777" w:rsidR="002C7D3D" w:rsidRDefault="002C7D3D">
                          <w:pPr>
                            <w:pStyle w:val="WitregelW1"/>
                          </w:pPr>
                        </w:p>
                        <w:p w14:paraId="7C7C73BA" w14:textId="77777777" w:rsidR="002C7D3D" w:rsidRDefault="000E2B83">
                          <w:pPr>
                            <w:pStyle w:val="StandaardReferentiegegevensKop"/>
                          </w:pPr>
                          <w:r>
                            <w:t>Uw brief (kenmerk)</w:t>
                          </w:r>
                        </w:p>
                        <w:p w14:paraId="4D70B203" w14:textId="77777777" w:rsidR="00277D4A" w:rsidRPr="00277D4A" w:rsidRDefault="00277D4A" w:rsidP="00277D4A">
                          <w:pPr>
                            <w:rPr>
                              <w:sz w:val="13"/>
                              <w:szCs w:val="13"/>
                            </w:rPr>
                          </w:pPr>
                          <w:r w:rsidRPr="00277D4A">
                            <w:rPr>
                              <w:sz w:val="13"/>
                              <w:szCs w:val="13"/>
                            </w:rPr>
                            <w:t>2025D47352</w:t>
                          </w:r>
                        </w:p>
                        <w:p w14:paraId="7769F846" w14:textId="6A61445B" w:rsidR="00D36DDF" w:rsidRDefault="00C20C4A">
                          <w:pPr>
                            <w:pStyle w:val="StandaardReferentiegegevens"/>
                          </w:pPr>
                          <w:r>
                            <w:fldChar w:fldCharType="begin"/>
                          </w:r>
                          <w:r>
                            <w:instrText xml:space="preserve"> DOCPROPERTY  "UwKenmerk"  \* MERGEFORMAT </w:instrText>
                          </w:r>
                          <w:r>
                            <w:fldChar w:fldCharType="end"/>
                          </w:r>
                        </w:p>
                        <w:p w14:paraId="376697CE" w14:textId="77777777" w:rsidR="002C7D3D" w:rsidRDefault="002C7D3D">
                          <w:pPr>
                            <w:pStyle w:val="WitregelW1"/>
                          </w:pPr>
                        </w:p>
                        <w:p w14:paraId="75DA95C5" w14:textId="77777777" w:rsidR="002C7D3D" w:rsidRDefault="000E2B83">
                          <w:pPr>
                            <w:pStyle w:val="StandaardReferentiegegevensKop"/>
                          </w:pPr>
                          <w:r>
                            <w:t>Bijlagen</w:t>
                          </w:r>
                        </w:p>
                        <w:p w14:paraId="5DB0A1E6" w14:textId="77777777" w:rsidR="002C7D3D" w:rsidRDefault="000E2B8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8FD437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28DA9B" w14:textId="77777777" w:rsidR="002C7D3D" w:rsidRDefault="000E2B83">
                    <w:pPr>
                      <w:pStyle w:val="StandaardReferentiegegevens"/>
                    </w:pPr>
                    <w:r>
                      <w:t>Korte Voorhout 7</w:t>
                    </w:r>
                  </w:p>
                  <w:p w14:paraId="49574AB8" w14:textId="77777777" w:rsidR="002C7D3D" w:rsidRDefault="000E2B83">
                    <w:pPr>
                      <w:pStyle w:val="StandaardReferentiegegevens"/>
                    </w:pPr>
                    <w:r>
                      <w:t>2511 CW  Den Haag</w:t>
                    </w:r>
                  </w:p>
                  <w:p w14:paraId="34DA4997" w14:textId="77777777" w:rsidR="002C7D3D" w:rsidRDefault="000E2B83">
                    <w:pPr>
                      <w:pStyle w:val="StandaardReferentiegegevens"/>
                    </w:pPr>
                    <w:r>
                      <w:t>Postbus 20201</w:t>
                    </w:r>
                  </w:p>
                  <w:p w14:paraId="3545EA0B" w14:textId="77777777" w:rsidR="002C7D3D" w:rsidRDefault="000E2B83">
                    <w:pPr>
                      <w:pStyle w:val="StandaardReferentiegegevens"/>
                    </w:pPr>
                    <w:r>
                      <w:t>2500 EE  Den Haag</w:t>
                    </w:r>
                  </w:p>
                  <w:p w14:paraId="563066B6" w14:textId="77777777" w:rsidR="002C7D3D" w:rsidRDefault="000E2B83">
                    <w:pPr>
                      <w:pStyle w:val="StandaardReferentiegegevens"/>
                    </w:pPr>
                    <w:proofErr w:type="gramStart"/>
                    <w:r>
                      <w:t>www.rijksoverheid.nl/fin</w:t>
                    </w:r>
                    <w:proofErr w:type="gramEnd"/>
                  </w:p>
                  <w:p w14:paraId="19E12F3C" w14:textId="77777777" w:rsidR="002C7D3D" w:rsidRDefault="002C7D3D">
                    <w:pPr>
                      <w:pStyle w:val="WitregelW2"/>
                    </w:pPr>
                  </w:p>
                  <w:p w14:paraId="6EDDBF7A" w14:textId="77777777" w:rsidR="002C7D3D" w:rsidRDefault="000E2B83">
                    <w:pPr>
                      <w:pStyle w:val="StandaardReferentiegegevensKop"/>
                    </w:pPr>
                    <w:r>
                      <w:t>Ons kenmerk</w:t>
                    </w:r>
                  </w:p>
                  <w:p w14:paraId="4C078B61" w14:textId="6F089206" w:rsidR="00D36DDF" w:rsidRDefault="00C20C4A">
                    <w:pPr>
                      <w:pStyle w:val="StandaardReferentiegegevens"/>
                    </w:pPr>
                    <w:fldSimple w:instr=" DOCPROPERTY  &quot;Kenmerk&quot;  \* MERGEFORMAT ">
                      <w:r w:rsidR="007462E7">
                        <w:t>2025-0000547123</w:t>
                      </w:r>
                    </w:fldSimple>
                  </w:p>
                  <w:p w14:paraId="587ADCFB" w14:textId="77777777" w:rsidR="002C7D3D" w:rsidRDefault="002C7D3D">
                    <w:pPr>
                      <w:pStyle w:val="WitregelW1"/>
                    </w:pPr>
                  </w:p>
                  <w:p w14:paraId="7C7C73BA" w14:textId="77777777" w:rsidR="002C7D3D" w:rsidRDefault="000E2B83">
                    <w:pPr>
                      <w:pStyle w:val="StandaardReferentiegegevensKop"/>
                    </w:pPr>
                    <w:r>
                      <w:t>Uw brief (kenmerk)</w:t>
                    </w:r>
                  </w:p>
                  <w:p w14:paraId="4D70B203" w14:textId="77777777" w:rsidR="00277D4A" w:rsidRPr="00277D4A" w:rsidRDefault="00277D4A" w:rsidP="00277D4A">
                    <w:pPr>
                      <w:rPr>
                        <w:sz w:val="13"/>
                        <w:szCs w:val="13"/>
                      </w:rPr>
                    </w:pPr>
                    <w:r w:rsidRPr="00277D4A">
                      <w:rPr>
                        <w:sz w:val="13"/>
                        <w:szCs w:val="13"/>
                      </w:rPr>
                      <w:t>2025D47352</w:t>
                    </w:r>
                  </w:p>
                  <w:p w14:paraId="7769F846" w14:textId="6A61445B" w:rsidR="00D36DDF" w:rsidRDefault="00C20C4A">
                    <w:pPr>
                      <w:pStyle w:val="StandaardReferentiegegevens"/>
                    </w:pPr>
                    <w:r>
                      <w:fldChar w:fldCharType="begin"/>
                    </w:r>
                    <w:r>
                      <w:instrText xml:space="preserve"> DOCPROPERTY  "UwKenmerk"  \* MERGEFORMAT </w:instrText>
                    </w:r>
                    <w:r>
                      <w:fldChar w:fldCharType="end"/>
                    </w:r>
                  </w:p>
                  <w:p w14:paraId="376697CE" w14:textId="77777777" w:rsidR="002C7D3D" w:rsidRDefault="002C7D3D">
                    <w:pPr>
                      <w:pStyle w:val="WitregelW1"/>
                    </w:pPr>
                  </w:p>
                  <w:p w14:paraId="75DA95C5" w14:textId="77777777" w:rsidR="002C7D3D" w:rsidRDefault="000E2B83">
                    <w:pPr>
                      <w:pStyle w:val="StandaardReferentiegegevensKop"/>
                    </w:pPr>
                    <w:r>
                      <w:t>Bijlagen</w:t>
                    </w:r>
                  </w:p>
                  <w:p w14:paraId="5DB0A1E6" w14:textId="77777777" w:rsidR="002C7D3D" w:rsidRDefault="000E2B83">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EDEE8F" wp14:editId="06E5AFB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6C6CB67" w14:textId="77777777" w:rsidR="002C7D3D" w:rsidRDefault="000E2B8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4EDEE8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6C6CB67" w14:textId="77777777" w:rsidR="002C7D3D" w:rsidRDefault="000E2B83">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492585E" wp14:editId="6D54EF0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B87A9F4" w14:textId="7632BD6B" w:rsidR="00D36DDF" w:rsidRDefault="00C20C4A">
                          <w:pPr>
                            <w:pStyle w:val="Rubricering"/>
                          </w:pPr>
                          <w:r>
                            <w:fldChar w:fldCharType="begin"/>
                          </w:r>
                          <w:r>
                            <w:instrText xml:space="preserve"> DOCPROPERTY  "Rubricering"  \* MERGEFORMAT </w:instrText>
                          </w:r>
                          <w:r>
                            <w:fldChar w:fldCharType="end"/>
                          </w:r>
                        </w:p>
                        <w:p w14:paraId="09B33BB1" w14:textId="77777777" w:rsidR="007462E7" w:rsidRDefault="000E2B83">
                          <w:r>
                            <w:fldChar w:fldCharType="begin"/>
                          </w:r>
                          <w:r w:rsidR="00C20C4A">
                            <w:instrText xml:space="preserve"> DOCPROPERTY  "Aan"  \* MERGEFORMAT </w:instrText>
                          </w:r>
                          <w:r>
                            <w:fldChar w:fldCharType="separate"/>
                          </w:r>
                          <w:r w:rsidR="007462E7">
                            <w:t>Voorzitter van de Tweede Kamer der Staten-Generaal</w:t>
                          </w:r>
                        </w:p>
                        <w:p w14:paraId="3F9052D2" w14:textId="77777777" w:rsidR="007462E7" w:rsidRDefault="007462E7">
                          <w:r>
                            <w:t>Postbus 20018</w:t>
                          </w:r>
                        </w:p>
                        <w:p w14:paraId="2F5D64BE" w14:textId="77777777" w:rsidR="007462E7" w:rsidRDefault="007462E7">
                          <w:r>
                            <w:t>2500 EA  DEN HAAG</w:t>
                          </w:r>
                        </w:p>
                        <w:p w14:paraId="57A17F31" w14:textId="77777777" w:rsidR="007462E7" w:rsidRDefault="007462E7"/>
                        <w:p w14:paraId="01869B91" w14:textId="77777777" w:rsidR="002C7D3D" w:rsidRDefault="000E2B83">
                          <w:r>
                            <w:fldChar w:fldCharType="end"/>
                          </w:r>
                        </w:p>
                      </w:txbxContent>
                    </wps:txbx>
                    <wps:bodyPr vert="horz" wrap="square" lIns="0" tIns="0" rIns="0" bIns="0" anchor="t" anchorCtr="0"/>
                  </wps:wsp>
                </a:graphicData>
              </a:graphic>
            </wp:anchor>
          </w:drawing>
        </mc:Choice>
        <mc:Fallback>
          <w:pict>
            <v:shape w14:anchorId="349258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B87A9F4" w14:textId="7632BD6B" w:rsidR="00D36DDF" w:rsidRDefault="00C20C4A">
                    <w:pPr>
                      <w:pStyle w:val="Rubricering"/>
                    </w:pPr>
                    <w:r>
                      <w:fldChar w:fldCharType="begin"/>
                    </w:r>
                    <w:r>
                      <w:instrText xml:space="preserve"> DOCPROPERTY  "Rubricering"  \* MERGEFORMAT </w:instrText>
                    </w:r>
                    <w:r>
                      <w:fldChar w:fldCharType="end"/>
                    </w:r>
                  </w:p>
                  <w:p w14:paraId="09B33BB1" w14:textId="77777777" w:rsidR="007462E7" w:rsidRDefault="000E2B83">
                    <w:r>
                      <w:fldChar w:fldCharType="begin"/>
                    </w:r>
                    <w:r w:rsidR="00C20C4A">
                      <w:instrText xml:space="preserve"> DOCPROPERTY  "Aan"  \* MERGEFORMAT </w:instrText>
                    </w:r>
                    <w:r>
                      <w:fldChar w:fldCharType="separate"/>
                    </w:r>
                    <w:r w:rsidR="007462E7">
                      <w:t>Voorzitter van de Tweede Kamer der Staten-Generaal</w:t>
                    </w:r>
                  </w:p>
                  <w:p w14:paraId="3F9052D2" w14:textId="77777777" w:rsidR="007462E7" w:rsidRDefault="007462E7">
                    <w:r>
                      <w:t>Postbus 20018</w:t>
                    </w:r>
                  </w:p>
                  <w:p w14:paraId="2F5D64BE" w14:textId="77777777" w:rsidR="007462E7" w:rsidRDefault="007462E7">
                    <w:r>
                      <w:t>2500 EA  DEN HAAG</w:t>
                    </w:r>
                  </w:p>
                  <w:p w14:paraId="57A17F31" w14:textId="77777777" w:rsidR="007462E7" w:rsidRDefault="007462E7"/>
                  <w:p w14:paraId="01869B91" w14:textId="77777777" w:rsidR="002C7D3D" w:rsidRDefault="000E2B8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E62DA6C" wp14:editId="61625D3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160937" w14:textId="77777777" w:rsidR="00D36DDF" w:rsidRDefault="00C20C4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62DA6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9160937" w14:textId="77777777" w:rsidR="00D36DDF" w:rsidRDefault="00C20C4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59FDEAE" wp14:editId="312E73C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C7D3D" w14:paraId="2BC1214B" w14:textId="77777777">
                            <w:trPr>
                              <w:trHeight w:val="200"/>
                            </w:trPr>
                            <w:tc>
                              <w:tcPr>
                                <w:tcW w:w="1140" w:type="dxa"/>
                              </w:tcPr>
                              <w:p w14:paraId="70756E64" w14:textId="77777777" w:rsidR="002C7D3D" w:rsidRDefault="002C7D3D"/>
                            </w:tc>
                            <w:tc>
                              <w:tcPr>
                                <w:tcW w:w="5400" w:type="dxa"/>
                              </w:tcPr>
                              <w:p w14:paraId="6418F021" w14:textId="77777777" w:rsidR="002C7D3D" w:rsidRDefault="002C7D3D"/>
                            </w:tc>
                          </w:tr>
                          <w:tr w:rsidR="002C7D3D" w14:paraId="66786C1F" w14:textId="77777777">
                            <w:trPr>
                              <w:trHeight w:val="240"/>
                            </w:trPr>
                            <w:tc>
                              <w:tcPr>
                                <w:tcW w:w="1140" w:type="dxa"/>
                              </w:tcPr>
                              <w:p w14:paraId="2B270507" w14:textId="77777777" w:rsidR="002C7D3D" w:rsidRDefault="000E2B83">
                                <w:r>
                                  <w:t>Datum</w:t>
                                </w:r>
                              </w:p>
                            </w:tc>
                            <w:tc>
                              <w:tcPr>
                                <w:tcW w:w="5400" w:type="dxa"/>
                              </w:tcPr>
                              <w:p w14:paraId="12F89BA9" w14:textId="496B0CA7" w:rsidR="002C7D3D" w:rsidRDefault="007462E7">
                                <w:r>
                                  <w:t>18 december 2025</w:t>
                                </w:r>
                              </w:p>
                            </w:tc>
                          </w:tr>
                          <w:tr w:rsidR="002C7D3D" w14:paraId="67F32D2D" w14:textId="77777777">
                            <w:trPr>
                              <w:trHeight w:val="240"/>
                            </w:trPr>
                            <w:tc>
                              <w:tcPr>
                                <w:tcW w:w="1140" w:type="dxa"/>
                              </w:tcPr>
                              <w:p w14:paraId="34D8D746" w14:textId="77777777" w:rsidR="002C7D3D" w:rsidRDefault="000E2B83">
                                <w:r>
                                  <w:t>Betreft</w:t>
                                </w:r>
                              </w:p>
                            </w:tc>
                            <w:tc>
                              <w:tcPr>
                                <w:tcW w:w="5400" w:type="dxa"/>
                              </w:tcPr>
                              <w:p w14:paraId="7DC7757D" w14:textId="3DBDA1CE" w:rsidR="00D36DDF" w:rsidRDefault="00C20C4A">
                                <w:fldSimple w:instr=" DOCPROPERTY  &quot;Onderwerp&quot;  \* MERGEFORMAT ">
                                  <w:r w:rsidR="007462E7">
                                    <w:t>Beantwoording vragen naar aanleiding van het verslag van de rapporteurs over de begroting Financiën en Nationale Schuld 2026</w:t>
                                  </w:r>
                                </w:fldSimple>
                              </w:p>
                            </w:tc>
                          </w:tr>
                          <w:tr w:rsidR="002C7D3D" w14:paraId="7D8CF2C9" w14:textId="77777777">
                            <w:trPr>
                              <w:trHeight w:val="200"/>
                            </w:trPr>
                            <w:tc>
                              <w:tcPr>
                                <w:tcW w:w="1140" w:type="dxa"/>
                              </w:tcPr>
                              <w:p w14:paraId="7718FF6C" w14:textId="77777777" w:rsidR="002C7D3D" w:rsidRDefault="002C7D3D"/>
                            </w:tc>
                            <w:tc>
                              <w:tcPr>
                                <w:tcW w:w="4738" w:type="dxa"/>
                              </w:tcPr>
                              <w:p w14:paraId="150BB78A" w14:textId="77777777" w:rsidR="002C7D3D" w:rsidRDefault="002C7D3D"/>
                            </w:tc>
                          </w:tr>
                        </w:tbl>
                        <w:p w14:paraId="234AF811" w14:textId="77777777" w:rsidR="000E2B83" w:rsidRDefault="000E2B83"/>
                      </w:txbxContent>
                    </wps:txbx>
                    <wps:bodyPr vert="horz" wrap="square" lIns="0" tIns="0" rIns="0" bIns="0" anchor="t" anchorCtr="0"/>
                  </wps:wsp>
                </a:graphicData>
              </a:graphic>
            </wp:anchor>
          </w:drawing>
        </mc:Choice>
        <mc:Fallback>
          <w:pict>
            <v:shape w14:anchorId="159FDEA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C7D3D" w14:paraId="2BC1214B" w14:textId="77777777">
                      <w:trPr>
                        <w:trHeight w:val="200"/>
                      </w:trPr>
                      <w:tc>
                        <w:tcPr>
                          <w:tcW w:w="1140" w:type="dxa"/>
                        </w:tcPr>
                        <w:p w14:paraId="70756E64" w14:textId="77777777" w:rsidR="002C7D3D" w:rsidRDefault="002C7D3D"/>
                      </w:tc>
                      <w:tc>
                        <w:tcPr>
                          <w:tcW w:w="5400" w:type="dxa"/>
                        </w:tcPr>
                        <w:p w14:paraId="6418F021" w14:textId="77777777" w:rsidR="002C7D3D" w:rsidRDefault="002C7D3D"/>
                      </w:tc>
                    </w:tr>
                    <w:tr w:rsidR="002C7D3D" w14:paraId="66786C1F" w14:textId="77777777">
                      <w:trPr>
                        <w:trHeight w:val="240"/>
                      </w:trPr>
                      <w:tc>
                        <w:tcPr>
                          <w:tcW w:w="1140" w:type="dxa"/>
                        </w:tcPr>
                        <w:p w14:paraId="2B270507" w14:textId="77777777" w:rsidR="002C7D3D" w:rsidRDefault="000E2B83">
                          <w:r>
                            <w:t>Datum</w:t>
                          </w:r>
                        </w:p>
                      </w:tc>
                      <w:tc>
                        <w:tcPr>
                          <w:tcW w:w="5400" w:type="dxa"/>
                        </w:tcPr>
                        <w:p w14:paraId="12F89BA9" w14:textId="496B0CA7" w:rsidR="002C7D3D" w:rsidRDefault="007462E7">
                          <w:r>
                            <w:t>18 december 2025</w:t>
                          </w:r>
                        </w:p>
                      </w:tc>
                    </w:tr>
                    <w:tr w:rsidR="002C7D3D" w14:paraId="67F32D2D" w14:textId="77777777">
                      <w:trPr>
                        <w:trHeight w:val="240"/>
                      </w:trPr>
                      <w:tc>
                        <w:tcPr>
                          <w:tcW w:w="1140" w:type="dxa"/>
                        </w:tcPr>
                        <w:p w14:paraId="34D8D746" w14:textId="77777777" w:rsidR="002C7D3D" w:rsidRDefault="000E2B83">
                          <w:r>
                            <w:t>Betreft</w:t>
                          </w:r>
                        </w:p>
                      </w:tc>
                      <w:tc>
                        <w:tcPr>
                          <w:tcW w:w="5400" w:type="dxa"/>
                        </w:tcPr>
                        <w:p w14:paraId="7DC7757D" w14:textId="3DBDA1CE" w:rsidR="00D36DDF" w:rsidRDefault="00C20C4A">
                          <w:fldSimple w:instr=" DOCPROPERTY  &quot;Onderwerp&quot;  \* MERGEFORMAT ">
                            <w:r w:rsidR="007462E7">
                              <w:t>Beantwoording vragen naar aanleiding van het verslag van de rapporteurs over de begroting Financiën en Nationale Schuld 2026</w:t>
                            </w:r>
                          </w:fldSimple>
                        </w:p>
                      </w:tc>
                    </w:tr>
                    <w:tr w:rsidR="002C7D3D" w14:paraId="7D8CF2C9" w14:textId="77777777">
                      <w:trPr>
                        <w:trHeight w:val="200"/>
                      </w:trPr>
                      <w:tc>
                        <w:tcPr>
                          <w:tcW w:w="1140" w:type="dxa"/>
                        </w:tcPr>
                        <w:p w14:paraId="7718FF6C" w14:textId="77777777" w:rsidR="002C7D3D" w:rsidRDefault="002C7D3D"/>
                      </w:tc>
                      <w:tc>
                        <w:tcPr>
                          <w:tcW w:w="4738" w:type="dxa"/>
                        </w:tcPr>
                        <w:p w14:paraId="150BB78A" w14:textId="77777777" w:rsidR="002C7D3D" w:rsidRDefault="002C7D3D"/>
                      </w:tc>
                    </w:tr>
                  </w:tbl>
                  <w:p w14:paraId="234AF811" w14:textId="77777777" w:rsidR="000E2B83" w:rsidRDefault="000E2B8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E1D8152" wp14:editId="2CF71EA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B1DE668" w14:textId="116390A6" w:rsidR="00D36DDF" w:rsidRDefault="00C20C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1D815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B1DE668" w14:textId="116390A6" w:rsidR="00D36DDF" w:rsidRDefault="00C20C4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F609E4E" wp14:editId="58A5C67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5A4BE23" w14:textId="77777777" w:rsidR="000E2B83" w:rsidRDefault="000E2B83"/>
                      </w:txbxContent>
                    </wps:txbx>
                    <wps:bodyPr vert="horz" wrap="square" lIns="0" tIns="0" rIns="0" bIns="0" anchor="t" anchorCtr="0"/>
                  </wps:wsp>
                </a:graphicData>
              </a:graphic>
            </wp:anchor>
          </w:drawing>
        </mc:Choice>
        <mc:Fallback>
          <w:pict>
            <v:shape w14:anchorId="1F609E4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5A4BE23" w14:textId="77777777" w:rsidR="000E2B83" w:rsidRDefault="000E2B8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C23C7"/>
    <w:multiLevelType w:val="multilevel"/>
    <w:tmpl w:val="A5B278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71EFC02"/>
    <w:multiLevelType w:val="multilevel"/>
    <w:tmpl w:val="2746DA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9041CB7"/>
    <w:multiLevelType w:val="multilevel"/>
    <w:tmpl w:val="9DF6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477DB"/>
    <w:multiLevelType w:val="multilevel"/>
    <w:tmpl w:val="6942204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581AE6"/>
    <w:multiLevelType w:val="hybridMultilevel"/>
    <w:tmpl w:val="3E829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F57DF4"/>
    <w:multiLevelType w:val="hybridMultilevel"/>
    <w:tmpl w:val="425E6B82"/>
    <w:lvl w:ilvl="0" w:tplc="1B1C647C">
      <w:start w:val="4"/>
      <w:numFmt w:val="bullet"/>
      <w:lvlText w:val="-"/>
      <w:lvlJc w:val="left"/>
      <w:pPr>
        <w:ind w:left="360" w:hanging="360"/>
      </w:pPr>
      <w:rPr>
        <w:rFonts w:ascii="Verdana" w:eastAsia="DejaVu Sans"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9F0E098"/>
    <w:multiLevelType w:val="multilevel"/>
    <w:tmpl w:val="2C8F5B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FA3685"/>
    <w:multiLevelType w:val="multilevel"/>
    <w:tmpl w:val="C62B756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2C79BA"/>
    <w:multiLevelType w:val="multilevel"/>
    <w:tmpl w:val="2126C6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6731025">
    <w:abstractNumId w:val="6"/>
  </w:num>
  <w:num w:numId="2" w16cid:durableId="2133860625">
    <w:abstractNumId w:val="7"/>
  </w:num>
  <w:num w:numId="3" w16cid:durableId="1153647172">
    <w:abstractNumId w:val="1"/>
  </w:num>
  <w:num w:numId="4" w16cid:durableId="1305816352">
    <w:abstractNumId w:val="0"/>
  </w:num>
  <w:num w:numId="5" w16cid:durableId="28772448">
    <w:abstractNumId w:val="3"/>
  </w:num>
  <w:num w:numId="6" w16cid:durableId="604382359">
    <w:abstractNumId w:val="8"/>
  </w:num>
  <w:num w:numId="7" w16cid:durableId="1225801793">
    <w:abstractNumId w:val="4"/>
  </w:num>
  <w:num w:numId="8" w16cid:durableId="1828549457">
    <w:abstractNumId w:val="2"/>
  </w:num>
  <w:num w:numId="9" w16cid:durableId="1861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3D"/>
    <w:rsid w:val="000E2B83"/>
    <w:rsid w:val="000F0DF4"/>
    <w:rsid w:val="001A581E"/>
    <w:rsid w:val="001C35A5"/>
    <w:rsid w:val="00277D4A"/>
    <w:rsid w:val="002841A4"/>
    <w:rsid w:val="0029387A"/>
    <w:rsid w:val="002C7D3D"/>
    <w:rsid w:val="002D2B13"/>
    <w:rsid w:val="003F1E5D"/>
    <w:rsid w:val="00403E31"/>
    <w:rsid w:val="004C580E"/>
    <w:rsid w:val="005F0871"/>
    <w:rsid w:val="005F2172"/>
    <w:rsid w:val="00632915"/>
    <w:rsid w:val="00666A79"/>
    <w:rsid w:val="006C7204"/>
    <w:rsid w:val="00727514"/>
    <w:rsid w:val="007462E7"/>
    <w:rsid w:val="00760C19"/>
    <w:rsid w:val="007E2589"/>
    <w:rsid w:val="00811A7B"/>
    <w:rsid w:val="00847C84"/>
    <w:rsid w:val="0088501F"/>
    <w:rsid w:val="00933D6E"/>
    <w:rsid w:val="00960EFA"/>
    <w:rsid w:val="009753CC"/>
    <w:rsid w:val="00A1767D"/>
    <w:rsid w:val="00AC2B04"/>
    <w:rsid w:val="00AD77DA"/>
    <w:rsid w:val="00B371DA"/>
    <w:rsid w:val="00B804AC"/>
    <w:rsid w:val="00BD48E7"/>
    <w:rsid w:val="00C070BA"/>
    <w:rsid w:val="00C20C4A"/>
    <w:rsid w:val="00C27B32"/>
    <w:rsid w:val="00C5318C"/>
    <w:rsid w:val="00C85028"/>
    <w:rsid w:val="00CA5770"/>
    <w:rsid w:val="00CD2272"/>
    <w:rsid w:val="00CE482D"/>
    <w:rsid w:val="00CF24DA"/>
    <w:rsid w:val="00D36DDF"/>
    <w:rsid w:val="00D422C1"/>
    <w:rsid w:val="00D97CDD"/>
    <w:rsid w:val="00E27970"/>
    <w:rsid w:val="00E60E39"/>
    <w:rsid w:val="00EB4A56"/>
    <w:rsid w:val="00F54B57"/>
    <w:rsid w:val="00FB5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1B3B6D8"/>
  <w15:docId w15:val="{2FF23404-1A4B-40FF-B20B-B5674EED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E2B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2B83"/>
    <w:rPr>
      <w:rFonts w:ascii="Verdana" w:hAnsi="Verdana"/>
      <w:color w:val="000000"/>
      <w:sz w:val="18"/>
      <w:szCs w:val="18"/>
    </w:rPr>
  </w:style>
  <w:style w:type="paragraph" w:styleId="Voettekst">
    <w:name w:val="footer"/>
    <w:basedOn w:val="Standaard"/>
    <w:link w:val="VoettekstChar"/>
    <w:uiPriority w:val="99"/>
    <w:unhideWhenUsed/>
    <w:rsid w:val="000E2B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2B83"/>
    <w:rPr>
      <w:rFonts w:ascii="Verdana" w:hAnsi="Verdana"/>
      <w:color w:val="000000"/>
      <w:sz w:val="18"/>
      <w:szCs w:val="18"/>
    </w:rPr>
  </w:style>
  <w:style w:type="paragraph" w:styleId="Voetnoottekst">
    <w:name w:val="footnote text"/>
    <w:basedOn w:val="Standaard"/>
    <w:link w:val="VoetnoottekstChar"/>
    <w:uiPriority w:val="99"/>
    <w:semiHidden/>
    <w:unhideWhenUsed/>
    <w:qFormat/>
    <w:rsid w:val="00A1767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1767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1767D"/>
    <w:rPr>
      <w:vertAlign w:val="superscript"/>
    </w:rPr>
  </w:style>
  <w:style w:type="table" w:styleId="Tabelraster">
    <w:name w:val="Table Grid"/>
    <w:basedOn w:val="Standaardtabel"/>
    <w:uiPriority w:val="39"/>
    <w:rsid w:val="00A1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767D"/>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apple-converted-space">
    <w:name w:val="apple-converted-space"/>
    <w:basedOn w:val="Standaardalinea-lettertype"/>
    <w:rsid w:val="00A1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publicaties/2024/09/13/regeerprogramma-kabinet-schoof"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rr.nl/adviesprojecten/de-deskundige-overheid/documenten/rapporten/2025/07/08/deskundige-overheid" TargetMode="External"/><Relationship Id="rId1" Type="http://schemas.openxmlformats.org/officeDocument/2006/relationships/hyperlink" Target="https://www.rekenkamer.nl/documenten/2025/05/21/reactie-minister-van-financien-op-verantwoordingsonderzoek-2024-financien-en-nationale-schul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529636536548523E-2"/>
          <c:y val="8.0502410602929966E-2"/>
          <c:w val="0.86615184912700005"/>
          <c:h val="0.67504133131770938"/>
        </c:manualLayout>
      </c:layout>
      <c:barChart>
        <c:barDir val="col"/>
        <c:grouping val="clustered"/>
        <c:varyColors val="0"/>
        <c:ser>
          <c:idx val="1"/>
          <c:order val="0"/>
          <c:tx>
            <c:strRef>
              <c:f>data_grafiek!$B$3</c:f>
              <c:strCache>
                <c:ptCount val="1"/>
                <c:pt idx="0">
                  <c:v>Staatsschuld (linkeras)</c:v>
                </c:pt>
              </c:strCache>
            </c:strRef>
          </c:tx>
          <c:spPr>
            <a:solidFill>
              <a:srgbClr val="00B0F0"/>
            </a:solidFill>
            <a:ln>
              <a:solidFill>
                <a:schemeClr val="tx1">
                  <a:alpha val="94000"/>
                </a:schemeClr>
              </a:solidFill>
            </a:ln>
            <a:effectLst/>
          </c:spPr>
          <c:invertIfNegative val="0"/>
          <c:dLbls>
            <c:spPr>
              <a:noFill/>
              <a:ln>
                <a:noFill/>
              </a:ln>
              <a:effectLst/>
            </c:spPr>
            <c:txPr>
              <a:bodyPr/>
              <a:lstStyle/>
              <a:p>
                <a:pPr>
                  <a:defRPr sz="900" b="1">
                    <a:solidFill>
                      <a:schemeClr val="tx1"/>
                    </a:solidFill>
                    <a:latin typeface="Verdana" pitchFamily="34" charset="0"/>
                    <a:ea typeface="Verdana" pitchFamily="34" charset="0"/>
                    <a:cs typeface="Verdana"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data_grafiek!$L$2:$T$2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data_grafiek!$L$3:$T$3</c:f>
              <c:numCache>
                <c:formatCode>#,##0</c:formatCode>
                <c:ptCount val="9"/>
                <c:pt idx="0">
                  <c:v>405.03533127580386</c:v>
                </c:pt>
                <c:pt idx="1">
                  <c:v>406.64299878876301</c:v>
                </c:pt>
                <c:pt idx="2">
                  <c:v>416.976</c:v>
                </c:pt>
                <c:pt idx="3">
                  <c:v>457.89</c:v>
                </c:pt>
                <c:pt idx="4">
                  <c:v>514.38900000000001</c:v>
                </c:pt>
                <c:pt idx="5">
                  <c:v>540.45899999999995</c:v>
                </c:pt>
                <c:pt idx="6">
                  <c:v>572.76</c:v>
                </c:pt>
                <c:pt idx="7">
                  <c:v>601.221</c:v>
                </c:pt>
                <c:pt idx="8">
                  <c:v>632.32299999999998</c:v>
                </c:pt>
              </c:numCache>
            </c:numRef>
          </c:val>
          <c:extLst>
            <c:ext xmlns:c16="http://schemas.microsoft.com/office/drawing/2014/chart" uri="{C3380CC4-5D6E-409C-BE32-E72D297353CC}">
              <c16:uniqueId val="{00000000-CDCE-479C-A3B4-84605EA8AB6A}"/>
            </c:ext>
          </c:extLst>
        </c:ser>
        <c:dLbls>
          <c:showLegendKey val="0"/>
          <c:showVal val="1"/>
          <c:showCatName val="0"/>
          <c:showSerName val="0"/>
          <c:showPercent val="0"/>
          <c:showBubbleSize val="0"/>
        </c:dLbls>
        <c:gapWidth val="75"/>
        <c:axId val="58008704"/>
        <c:axId val="58010240"/>
      </c:barChart>
      <c:lineChart>
        <c:grouping val="standard"/>
        <c:varyColors val="0"/>
        <c:ser>
          <c:idx val="2"/>
          <c:order val="1"/>
          <c:tx>
            <c:strRef>
              <c:f>data_grafiek!$B$4</c:f>
              <c:strCache>
                <c:ptCount val="1"/>
                <c:pt idx="0">
                  <c:v>Rentelasten staatsschuld (art. 11 en 12)</c:v>
                </c:pt>
              </c:strCache>
            </c:strRef>
          </c:tx>
          <c:spPr>
            <a:ln w="25400" cmpd="sng">
              <a:solidFill>
                <a:srgbClr val="CA005D"/>
              </a:solidFill>
            </a:ln>
          </c:spPr>
          <c:marker>
            <c:symbol val="none"/>
          </c:marker>
          <c:dLbls>
            <c:dLbl>
              <c:idx val="6"/>
              <c:layout>
                <c:manualLayout>
                  <c:x val="-4.6038372675355717E-2"/>
                  <c:y val="3.581097203144451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DCE-479C-A3B4-84605EA8AB6A}"/>
                </c:ext>
              </c:extLst>
            </c:dLbl>
            <c:dLbl>
              <c:idx val="7"/>
              <c:layout>
                <c:manualLayout>
                  <c:x val="-4.4698190786012788E-2"/>
                  <c:y val="4.9912618416555386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CDCE-479C-A3B4-84605EA8AB6A}"/>
                </c:ext>
              </c:extLst>
            </c:dLbl>
            <c:dLbl>
              <c:idx val="8"/>
              <c:layout>
                <c:manualLayout>
                  <c:x val="-4.4698190786012885E-2"/>
                  <c:y val="5.6382080004127248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DCE-479C-A3B4-84605EA8AB6A}"/>
                </c:ext>
              </c:extLst>
            </c:dLbl>
            <c:dLbl>
              <c:idx val="60"/>
              <c:layout>
                <c:manualLayout>
                  <c:x val="-2.3770017488857906E-2"/>
                  <c:y val="2.7006310731534734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DCE-479C-A3B4-84605EA8AB6A}"/>
                </c:ext>
              </c:extLst>
            </c:dLbl>
            <c:dLbl>
              <c:idx val="61"/>
              <c:layout>
                <c:manualLayout>
                  <c:x val="-2.786418330257346E-2"/>
                  <c:y val="2.4916446572704982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CDCE-479C-A3B4-84605EA8AB6A}"/>
                </c:ext>
              </c:extLst>
            </c:dLbl>
            <c:numFmt formatCode="#,##0.0" sourceLinked="0"/>
            <c:spPr>
              <a:noFill/>
              <a:ln>
                <a:noFill/>
              </a:ln>
              <a:effectLst/>
            </c:spPr>
            <c:txPr>
              <a:bodyPr/>
              <a:lstStyle/>
              <a:p>
                <a:pPr>
                  <a:defRPr sz="700" b="1">
                    <a:solidFill>
                      <a:schemeClr val="bg1"/>
                    </a:solidFill>
                    <a:latin typeface="Verdana" pitchFamily="34" charset="0"/>
                    <a:ea typeface="Verdana" pitchFamily="34" charset="0"/>
                    <a:cs typeface="Verdana" pitchFamily="34" charset="0"/>
                  </a:defRPr>
                </a:pPr>
                <a:endParaRPr lang="nl-NL"/>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numRef>
              <c:f>data_grafiek!$L$2:$T$2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data_grafiek!$L$4:$T$4</c:f>
              <c:numCache>
                <c:formatCode>#,##0.0</c:formatCode>
                <c:ptCount val="9"/>
                <c:pt idx="0">
                  <c:v>4.3273020000000004</c:v>
                </c:pt>
                <c:pt idx="1">
                  <c:v>7.1933670000000003</c:v>
                </c:pt>
                <c:pt idx="2">
                  <c:v>9.066865</c:v>
                </c:pt>
                <c:pt idx="3">
                  <c:v>8.7675450000000001</c:v>
                </c:pt>
                <c:pt idx="4">
                  <c:v>10.651354</c:v>
                </c:pt>
                <c:pt idx="5">
                  <c:v>13.046931000000001</c:v>
                </c:pt>
                <c:pt idx="6">
                  <c:v>14.776002999999999</c:v>
                </c:pt>
                <c:pt idx="7">
                  <c:v>16.852889999999999</c:v>
                </c:pt>
                <c:pt idx="8">
                  <c:v>18.814238</c:v>
                </c:pt>
              </c:numCache>
            </c:numRef>
          </c:val>
          <c:smooth val="0"/>
          <c:extLst>
            <c:ext xmlns:c16="http://schemas.microsoft.com/office/drawing/2014/chart" uri="{C3380CC4-5D6E-409C-BE32-E72D297353CC}">
              <c16:uniqueId val="{00000006-CDCE-479C-A3B4-84605EA8AB6A}"/>
            </c:ext>
          </c:extLst>
        </c:ser>
        <c:dLbls>
          <c:showLegendKey val="0"/>
          <c:showVal val="1"/>
          <c:showCatName val="0"/>
          <c:showSerName val="0"/>
          <c:showPercent val="0"/>
          <c:showBubbleSize val="0"/>
        </c:dLbls>
        <c:marker val="1"/>
        <c:smooth val="0"/>
        <c:axId val="58024320"/>
        <c:axId val="58025856"/>
        <c:extLst>
          <c:ext xmlns:c15="http://schemas.microsoft.com/office/drawing/2012/chart" uri="{02D57815-91ED-43cb-92C2-25804820EDAC}">
            <c15:filteredLineSeries>
              <c15:ser>
                <c:idx val="0"/>
                <c:order val="2"/>
                <c:tx>
                  <c:strRef>
                    <c:extLst>
                      <c:ext uri="{02D57815-91ED-43cb-92C2-25804820EDAC}">
                        <c15:formulaRef>
                          <c15:sqref>data_grafiek!$B$5</c15:sqref>
                        </c15:formulaRef>
                      </c:ext>
                    </c:extLst>
                    <c:strCache>
                      <c:ptCount val="1"/>
                      <c:pt idx="0">
                        <c:v>Rentelasten staatsschuld, incl. rentederivaten </c:v>
                      </c:pt>
                    </c:strCache>
                  </c:strRef>
                </c:tx>
                <c:spPr>
                  <a:ln w="25400">
                    <a:solidFill>
                      <a:srgbClr val="42145F"/>
                    </a:solidFill>
                  </a:ln>
                </c:spPr>
                <c:marker>
                  <c:symbol val="none"/>
                </c:marker>
                <c:dLbls>
                  <c:spPr>
                    <a:ln>
                      <a:solidFill>
                        <a:schemeClr val="accent1"/>
                      </a:solidFill>
                    </a:ln>
                  </c:spPr>
                  <c:txPr>
                    <a:bodyPr/>
                    <a:lstStyle/>
                    <a:p>
                      <a:pPr>
                        <a:defRPr b="1">
                          <a:solidFill>
                            <a:schemeClr val="bg1"/>
                          </a:solidFill>
                          <a:latin typeface="Verdana" pitchFamily="34" charset="0"/>
                          <a:ea typeface="Verdana" pitchFamily="34" charset="0"/>
                          <a:cs typeface="Verdana" pitchFamily="34" charset="0"/>
                        </a:defRPr>
                      </a:pPr>
                      <a:endParaRPr lang="nl-NL"/>
                    </a:p>
                  </c:txPr>
                  <c:dLblPos val="b"/>
                  <c:showLegendKey val="0"/>
                  <c:showVal val="1"/>
                  <c:showCatName val="0"/>
                  <c:showSerName val="0"/>
                  <c:showPercent val="0"/>
                  <c:showBubbleSize val="0"/>
                  <c:separator>. </c:separator>
                  <c:showLeaderLines val="0"/>
                  <c:extLst>
                    <c:ext uri="{CE6537A1-D6FC-4f65-9D91-7224C49458BB}">
                      <c15:showLeaderLines val="0"/>
                    </c:ext>
                  </c:extLst>
                </c:dLbls>
                <c:cat>
                  <c:numRef>
                    <c:extLst>
                      <c:ext uri="{02D57815-91ED-43cb-92C2-25804820EDAC}">
                        <c15:formulaRef>
                          <c15:sqref>data_grafiek!$L$2:$T$2</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c:ext uri="{02D57815-91ED-43cb-92C2-25804820EDAC}">
                        <c15:formulaRef>
                          <c15:sqref>data_grafiek!$L$5:$T$5</c15:sqref>
                        </c15:formulaRef>
                      </c:ext>
                    </c:extLst>
                    <c:numCache>
                      <c:formatCode>#,##0.0</c:formatCode>
                      <c:ptCount val="9"/>
                      <c:pt idx="0">
                        <c:v>3.8114720000000002</c:v>
                      </c:pt>
                      <c:pt idx="1">
                        <c:v>7.2582149999999999</c:v>
                      </c:pt>
                      <c:pt idx="2">
                        <c:v>9.1189239999999998</c:v>
                      </c:pt>
                      <c:pt idx="3">
                        <c:v>8.7675450000000001</c:v>
                      </c:pt>
                      <c:pt idx="4">
                        <c:v>10.651354</c:v>
                      </c:pt>
                      <c:pt idx="5">
                        <c:v>13.046931000000001</c:v>
                      </c:pt>
                      <c:pt idx="6">
                        <c:v>14.776002999999999</c:v>
                      </c:pt>
                      <c:pt idx="7">
                        <c:v>16.852889999999999</c:v>
                      </c:pt>
                      <c:pt idx="8">
                        <c:v>18.814238</c:v>
                      </c:pt>
                    </c:numCache>
                  </c:numRef>
                </c:val>
                <c:smooth val="0"/>
                <c:extLst>
                  <c:ext xmlns:c16="http://schemas.microsoft.com/office/drawing/2014/chart" uri="{C3380CC4-5D6E-409C-BE32-E72D297353CC}">
                    <c16:uniqueId val="{00000007-CDCE-479C-A3B4-84605EA8AB6A}"/>
                  </c:ext>
                </c:extLst>
              </c15:ser>
            </c15:filteredLineSeries>
          </c:ext>
        </c:extLst>
      </c:lineChart>
      <c:catAx>
        <c:axId val="58008704"/>
        <c:scaling>
          <c:orientation val="minMax"/>
        </c:scaling>
        <c:delete val="0"/>
        <c:axPos val="b"/>
        <c:numFmt formatCode="General" sourceLinked="1"/>
        <c:majorTickMark val="none"/>
        <c:minorTickMark val="none"/>
        <c:tickLblPos val="nextTo"/>
        <c:spPr>
          <a:ln>
            <a:noFill/>
          </a:ln>
        </c:spPr>
        <c:txPr>
          <a:bodyPr rot="0" vert="horz"/>
          <a:lstStyle/>
          <a:p>
            <a:pPr>
              <a:defRPr/>
            </a:pPr>
            <a:endParaRPr lang="nl-NL"/>
          </a:p>
        </c:txPr>
        <c:crossAx val="58010240"/>
        <c:crosses val="autoZero"/>
        <c:auto val="1"/>
        <c:lblAlgn val="ctr"/>
        <c:lblOffset val="100"/>
        <c:noMultiLvlLbl val="0"/>
      </c:catAx>
      <c:valAx>
        <c:axId val="58010240"/>
        <c:scaling>
          <c:orientation val="minMax"/>
          <c:min val="0"/>
        </c:scaling>
        <c:delete val="0"/>
        <c:axPos val="l"/>
        <c:majorGridlines>
          <c:spPr>
            <a:ln>
              <a:solidFill>
                <a:schemeClr val="bg1">
                  <a:lumMod val="50000"/>
                </a:schemeClr>
              </a:solidFill>
              <a:prstDash val="sysDot"/>
            </a:ln>
          </c:spPr>
        </c:majorGridlines>
        <c:numFmt formatCode="#,##0" sourceLinked="0"/>
        <c:majorTickMark val="none"/>
        <c:minorTickMark val="none"/>
        <c:tickLblPos val="nextTo"/>
        <c:spPr>
          <a:ln>
            <a:noFill/>
          </a:ln>
        </c:spPr>
        <c:txPr>
          <a:bodyPr rot="0" vert="horz"/>
          <a:lstStyle/>
          <a:p>
            <a:pPr>
              <a:defRPr/>
            </a:pPr>
            <a:endParaRPr lang="nl-NL"/>
          </a:p>
        </c:txPr>
        <c:crossAx val="58008704"/>
        <c:crosses val="autoZero"/>
        <c:crossBetween val="between"/>
        <c:majorUnit val="50"/>
      </c:valAx>
      <c:catAx>
        <c:axId val="58024320"/>
        <c:scaling>
          <c:orientation val="minMax"/>
        </c:scaling>
        <c:delete val="1"/>
        <c:axPos val="b"/>
        <c:numFmt formatCode="General" sourceLinked="1"/>
        <c:majorTickMark val="out"/>
        <c:minorTickMark val="none"/>
        <c:tickLblPos val="none"/>
        <c:crossAx val="58025856"/>
        <c:crosses val="autoZero"/>
        <c:auto val="1"/>
        <c:lblAlgn val="ctr"/>
        <c:lblOffset val="100"/>
        <c:noMultiLvlLbl val="0"/>
      </c:catAx>
      <c:valAx>
        <c:axId val="58025856"/>
        <c:scaling>
          <c:orientation val="minMax"/>
          <c:max val="20"/>
          <c:min val="0"/>
        </c:scaling>
        <c:delete val="0"/>
        <c:axPos val="r"/>
        <c:numFmt formatCode="#,##0" sourceLinked="0"/>
        <c:majorTickMark val="out"/>
        <c:minorTickMark val="none"/>
        <c:tickLblPos val="nextTo"/>
        <c:spPr>
          <a:ln>
            <a:noFill/>
          </a:ln>
        </c:spPr>
        <c:txPr>
          <a:bodyPr rot="0" vert="horz"/>
          <a:lstStyle/>
          <a:p>
            <a:pPr>
              <a:defRPr/>
            </a:pPr>
            <a:endParaRPr lang="nl-NL"/>
          </a:p>
        </c:txPr>
        <c:crossAx val="58024320"/>
        <c:crosses val="max"/>
        <c:crossBetween val="between"/>
        <c:majorUnit val="2"/>
      </c:valAx>
      <c:spPr>
        <a:solidFill>
          <a:schemeClr val="lt1"/>
        </a:solidFill>
        <a:ln w="12700" cap="flat" cmpd="sng" algn="ctr">
          <a:solidFill>
            <a:prstClr val="black"/>
          </a:solidFill>
          <a:prstDash val="solid"/>
        </a:ln>
        <a:effectLst/>
      </c:spPr>
    </c:plotArea>
    <c:legend>
      <c:legendPos val="b"/>
      <c:layout>
        <c:manualLayout>
          <c:xMode val="edge"/>
          <c:yMode val="edge"/>
          <c:x val="7.9780311428515688E-2"/>
          <c:y val="0.83208148287130568"/>
          <c:w val="0.74081319159567693"/>
          <c:h val="0.14075624090094124"/>
        </c:manualLayout>
      </c:layout>
      <c:overlay val="0"/>
      <c:spPr>
        <a:ln>
          <a:noFill/>
        </a:ln>
      </c:spPr>
      <c:txPr>
        <a:bodyPr/>
        <a:lstStyle/>
        <a:p>
          <a:pPr>
            <a:defRPr sz="1200" baseline="0"/>
          </a:pPr>
          <a:endParaRPr lang="nl-NL"/>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nl-NL"/>
    </a:p>
  </c:txPr>
  <c:externalData r:id="rId2">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6</ap:Pages>
  <ap:Words>1790</ap:Words>
  <ap:Characters>9851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naar aanleiding van het verslag van de rapporteurs over de begroting Financiën en Nationale Schuld 2026</vt:lpstr>
    </vt:vector>
  </ap:TitlesOfParts>
  <ap:LinksUpToDate>false</ap:LinksUpToDate>
  <ap:CharactersWithSpaces>11618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2025-12-18T13:39:00.0000000Z</dcterms:created>
  <dcterms:modified xsi:type="dcterms:W3CDTF">2025-12-18T13:39:00.0000000Z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naar aanleiding van het verslag van de rapporteurs over de begroting Financiën en Nationale Schuld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2025-0000547123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naar aanleiding van het verslag van de rapporteurs over de begroting Financiën en Nationale Schuld 2026</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2025-11-21T10:55:33Z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0176dd32-e079-4a04-aeb0-68dc48b99793</vt:lpwstr>
  </property>
  <property fmtid="{D5CDD505-2E9C-101B-9397-08002B2CF9AE}" pid="37" name="MSIP_Label_0b3866f6-513b-41e9-9aa1-311b4823e2dc_ContentBits">
    <vt:lpwstr>0</vt:lpwstr>
  </property>
</Properties>
</file>