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7B4BC5" w:rsidR="00DB0C62" w:rsidP="005A1FFB" w:rsidRDefault="00DB0C62" w14:paraId="5A632BEC" w14:textId="5EDA2278">
      <w:pPr>
        <w:spacing w:after="0" w:line="276" w:lineRule="auto"/>
        <w:rPr>
          <w:rFonts w:ascii="Verdana" w:hAnsi="Verdana"/>
          <w:b/>
          <w:sz w:val="18"/>
          <w:szCs w:val="18"/>
        </w:rPr>
      </w:pPr>
      <w:r w:rsidRPr="007B4BC5">
        <w:rPr>
          <w:rFonts w:ascii="Verdana" w:hAnsi="Verdana"/>
          <w:b/>
          <w:sz w:val="18"/>
          <w:szCs w:val="18"/>
        </w:rPr>
        <w:t xml:space="preserve">BIJLAGE </w:t>
      </w:r>
      <w:r w:rsidR="00C24AC0">
        <w:rPr>
          <w:rFonts w:ascii="Verdana" w:hAnsi="Verdana"/>
          <w:b/>
          <w:sz w:val="18"/>
          <w:szCs w:val="18"/>
        </w:rPr>
        <w:t>3</w:t>
      </w:r>
      <w:r w:rsidRPr="007B4BC5">
        <w:rPr>
          <w:rFonts w:ascii="Verdana" w:hAnsi="Verdana"/>
          <w:b/>
          <w:sz w:val="18"/>
          <w:szCs w:val="18"/>
        </w:rPr>
        <w:t xml:space="preserve"> – Lessen uit Spanje voor de Nederlandse aanpak van geweld tegen vrouwen en </w:t>
      </w:r>
      <w:proofErr w:type="spellStart"/>
      <w:r w:rsidRPr="007B4BC5">
        <w:rPr>
          <w:rFonts w:ascii="Verdana" w:hAnsi="Verdana"/>
          <w:b/>
          <w:sz w:val="18"/>
          <w:szCs w:val="18"/>
        </w:rPr>
        <w:t>femicide</w:t>
      </w:r>
      <w:proofErr w:type="spellEnd"/>
    </w:p>
    <w:p w:rsidRPr="007B4BC5" w:rsidR="00C4289C" w:rsidP="005A1FFB" w:rsidRDefault="00C4289C" w14:paraId="7CA25CA9" w14:textId="77777777">
      <w:pPr>
        <w:spacing w:after="0" w:line="276" w:lineRule="auto"/>
        <w:rPr>
          <w:rFonts w:ascii="Verdana" w:hAnsi="Verdana"/>
          <w:b/>
          <w:bCs/>
          <w:sz w:val="18"/>
          <w:szCs w:val="18"/>
        </w:rPr>
      </w:pPr>
    </w:p>
    <w:p w:rsidRPr="007B4BC5" w:rsidR="00C4289C" w:rsidP="005A1FFB" w:rsidRDefault="00542910" w14:paraId="423A057E" w14:textId="274716D7">
      <w:pPr>
        <w:spacing w:after="0" w:line="276" w:lineRule="auto"/>
        <w:rPr>
          <w:rFonts w:ascii="Verdana" w:hAnsi="Verdana"/>
          <w:sz w:val="18"/>
          <w:szCs w:val="18"/>
        </w:rPr>
      </w:pPr>
      <w:r w:rsidRPr="007B4BC5">
        <w:rPr>
          <w:rFonts w:ascii="Verdana" w:hAnsi="Verdana"/>
          <w:b/>
          <w:sz w:val="18"/>
          <w:szCs w:val="18"/>
        </w:rPr>
        <w:t>Aanleiding</w:t>
      </w:r>
    </w:p>
    <w:p w:rsidRPr="007B4BC5" w:rsidR="004A7B00" w:rsidP="005A1FFB" w:rsidRDefault="004A7B00" w14:paraId="539C6895" w14:textId="4A2C7ACA">
      <w:pPr>
        <w:spacing w:after="0" w:line="276" w:lineRule="auto"/>
        <w:rPr>
          <w:rFonts w:ascii="Verdana" w:hAnsi="Verdana"/>
          <w:sz w:val="18"/>
          <w:szCs w:val="18"/>
        </w:rPr>
      </w:pPr>
      <w:r w:rsidRPr="007B4BC5">
        <w:rPr>
          <w:rFonts w:ascii="Verdana" w:hAnsi="Verdana"/>
          <w:sz w:val="18"/>
          <w:szCs w:val="18"/>
        </w:rPr>
        <w:t xml:space="preserve">Tijdens het tweeminutendebat over slachtofferbeleid op 4 september jl. verzocht Kamerlid Eerdmans (JA21) het kabinet te onderzoeken welke elementen uit de Spaanse aanpak van geweld tegen vrouwen en </w:t>
      </w:r>
      <w:proofErr w:type="spellStart"/>
      <w:r w:rsidRPr="007B4BC5">
        <w:rPr>
          <w:rFonts w:ascii="Verdana" w:hAnsi="Verdana"/>
          <w:sz w:val="18"/>
          <w:szCs w:val="18"/>
        </w:rPr>
        <w:t>femicide</w:t>
      </w:r>
      <w:proofErr w:type="spellEnd"/>
      <w:r w:rsidRPr="007B4BC5">
        <w:rPr>
          <w:rFonts w:ascii="Verdana" w:hAnsi="Verdana"/>
          <w:sz w:val="18"/>
          <w:szCs w:val="18"/>
        </w:rPr>
        <w:t xml:space="preserve"> in Nederland toepasbaar zijn. </w:t>
      </w:r>
    </w:p>
    <w:p w:rsidRPr="007B4BC5" w:rsidR="004A7B00" w:rsidP="005A1FFB" w:rsidRDefault="004A7B00" w14:paraId="3264ECC1" w14:textId="643EE9F3">
      <w:pPr>
        <w:spacing w:after="0" w:line="276" w:lineRule="auto"/>
        <w:rPr>
          <w:rFonts w:ascii="Verdana" w:hAnsi="Verdana"/>
          <w:sz w:val="18"/>
          <w:szCs w:val="18"/>
        </w:rPr>
      </w:pPr>
      <w:r w:rsidRPr="007B4BC5">
        <w:rPr>
          <w:rFonts w:ascii="Verdana" w:hAnsi="Verdana"/>
          <w:sz w:val="18"/>
          <w:szCs w:val="18"/>
        </w:rPr>
        <w:t xml:space="preserve">Om die vraag te beantwoorden bracht een Nederlandse delegatie van </w:t>
      </w:r>
      <w:r w:rsidRPr="007B4BC5" w:rsidR="00C4289C">
        <w:rPr>
          <w:rFonts w:ascii="Verdana" w:hAnsi="Verdana"/>
          <w:sz w:val="18"/>
          <w:szCs w:val="18"/>
        </w:rPr>
        <w:t xml:space="preserve">VWS, </w:t>
      </w:r>
      <w:r w:rsidRPr="007B4BC5">
        <w:rPr>
          <w:rFonts w:ascii="Verdana" w:hAnsi="Verdana"/>
          <w:sz w:val="18"/>
          <w:szCs w:val="18"/>
        </w:rPr>
        <w:t xml:space="preserve">OCW, </w:t>
      </w:r>
      <w:proofErr w:type="spellStart"/>
      <w:r w:rsidRPr="007B4BC5">
        <w:rPr>
          <w:rFonts w:ascii="Verdana" w:hAnsi="Verdana"/>
          <w:sz w:val="18"/>
          <w:szCs w:val="18"/>
        </w:rPr>
        <w:t>JenV</w:t>
      </w:r>
      <w:proofErr w:type="spellEnd"/>
      <w:r w:rsidRPr="007B4BC5">
        <w:rPr>
          <w:rFonts w:ascii="Verdana" w:hAnsi="Verdana"/>
          <w:sz w:val="18"/>
          <w:szCs w:val="18"/>
        </w:rPr>
        <w:t xml:space="preserve">, de VNG, de Raad voor de Rechtspraak en het Openbaar Ministerie van 27 t/m 30 oktober 2025 een werkbezoek aan Spanje. De delegatie sprak met de centrale overheid, regionale en lokale autoriteiten, het openbaar ministerie, de rechtspraak, opvang- en hulpverleningsorganisaties, deskundigen en een lokale feministische </w:t>
      </w:r>
      <w:r w:rsidRPr="007B4BC5" w:rsidR="00C4289C">
        <w:rPr>
          <w:rFonts w:ascii="Verdana" w:hAnsi="Verdana"/>
          <w:sz w:val="18"/>
          <w:szCs w:val="18"/>
        </w:rPr>
        <w:t xml:space="preserve">non-gouvernementele </w:t>
      </w:r>
      <w:r w:rsidRPr="007B4BC5">
        <w:rPr>
          <w:rFonts w:ascii="Verdana" w:hAnsi="Verdana"/>
          <w:sz w:val="18"/>
          <w:szCs w:val="18"/>
        </w:rPr>
        <w:t>organisatie die een belangrijke rol heeft gespeeld bij de totstandkoming van de Spaanse wetgeving</w:t>
      </w:r>
      <w:r w:rsidRPr="007B4BC5" w:rsidR="00C4289C">
        <w:rPr>
          <w:rFonts w:ascii="Verdana" w:hAnsi="Verdana"/>
          <w:sz w:val="18"/>
          <w:szCs w:val="18"/>
        </w:rPr>
        <w:t xml:space="preserve"> (en nog altijd speelt bij de hulpverlening aan slachtoffers)</w:t>
      </w:r>
      <w:r w:rsidRPr="007B4BC5">
        <w:rPr>
          <w:rFonts w:ascii="Verdana" w:hAnsi="Verdana"/>
          <w:sz w:val="18"/>
          <w:szCs w:val="18"/>
        </w:rPr>
        <w:t>.</w:t>
      </w:r>
    </w:p>
    <w:p w:rsidRPr="007B4BC5" w:rsidR="004A7B00" w:rsidP="005A1FFB" w:rsidRDefault="004A7B00" w14:paraId="64DB6CAC" w14:textId="77777777">
      <w:pPr>
        <w:spacing w:after="0" w:line="276" w:lineRule="auto"/>
        <w:rPr>
          <w:rFonts w:ascii="Verdana" w:hAnsi="Verdana"/>
          <w:sz w:val="18"/>
          <w:szCs w:val="18"/>
        </w:rPr>
      </w:pPr>
      <w:r w:rsidRPr="007B4BC5">
        <w:rPr>
          <w:rFonts w:ascii="Verdana" w:hAnsi="Verdana"/>
          <w:sz w:val="18"/>
          <w:szCs w:val="18"/>
        </w:rPr>
        <w:t xml:space="preserve">Het doel van het bezoek was niet alleen om te zien </w:t>
      </w:r>
      <w:r w:rsidRPr="007B4BC5">
        <w:rPr>
          <w:rFonts w:ascii="Verdana" w:hAnsi="Verdana"/>
          <w:i/>
          <w:sz w:val="18"/>
          <w:szCs w:val="18"/>
        </w:rPr>
        <w:t>wat</w:t>
      </w:r>
      <w:r w:rsidRPr="007B4BC5">
        <w:rPr>
          <w:rFonts w:ascii="Verdana" w:hAnsi="Verdana"/>
          <w:sz w:val="18"/>
          <w:szCs w:val="18"/>
        </w:rPr>
        <w:t xml:space="preserve"> Spanje doet, maar vooral </w:t>
      </w:r>
      <w:r w:rsidRPr="007B4BC5">
        <w:rPr>
          <w:rFonts w:ascii="Verdana" w:hAnsi="Verdana"/>
          <w:i/>
          <w:sz w:val="18"/>
          <w:szCs w:val="18"/>
        </w:rPr>
        <w:t>waarom</w:t>
      </w:r>
      <w:r w:rsidRPr="007B4BC5">
        <w:rPr>
          <w:rFonts w:ascii="Verdana" w:hAnsi="Verdana"/>
          <w:sz w:val="18"/>
          <w:szCs w:val="18"/>
        </w:rPr>
        <w:t xml:space="preserve"> dat werkt en welke elementen relevant kunnen zijn voor de Nederlandse context.</w:t>
      </w:r>
    </w:p>
    <w:p w:rsidRPr="007B4BC5" w:rsidR="00C4289C" w:rsidP="005A1FFB" w:rsidRDefault="00C4289C" w14:paraId="7F4BEDDB" w14:textId="77777777">
      <w:pPr>
        <w:spacing w:after="0" w:line="276" w:lineRule="auto"/>
        <w:rPr>
          <w:rFonts w:ascii="Verdana" w:hAnsi="Verdana"/>
          <w:b/>
          <w:bCs/>
          <w:sz w:val="18"/>
          <w:szCs w:val="18"/>
        </w:rPr>
      </w:pPr>
    </w:p>
    <w:p w:rsidRPr="007B4BC5" w:rsidR="00542910" w:rsidP="005A1FFB" w:rsidRDefault="00542910" w14:paraId="585B1678" w14:textId="61DCBEB0">
      <w:pPr>
        <w:spacing w:after="0" w:line="276" w:lineRule="auto"/>
        <w:rPr>
          <w:rFonts w:ascii="Verdana" w:hAnsi="Verdana"/>
          <w:b/>
          <w:sz w:val="18"/>
          <w:szCs w:val="18"/>
        </w:rPr>
      </w:pPr>
      <w:r w:rsidRPr="007B4BC5">
        <w:rPr>
          <w:rFonts w:ascii="Verdana" w:hAnsi="Verdana"/>
          <w:b/>
          <w:sz w:val="18"/>
          <w:szCs w:val="18"/>
        </w:rPr>
        <w:t>Samenvattende conclusie</w:t>
      </w:r>
    </w:p>
    <w:p w:rsidRPr="007B4BC5" w:rsidR="004A7B00" w:rsidP="005A1FFB" w:rsidRDefault="004A7B00" w14:paraId="1746DD03" w14:textId="1EAC7DE2">
      <w:pPr>
        <w:spacing w:after="0" w:line="276" w:lineRule="auto"/>
        <w:rPr>
          <w:rFonts w:ascii="Verdana" w:hAnsi="Verdana"/>
          <w:sz w:val="18"/>
          <w:szCs w:val="18"/>
        </w:rPr>
      </w:pPr>
      <w:r w:rsidRPr="007B4BC5">
        <w:rPr>
          <w:rFonts w:ascii="Verdana" w:hAnsi="Verdana"/>
          <w:sz w:val="18"/>
          <w:szCs w:val="18"/>
        </w:rPr>
        <w:t xml:space="preserve">De Spaanse aanpak laat zien dat structurele vooruitgang mogelijk is wanneer politieke verantwoordelijkheid, wettelijke en institutionele verankering, maatschappelijke participatie, </w:t>
      </w:r>
      <w:proofErr w:type="spellStart"/>
      <w:r w:rsidRPr="007B4BC5">
        <w:rPr>
          <w:rFonts w:ascii="Verdana" w:hAnsi="Verdana"/>
          <w:sz w:val="18"/>
          <w:szCs w:val="18"/>
        </w:rPr>
        <w:t>datagedreven</w:t>
      </w:r>
      <w:proofErr w:type="spellEnd"/>
      <w:r w:rsidRPr="007B4BC5">
        <w:rPr>
          <w:rFonts w:ascii="Verdana" w:hAnsi="Verdana"/>
          <w:sz w:val="18"/>
          <w:szCs w:val="18"/>
        </w:rPr>
        <w:t xml:space="preserve"> werken en structurele financiering gezamenlijk worden georganiseerd. De aanpak is geen tijdelijk programma, maar een permanent systeem met duidelijke rollen, mandaten en centrale coördinatie.</w:t>
      </w:r>
    </w:p>
    <w:p w:rsidRPr="007B4BC5" w:rsidR="00C4289C" w:rsidP="005A1FFB" w:rsidRDefault="00C4289C" w14:paraId="34EA4119" w14:textId="77777777">
      <w:pPr>
        <w:spacing w:after="0" w:line="276" w:lineRule="auto"/>
        <w:rPr>
          <w:rFonts w:ascii="Verdana" w:hAnsi="Verdana"/>
          <w:b/>
          <w:bCs/>
          <w:sz w:val="18"/>
          <w:szCs w:val="18"/>
        </w:rPr>
      </w:pPr>
    </w:p>
    <w:p w:rsidRPr="007B4BC5" w:rsidR="00542910" w:rsidP="005A1FFB" w:rsidRDefault="00DB0C62" w14:paraId="51C9F07E" w14:textId="14998107">
      <w:pPr>
        <w:spacing w:after="0" w:line="276" w:lineRule="auto"/>
        <w:rPr>
          <w:rFonts w:ascii="Verdana" w:hAnsi="Verdana"/>
          <w:b/>
          <w:sz w:val="18"/>
          <w:szCs w:val="18"/>
        </w:rPr>
      </w:pPr>
      <w:r w:rsidRPr="007B4BC5">
        <w:rPr>
          <w:rFonts w:ascii="Verdana" w:hAnsi="Verdana"/>
          <w:b/>
          <w:sz w:val="18"/>
          <w:szCs w:val="18"/>
        </w:rPr>
        <w:t>Lessen uit Spanje</w:t>
      </w:r>
    </w:p>
    <w:p w:rsidRPr="007B4BC5" w:rsidR="00375097" w:rsidP="007B4BC5" w:rsidRDefault="00375097" w14:paraId="28285684" w14:textId="0689687B">
      <w:pPr>
        <w:pStyle w:val="Lijstalinea"/>
        <w:numPr>
          <w:ilvl w:val="0"/>
          <w:numId w:val="10"/>
        </w:numPr>
        <w:spacing w:after="0" w:line="276" w:lineRule="auto"/>
        <w:rPr>
          <w:rFonts w:ascii="Verdana" w:hAnsi="Verdana"/>
          <w:bCs/>
          <w:sz w:val="18"/>
          <w:szCs w:val="18"/>
        </w:rPr>
      </w:pPr>
      <w:r w:rsidRPr="007B4BC5">
        <w:rPr>
          <w:rFonts w:ascii="Verdana" w:hAnsi="Verdana"/>
          <w:bCs/>
          <w:i/>
          <w:iCs/>
          <w:sz w:val="18"/>
          <w:szCs w:val="18"/>
        </w:rPr>
        <w:t>Heldere verdeling van verantwoordelijkheden, taken en beleid</w:t>
      </w:r>
    </w:p>
    <w:p w:rsidRPr="007B4BC5" w:rsidR="00B300DA" w:rsidP="00375097" w:rsidRDefault="00F41C56" w14:paraId="12FD51E9" w14:textId="208331EB">
      <w:pPr>
        <w:spacing w:after="0" w:line="276" w:lineRule="auto"/>
        <w:rPr>
          <w:rFonts w:ascii="Verdana" w:hAnsi="Verdana"/>
          <w:sz w:val="18"/>
          <w:szCs w:val="18"/>
        </w:rPr>
      </w:pPr>
      <w:r w:rsidRPr="007B4BC5">
        <w:rPr>
          <w:rFonts w:ascii="Verdana" w:hAnsi="Verdana"/>
          <w:sz w:val="18"/>
          <w:szCs w:val="18"/>
        </w:rPr>
        <w:t>De</w:t>
      </w:r>
      <w:r w:rsidRPr="007B4BC5" w:rsidR="00B300DA">
        <w:rPr>
          <w:rFonts w:ascii="Verdana" w:hAnsi="Verdana"/>
          <w:sz w:val="18"/>
          <w:szCs w:val="18"/>
        </w:rPr>
        <w:t xml:space="preserve"> </w:t>
      </w:r>
      <w:proofErr w:type="spellStart"/>
      <w:r w:rsidRPr="007B4BC5" w:rsidR="00B300DA">
        <w:rPr>
          <w:rFonts w:ascii="Verdana" w:hAnsi="Verdana"/>
          <w:i/>
          <w:sz w:val="18"/>
          <w:szCs w:val="18"/>
        </w:rPr>
        <w:t>Ley</w:t>
      </w:r>
      <w:proofErr w:type="spellEnd"/>
      <w:r w:rsidRPr="007B4BC5" w:rsidR="00B300DA">
        <w:rPr>
          <w:rFonts w:ascii="Verdana" w:hAnsi="Verdana"/>
          <w:i/>
          <w:sz w:val="18"/>
          <w:szCs w:val="18"/>
        </w:rPr>
        <w:t xml:space="preserve"> </w:t>
      </w:r>
      <w:proofErr w:type="spellStart"/>
      <w:r w:rsidRPr="007B4BC5" w:rsidR="00B300DA">
        <w:rPr>
          <w:rFonts w:ascii="Verdana" w:hAnsi="Verdana"/>
          <w:i/>
          <w:sz w:val="18"/>
          <w:szCs w:val="18"/>
        </w:rPr>
        <w:t>Orgánica</w:t>
      </w:r>
      <w:proofErr w:type="spellEnd"/>
      <w:r w:rsidRPr="007B4BC5" w:rsidR="00B300DA">
        <w:rPr>
          <w:rFonts w:ascii="Verdana" w:hAnsi="Verdana"/>
          <w:sz w:val="18"/>
          <w:szCs w:val="18"/>
        </w:rPr>
        <w:t xml:space="preserve"> </w:t>
      </w:r>
      <w:r w:rsidRPr="007B4BC5" w:rsidR="00B300DA">
        <w:rPr>
          <w:rFonts w:ascii="Verdana" w:hAnsi="Verdana"/>
          <w:i/>
          <w:iCs/>
          <w:sz w:val="18"/>
          <w:szCs w:val="18"/>
        </w:rPr>
        <w:t>1/2004</w:t>
      </w:r>
      <w:r w:rsidRPr="007B4BC5" w:rsidR="007E4807">
        <w:rPr>
          <w:rFonts w:ascii="Verdana" w:hAnsi="Verdana"/>
          <w:i/>
          <w:iCs/>
          <w:sz w:val="18"/>
          <w:szCs w:val="18"/>
        </w:rPr>
        <w:t xml:space="preserve"> </w:t>
      </w:r>
      <w:r w:rsidRPr="007B4BC5" w:rsidR="007E4807">
        <w:rPr>
          <w:rFonts w:ascii="Verdana" w:hAnsi="Verdana"/>
          <w:sz w:val="18"/>
          <w:szCs w:val="18"/>
        </w:rPr>
        <w:t>(de organieke wet op partnergeweld tegen vrouwen)</w:t>
      </w:r>
      <w:r w:rsidRPr="007B4BC5" w:rsidR="00B300DA">
        <w:rPr>
          <w:rFonts w:ascii="Verdana" w:hAnsi="Verdana"/>
          <w:sz w:val="18"/>
          <w:szCs w:val="18"/>
        </w:rPr>
        <w:t xml:space="preserve"> vormt </w:t>
      </w:r>
      <w:r w:rsidRPr="007B4BC5">
        <w:rPr>
          <w:rFonts w:ascii="Verdana" w:hAnsi="Verdana"/>
          <w:sz w:val="18"/>
          <w:szCs w:val="18"/>
        </w:rPr>
        <w:t>de basis voor</w:t>
      </w:r>
      <w:r w:rsidRPr="007B4BC5" w:rsidR="00B300DA">
        <w:rPr>
          <w:rFonts w:ascii="Verdana" w:hAnsi="Verdana"/>
          <w:sz w:val="18"/>
          <w:szCs w:val="18"/>
        </w:rPr>
        <w:t xml:space="preserve"> beleid, uitvoering, dataregistratie en financiering. De verantwoordelijkheidsverdeling is </w:t>
      </w:r>
      <w:r w:rsidRPr="007B4BC5" w:rsidR="00375097">
        <w:rPr>
          <w:rFonts w:ascii="Verdana" w:hAnsi="Verdana"/>
          <w:sz w:val="18"/>
          <w:szCs w:val="18"/>
        </w:rPr>
        <w:t xml:space="preserve">in Spanje </w:t>
      </w:r>
      <w:r w:rsidRPr="007B4BC5" w:rsidR="00B300DA">
        <w:rPr>
          <w:rFonts w:ascii="Verdana" w:hAnsi="Verdana"/>
          <w:sz w:val="18"/>
          <w:szCs w:val="18"/>
        </w:rPr>
        <w:t>helder</w:t>
      </w:r>
      <w:r w:rsidRPr="007B4BC5" w:rsidR="00375097">
        <w:rPr>
          <w:rFonts w:ascii="Verdana" w:hAnsi="Verdana"/>
          <w:sz w:val="18"/>
          <w:szCs w:val="18"/>
        </w:rPr>
        <w:t xml:space="preserve">. De </w:t>
      </w:r>
      <w:r w:rsidRPr="007B4BC5" w:rsidR="00B300DA">
        <w:rPr>
          <w:rFonts w:ascii="Verdana" w:hAnsi="Verdana"/>
          <w:sz w:val="18"/>
          <w:szCs w:val="18"/>
        </w:rPr>
        <w:t>aanpak van geweld tegen vrouwen</w:t>
      </w:r>
      <w:r w:rsidR="007E1EA7">
        <w:rPr>
          <w:rFonts w:ascii="Verdana" w:hAnsi="Verdana"/>
          <w:sz w:val="18"/>
          <w:szCs w:val="18"/>
        </w:rPr>
        <w:t xml:space="preserve"> behelst een systematische en structurele aanpak</w:t>
      </w:r>
      <w:r w:rsidRPr="007B4BC5" w:rsidR="00B300DA">
        <w:rPr>
          <w:rFonts w:ascii="Verdana" w:hAnsi="Verdana"/>
          <w:sz w:val="18"/>
          <w:szCs w:val="18"/>
        </w:rPr>
        <w:t>.</w:t>
      </w:r>
      <w:r w:rsidRPr="007B4BC5" w:rsidR="004A7B00">
        <w:rPr>
          <w:rFonts w:ascii="Verdana" w:hAnsi="Verdana"/>
          <w:sz w:val="18"/>
          <w:szCs w:val="18"/>
        </w:rPr>
        <w:t xml:space="preserve"> </w:t>
      </w:r>
    </w:p>
    <w:p w:rsidRPr="007B4BC5" w:rsidR="00A50538" w:rsidP="005A1FFB" w:rsidRDefault="00A50538" w14:paraId="2DD11416" w14:textId="77777777">
      <w:pPr>
        <w:spacing w:after="0" w:line="276" w:lineRule="auto"/>
        <w:rPr>
          <w:rFonts w:ascii="Verdana" w:hAnsi="Verdana"/>
          <w:sz w:val="18"/>
          <w:szCs w:val="18"/>
        </w:rPr>
      </w:pPr>
    </w:p>
    <w:p w:rsidRPr="007B4BC5" w:rsidR="00B300DA" w:rsidP="005A1FFB" w:rsidRDefault="00B300DA" w14:paraId="1B3C2340" w14:textId="77777777">
      <w:pPr>
        <w:spacing w:after="0" w:line="276" w:lineRule="auto"/>
        <w:rPr>
          <w:rFonts w:ascii="Verdana" w:hAnsi="Verdana"/>
          <w:i/>
          <w:sz w:val="18"/>
          <w:szCs w:val="18"/>
        </w:rPr>
      </w:pPr>
      <w:r w:rsidRPr="007B4BC5">
        <w:rPr>
          <w:rFonts w:ascii="Verdana" w:hAnsi="Verdana"/>
          <w:i/>
          <w:sz w:val="18"/>
          <w:szCs w:val="18"/>
        </w:rPr>
        <w:t>2. Vijfjaarlijkse nationale pacten geven continuïteit en politieke binding</w:t>
      </w:r>
    </w:p>
    <w:p w:rsidRPr="007B4BC5" w:rsidR="00B300DA" w:rsidP="005A1FFB" w:rsidRDefault="00B300DA" w14:paraId="6D210C4A" w14:textId="38EE9FD9">
      <w:pPr>
        <w:spacing w:after="0" w:line="276" w:lineRule="auto"/>
        <w:rPr>
          <w:rFonts w:ascii="Verdana" w:hAnsi="Verdana"/>
          <w:sz w:val="18"/>
          <w:szCs w:val="18"/>
        </w:rPr>
      </w:pPr>
      <w:r w:rsidRPr="007B4BC5">
        <w:rPr>
          <w:rFonts w:ascii="Verdana" w:hAnsi="Verdana"/>
          <w:sz w:val="18"/>
          <w:szCs w:val="18"/>
        </w:rPr>
        <w:t xml:space="preserve">Het </w:t>
      </w:r>
      <w:proofErr w:type="spellStart"/>
      <w:r w:rsidRPr="007B4BC5">
        <w:rPr>
          <w:rFonts w:ascii="Verdana" w:hAnsi="Verdana"/>
          <w:i/>
          <w:sz w:val="18"/>
          <w:szCs w:val="18"/>
        </w:rPr>
        <w:t>Pacto</w:t>
      </w:r>
      <w:proofErr w:type="spellEnd"/>
      <w:r w:rsidRPr="007B4BC5">
        <w:rPr>
          <w:rFonts w:ascii="Verdana" w:hAnsi="Verdana"/>
          <w:i/>
          <w:sz w:val="18"/>
          <w:szCs w:val="18"/>
        </w:rPr>
        <w:t xml:space="preserve"> de </w:t>
      </w:r>
      <w:proofErr w:type="spellStart"/>
      <w:r w:rsidRPr="007B4BC5">
        <w:rPr>
          <w:rFonts w:ascii="Verdana" w:hAnsi="Verdana"/>
          <w:i/>
          <w:sz w:val="18"/>
          <w:szCs w:val="18"/>
        </w:rPr>
        <w:t>Estado</w:t>
      </w:r>
      <w:proofErr w:type="spellEnd"/>
      <w:r w:rsidRPr="007B4BC5" w:rsidR="007E4807">
        <w:rPr>
          <w:rFonts w:ascii="Verdana" w:hAnsi="Verdana"/>
          <w:i/>
          <w:sz w:val="18"/>
          <w:szCs w:val="18"/>
        </w:rPr>
        <w:t xml:space="preserve"> </w:t>
      </w:r>
      <w:r w:rsidRPr="007B4BC5" w:rsidR="007E4807">
        <w:rPr>
          <w:rFonts w:ascii="Verdana" w:hAnsi="Verdana"/>
          <w:iCs/>
          <w:sz w:val="18"/>
          <w:szCs w:val="18"/>
        </w:rPr>
        <w:t xml:space="preserve">(het staatsakkoord </w:t>
      </w:r>
      <w:r w:rsidRPr="007B4BC5" w:rsidR="00BF5BC0">
        <w:rPr>
          <w:rFonts w:ascii="Verdana" w:hAnsi="Verdana"/>
          <w:iCs/>
          <w:sz w:val="18"/>
          <w:szCs w:val="18"/>
        </w:rPr>
        <w:t>op</w:t>
      </w:r>
      <w:r w:rsidRPr="007B4BC5" w:rsidR="007E4807">
        <w:rPr>
          <w:rFonts w:ascii="Verdana" w:hAnsi="Verdana"/>
          <w:iCs/>
          <w:sz w:val="18"/>
          <w:szCs w:val="18"/>
        </w:rPr>
        <w:t xml:space="preserve"> </w:t>
      </w:r>
      <w:proofErr w:type="spellStart"/>
      <w:r w:rsidRPr="007B4BC5" w:rsidR="00BF5BC0">
        <w:rPr>
          <w:rFonts w:ascii="Verdana" w:hAnsi="Verdana"/>
          <w:iCs/>
          <w:sz w:val="18"/>
          <w:szCs w:val="18"/>
        </w:rPr>
        <w:t>gendergerelateerd</w:t>
      </w:r>
      <w:proofErr w:type="spellEnd"/>
      <w:r w:rsidRPr="007B4BC5" w:rsidR="00BF5BC0">
        <w:rPr>
          <w:rFonts w:ascii="Verdana" w:hAnsi="Verdana"/>
          <w:iCs/>
          <w:sz w:val="18"/>
          <w:szCs w:val="18"/>
        </w:rPr>
        <w:t xml:space="preserve"> geweld)</w:t>
      </w:r>
      <w:r w:rsidRPr="007B4BC5">
        <w:rPr>
          <w:rFonts w:ascii="Verdana" w:hAnsi="Verdana"/>
          <w:sz w:val="18"/>
          <w:szCs w:val="18"/>
        </w:rPr>
        <w:t xml:space="preserve"> wordt opgesteld door ministeries, regio’s, gemeenten en uitvoeringsorganisaties</w:t>
      </w:r>
      <w:r w:rsidRPr="007B4BC5" w:rsidR="00375097">
        <w:rPr>
          <w:rFonts w:ascii="Verdana" w:hAnsi="Verdana"/>
          <w:sz w:val="18"/>
          <w:szCs w:val="18"/>
        </w:rPr>
        <w:t xml:space="preserve">. Het wordt </w:t>
      </w:r>
      <w:r w:rsidRPr="007B4BC5">
        <w:rPr>
          <w:rFonts w:ascii="Verdana" w:hAnsi="Verdana"/>
          <w:sz w:val="18"/>
          <w:szCs w:val="18"/>
        </w:rPr>
        <w:t xml:space="preserve">door het parlement vastgesteld en elke vijf jaar </w:t>
      </w:r>
      <w:r w:rsidRPr="007B4BC5" w:rsidR="00C4289C">
        <w:rPr>
          <w:rFonts w:ascii="Verdana" w:hAnsi="Verdana"/>
          <w:sz w:val="18"/>
          <w:szCs w:val="18"/>
        </w:rPr>
        <w:t>herzien</w:t>
      </w:r>
      <w:r w:rsidRPr="007B4BC5" w:rsidR="001422C5">
        <w:rPr>
          <w:rFonts w:ascii="Verdana" w:hAnsi="Verdana"/>
          <w:sz w:val="18"/>
          <w:szCs w:val="18"/>
        </w:rPr>
        <w:t xml:space="preserve"> en voorzien van bijbehorende financiële middelen</w:t>
      </w:r>
      <w:r w:rsidRPr="007B4BC5">
        <w:rPr>
          <w:rFonts w:ascii="Verdana" w:hAnsi="Verdana"/>
          <w:sz w:val="18"/>
          <w:szCs w:val="18"/>
        </w:rPr>
        <w:t>. Dit zorgt voor politieke én financiële borging over kabinetsperioden heen.</w:t>
      </w:r>
    </w:p>
    <w:p w:rsidRPr="007B4BC5" w:rsidR="00A50538" w:rsidP="005A1FFB" w:rsidRDefault="00A50538" w14:paraId="42FC6297" w14:textId="77777777">
      <w:pPr>
        <w:spacing w:after="0" w:line="276" w:lineRule="auto"/>
        <w:rPr>
          <w:rFonts w:ascii="Verdana" w:hAnsi="Verdana"/>
          <w:sz w:val="18"/>
          <w:szCs w:val="18"/>
        </w:rPr>
      </w:pPr>
    </w:p>
    <w:p w:rsidRPr="007B4BC5" w:rsidR="00B300DA" w:rsidP="005A1FFB" w:rsidRDefault="00A95F6A" w14:paraId="27E15C02" w14:textId="3A3D8F07">
      <w:pPr>
        <w:spacing w:after="0" w:line="276" w:lineRule="auto"/>
        <w:rPr>
          <w:rFonts w:ascii="Verdana" w:hAnsi="Verdana"/>
          <w:i/>
          <w:sz w:val="18"/>
          <w:szCs w:val="18"/>
        </w:rPr>
      </w:pPr>
      <w:r w:rsidRPr="007B4BC5">
        <w:rPr>
          <w:rFonts w:ascii="Verdana" w:hAnsi="Verdana"/>
          <w:i/>
          <w:sz w:val="18"/>
          <w:szCs w:val="18"/>
        </w:rPr>
        <w:t xml:space="preserve">3. </w:t>
      </w:r>
      <w:r w:rsidRPr="007B4BC5" w:rsidR="00B300DA">
        <w:rPr>
          <w:rFonts w:ascii="Verdana" w:hAnsi="Verdana"/>
          <w:i/>
          <w:sz w:val="18"/>
          <w:szCs w:val="18"/>
        </w:rPr>
        <w:t xml:space="preserve">Eén landelijk </w:t>
      </w:r>
      <w:r w:rsidRPr="007B4BC5" w:rsidR="00A50538">
        <w:rPr>
          <w:rFonts w:ascii="Verdana" w:hAnsi="Verdana"/>
          <w:i/>
          <w:iCs/>
          <w:sz w:val="18"/>
          <w:szCs w:val="18"/>
        </w:rPr>
        <w:t xml:space="preserve">coördinerend orgaan </w:t>
      </w:r>
      <w:r w:rsidRPr="007B4BC5" w:rsidR="00B300DA">
        <w:rPr>
          <w:rFonts w:ascii="Verdana" w:hAnsi="Verdana"/>
          <w:i/>
          <w:sz w:val="18"/>
          <w:szCs w:val="18"/>
        </w:rPr>
        <w:t>met duidelijk mandaat</w:t>
      </w:r>
    </w:p>
    <w:p w:rsidRPr="007B4BC5" w:rsidR="00B300DA" w:rsidP="005A1FFB" w:rsidRDefault="00B300DA" w14:paraId="0B938C93" w14:textId="276F8395">
      <w:pPr>
        <w:spacing w:after="0" w:line="276" w:lineRule="auto"/>
        <w:rPr>
          <w:rFonts w:ascii="Verdana" w:hAnsi="Verdana"/>
          <w:sz w:val="18"/>
          <w:szCs w:val="18"/>
        </w:rPr>
      </w:pPr>
      <w:r w:rsidRPr="007B4BC5">
        <w:rPr>
          <w:rFonts w:ascii="Verdana" w:hAnsi="Verdana"/>
          <w:sz w:val="18"/>
          <w:szCs w:val="18"/>
        </w:rPr>
        <w:t xml:space="preserve">De </w:t>
      </w:r>
      <w:r w:rsidRPr="007B4BC5" w:rsidR="00C4289C">
        <w:rPr>
          <w:rFonts w:ascii="Verdana" w:hAnsi="Verdana"/>
          <w:sz w:val="18"/>
          <w:szCs w:val="18"/>
        </w:rPr>
        <w:t>‘</w:t>
      </w:r>
      <w:r w:rsidRPr="007B4BC5">
        <w:rPr>
          <w:rFonts w:ascii="Verdana" w:hAnsi="Verdana"/>
          <w:sz w:val="18"/>
          <w:szCs w:val="18"/>
        </w:rPr>
        <w:t>Regeringsdelegatie tegen gendergeweld</w:t>
      </w:r>
      <w:r w:rsidRPr="007B4BC5" w:rsidR="00C4289C">
        <w:rPr>
          <w:rFonts w:ascii="Verdana" w:hAnsi="Verdana"/>
          <w:sz w:val="18"/>
          <w:szCs w:val="18"/>
        </w:rPr>
        <w:t>’</w:t>
      </w:r>
      <w:r w:rsidRPr="007B4BC5">
        <w:rPr>
          <w:rFonts w:ascii="Verdana" w:hAnsi="Verdana"/>
          <w:sz w:val="18"/>
          <w:szCs w:val="18"/>
        </w:rPr>
        <w:t xml:space="preserve"> (een DG binnen het ministerie van Gelijkheid) fungeert als nationaal </w:t>
      </w:r>
      <w:r w:rsidRPr="007B4BC5" w:rsidR="00C4289C">
        <w:rPr>
          <w:rFonts w:ascii="Verdana" w:hAnsi="Verdana"/>
          <w:sz w:val="18"/>
          <w:szCs w:val="18"/>
        </w:rPr>
        <w:t xml:space="preserve">coördinatieorgaan </w:t>
      </w:r>
      <w:r w:rsidRPr="007B4BC5" w:rsidR="00A95F6A">
        <w:rPr>
          <w:rFonts w:ascii="Verdana" w:hAnsi="Verdana"/>
          <w:sz w:val="18"/>
          <w:szCs w:val="18"/>
        </w:rPr>
        <w:t xml:space="preserve">en dit </w:t>
      </w:r>
      <w:r w:rsidRPr="007B4BC5" w:rsidR="00C4289C">
        <w:rPr>
          <w:rFonts w:ascii="Verdana" w:hAnsi="Verdana"/>
          <w:sz w:val="18"/>
          <w:szCs w:val="18"/>
        </w:rPr>
        <w:t xml:space="preserve">is </w:t>
      </w:r>
      <w:r w:rsidRPr="007B4BC5" w:rsidR="00A95F6A">
        <w:rPr>
          <w:rFonts w:ascii="Verdana" w:hAnsi="Verdana"/>
          <w:sz w:val="18"/>
          <w:szCs w:val="18"/>
        </w:rPr>
        <w:t>ook wettelijk vastgelegd</w:t>
      </w:r>
      <w:r w:rsidRPr="007B4BC5">
        <w:rPr>
          <w:rFonts w:ascii="Verdana" w:hAnsi="Verdana"/>
          <w:sz w:val="18"/>
          <w:szCs w:val="18"/>
        </w:rPr>
        <w:t xml:space="preserve">. </w:t>
      </w:r>
      <w:r w:rsidRPr="007B4BC5" w:rsidR="00A95F6A">
        <w:rPr>
          <w:rFonts w:ascii="Verdana" w:hAnsi="Verdana"/>
          <w:sz w:val="18"/>
          <w:szCs w:val="18"/>
        </w:rPr>
        <w:t xml:space="preserve">De delegatie heeft </w:t>
      </w:r>
      <w:r w:rsidRPr="007B4BC5" w:rsidR="00BF5BC0">
        <w:rPr>
          <w:rFonts w:ascii="Verdana" w:hAnsi="Verdana"/>
          <w:sz w:val="18"/>
          <w:szCs w:val="18"/>
        </w:rPr>
        <w:t>sterke coördinerende en sturende bevoegdheden</w:t>
      </w:r>
      <w:r w:rsidRPr="007B4BC5">
        <w:rPr>
          <w:rFonts w:ascii="Verdana" w:hAnsi="Verdana"/>
          <w:sz w:val="18"/>
          <w:szCs w:val="18"/>
        </w:rPr>
        <w:t xml:space="preserve"> op het terrein van preventie</w:t>
      </w:r>
      <w:r w:rsidRPr="007B4BC5" w:rsidR="00A95F6A">
        <w:rPr>
          <w:rFonts w:ascii="Verdana" w:hAnsi="Verdana"/>
          <w:sz w:val="18"/>
          <w:szCs w:val="18"/>
        </w:rPr>
        <w:t>,</w:t>
      </w:r>
      <w:r w:rsidRPr="007B4BC5">
        <w:rPr>
          <w:rFonts w:ascii="Verdana" w:hAnsi="Verdana"/>
          <w:sz w:val="18"/>
          <w:szCs w:val="18"/>
        </w:rPr>
        <w:t xml:space="preserve"> hulpverlening</w:t>
      </w:r>
      <w:r w:rsidRPr="007B4BC5" w:rsidR="00A95F6A">
        <w:rPr>
          <w:rFonts w:ascii="Verdana" w:hAnsi="Verdana"/>
          <w:sz w:val="18"/>
          <w:szCs w:val="18"/>
        </w:rPr>
        <w:t xml:space="preserve"> en beleidsontwikkeling</w:t>
      </w:r>
      <w:r w:rsidRPr="007B4BC5">
        <w:rPr>
          <w:rFonts w:ascii="Verdana" w:hAnsi="Verdana"/>
          <w:sz w:val="18"/>
          <w:szCs w:val="18"/>
        </w:rPr>
        <w:t>. De lijnen naar ministeries, regio’s, gemeenten, O</w:t>
      </w:r>
      <w:r w:rsidRPr="007B4BC5" w:rsidR="00C4289C">
        <w:rPr>
          <w:rFonts w:ascii="Verdana" w:hAnsi="Verdana"/>
          <w:sz w:val="18"/>
          <w:szCs w:val="18"/>
        </w:rPr>
        <w:t>penbaar Ministerie</w:t>
      </w:r>
      <w:r w:rsidRPr="007B4BC5">
        <w:rPr>
          <w:rFonts w:ascii="Verdana" w:hAnsi="Verdana"/>
          <w:sz w:val="18"/>
          <w:szCs w:val="18"/>
        </w:rPr>
        <w:t>, politie en maatschappelijke organisaties zijn helder, gestructureerd en</w:t>
      </w:r>
      <w:r w:rsidRPr="007B4BC5" w:rsidR="00BF5BC0">
        <w:rPr>
          <w:rFonts w:ascii="Verdana" w:hAnsi="Verdana"/>
          <w:sz w:val="18"/>
          <w:szCs w:val="18"/>
        </w:rPr>
        <w:t xml:space="preserve"> in belangrijke mate </w:t>
      </w:r>
      <w:r w:rsidRPr="007B4BC5">
        <w:rPr>
          <w:rFonts w:ascii="Verdana" w:hAnsi="Verdana"/>
          <w:sz w:val="18"/>
          <w:szCs w:val="18"/>
        </w:rPr>
        <w:t>vastgelegd in wet</w:t>
      </w:r>
      <w:r w:rsidRPr="007B4BC5" w:rsidR="00BF5BC0">
        <w:rPr>
          <w:rFonts w:ascii="Verdana" w:hAnsi="Verdana"/>
          <w:sz w:val="18"/>
          <w:szCs w:val="18"/>
        </w:rPr>
        <w:t>- en regel</w:t>
      </w:r>
      <w:r w:rsidRPr="007B4BC5">
        <w:rPr>
          <w:rFonts w:ascii="Verdana" w:hAnsi="Verdana"/>
          <w:sz w:val="18"/>
          <w:szCs w:val="18"/>
        </w:rPr>
        <w:t>geving.</w:t>
      </w:r>
    </w:p>
    <w:p w:rsidRPr="007B4BC5" w:rsidR="00A50538" w:rsidP="005A1FFB" w:rsidRDefault="00A50538" w14:paraId="32C451FD" w14:textId="77777777">
      <w:pPr>
        <w:spacing w:after="0" w:line="276" w:lineRule="auto"/>
        <w:rPr>
          <w:rFonts w:ascii="Verdana" w:hAnsi="Verdana"/>
          <w:sz w:val="18"/>
          <w:szCs w:val="18"/>
        </w:rPr>
      </w:pPr>
    </w:p>
    <w:p w:rsidRPr="007B4BC5" w:rsidR="00B300DA" w:rsidP="005A1FFB" w:rsidRDefault="00A95F6A" w14:paraId="19159679" w14:textId="46BC7D7A">
      <w:pPr>
        <w:spacing w:after="0" w:line="276" w:lineRule="auto"/>
        <w:rPr>
          <w:rFonts w:ascii="Verdana" w:hAnsi="Verdana"/>
          <w:sz w:val="18"/>
          <w:szCs w:val="18"/>
        </w:rPr>
      </w:pPr>
      <w:r w:rsidRPr="007B4BC5">
        <w:rPr>
          <w:rFonts w:ascii="Verdana" w:hAnsi="Verdana"/>
          <w:i/>
          <w:sz w:val="18"/>
          <w:szCs w:val="18"/>
        </w:rPr>
        <w:t xml:space="preserve">4. </w:t>
      </w:r>
      <w:r w:rsidRPr="007B4BC5" w:rsidR="00B300DA">
        <w:rPr>
          <w:rFonts w:ascii="Verdana" w:hAnsi="Verdana"/>
          <w:i/>
          <w:sz w:val="18"/>
          <w:szCs w:val="18"/>
        </w:rPr>
        <w:t>Structurele data-uitwisseling en monitoring</w:t>
      </w:r>
      <w:r w:rsidRPr="007B4BC5" w:rsidR="00B300DA">
        <w:rPr>
          <w:rFonts w:ascii="Verdana" w:hAnsi="Verdana"/>
          <w:i/>
          <w:sz w:val="18"/>
          <w:szCs w:val="18"/>
        </w:rPr>
        <w:br/>
      </w:r>
      <w:r w:rsidRPr="007B4BC5" w:rsidR="00B300DA">
        <w:rPr>
          <w:rFonts w:ascii="Verdana" w:hAnsi="Verdana"/>
          <w:sz w:val="18"/>
          <w:szCs w:val="18"/>
        </w:rPr>
        <w:t xml:space="preserve">Het </w:t>
      </w:r>
      <w:proofErr w:type="spellStart"/>
      <w:r w:rsidRPr="007B4BC5" w:rsidR="00B300DA">
        <w:rPr>
          <w:rFonts w:ascii="Verdana" w:hAnsi="Verdana"/>
          <w:sz w:val="18"/>
          <w:szCs w:val="18"/>
        </w:rPr>
        <w:t>realtime</w:t>
      </w:r>
      <w:proofErr w:type="spellEnd"/>
      <w:r w:rsidRPr="007B4BC5" w:rsidR="00B300DA">
        <w:rPr>
          <w:rFonts w:ascii="Verdana" w:hAnsi="Verdana"/>
          <w:sz w:val="18"/>
          <w:szCs w:val="18"/>
        </w:rPr>
        <w:t xml:space="preserve"> registratiesysteem </w:t>
      </w:r>
      <w:proofErr w:type="spellStart"/>
      <w:r w:rsidRPr="007B4BC5" w:rsidR="00B300DA">
        <w:rPr>
          <w:rFonts w:ascii="Verdana" w:hAnsi="Verdana"/>
          <w:sz w:val="18"/>
          <w:szCs w:val="18"/>
        </w:rPr>
        <w:t>VioGén</w:t>
      </w:r>
      <w:proofErr w:type="spellEnd"/>
      <w:r w:rsidRPr="007B4BC5" w:rsidR="00B300DA">
        <w:rPr>
          <w:rFonts w:ascii="Verdana" w:hAnsi="Verdana"/>
          <w:sz w:val="18"/>
          <w:szCs w:val="18"/>
        </w:rPr>
        <w:t xml:space="preserve"> koppelt meldingen, risicotaxaties en beschermingsmaatregelen tussen politie, O</w:t>
      </w:r>
      <w:r w:rsidRPr="007B4BC5" w:rsidR="00C4289C">
        <w:rPr>
          <w:rFonts w:ascii="Verdana" w:hAnsi="Verdana"/>
          <w:sz w:val="18"/>
          <w:szCs w:val="18"/>
        </w:rPr>
        <w:t>penbaar Ministerie</w:t>
      </w:r>
      <w:r w:rsidRPr="007B4BC5" w:rsidR="00B300DA">
        <w:rPr>
          <w:rFonts w:ascii="Verdana" w:hAnsi="Verdana"/>
          <w:sz w:val="18"/>
          <w:szCs w:val="18"/>
        </w:rPr>
        <w:t xml:space="preserve">, opvang en gemeenten. Het systeem wordt </w:t>
      </w:r>
      <w:r w:rsidRPr="007B4BC5" w:rsidR="001422C5">
        <w:rPr>
          <w:rFonts w:ascii="Verdana" w:hAnsi="Verdana"/>
          <w:sz w:val="18"/>
          <w:szCs w:val="18"/>
        </w:rPr>
        <w:t xml:space="preserve">gevuld en </w:t>
      </w:r>
      <w:r w:rsidRPr="007B4BC5" w:rsidR="00B300DA">
        <w:rPr>
          <w:rFonts w:ascii="Verdana" w:hAnsi="Verdana"/>
          <w:sz w:val="18"/>
          <w:szCs w:val="18"/>
        </w:rPr>
        <w:t xml:space="preserve">beheerd door de politie; andere organisaties hebben (gedeeltelijke) inzage voor hun taakuitvoering. </w:t>
      </w:r>
      <w:proofErr w:type="spellStart"/>
      <w:r w:rsidRPr="007B4BC5" w:rsidR="00B300DA">
        <w:rPr>
          <w:rFonts w:ascii="Verdana" w:hAnsi="Verdana"/>
          <w:sz w:val="18"/>
          <w:szCs w:val="18"/>
        </w:rPr>
        <w:t>VioGén</w:t>
      </w:r>
      <w:proofErr w:type="spellEnd"/>
      <w:r w:rsidRPr="007B4BC5" w:rsidR="00B300DA">
        <w:rPr>
          <w:rFonts w:ascii="Verdana" w:hAnsi="Verdana"/>
          <w:sz w:val="18"/>
          <w:szCs w:val="18"/>
        </w:rPr>
        <w:t xml:space="preserve"> ondersteunt casusregie, beleidsanalyse en </w:t>
      </w:r>
      <w:proofErr w:type="spellStart"/>
      <w:r w:rsidRPr="007B4BC5" w:rsidR="00B300DA">
        <w:rPr>
          <w:rFonts w:ascii="Verdana" w:hAnsi="Verdana"/>
          <w:sz w:val="18"/>
          <w:szCs w:val="18"/>
        </w:rPr>
        <w:t>vroegsignalering</w:t>
      </w:r>
      <w:proofErr w:type="spellEnd"/>
      <w:r w:rsidRPr="007B4BC5" w:rsidR="00B300DA">
        <w:rPr>
          <w:rFonts w:ascii="Verdana" w:hAnsi="Verdana"/>
          <w:sz w:val="18"/>
          <w:szCs w:val="18"/>
        </w:rPr>
        <w:t>.</w:t>
      </w:r>
      <w:r w:rsidRPr="007B4BC5" w:rsidR="00B300DA">
        <w:rPr>
          <w:rFonts w:ascii="Verdana" w:hAnsi="Verdana"/>
          <w:sz w:val="18"/>
          <w:szCs w:val="18"/>
        </w:rPr>
        <w:br/>
        <w:t xml:space="preserve">Daarnaast verzamelen </w:t>
      </w:r>
      <w:r w:rsidRPr="007B4BC5" w:rsidR="00C4289C">
        <w:rPr>
          <w:rFonts w:ascii="Verdana" w:hAnsi="Verdana"/>
          <w:sz w:val="18"/>
          <w:szCs w:val="18"/>
        </w:rPr>
        <w:t>zogenaamde ‘</w:t>
      </w:r>
      <w:r w:rsidRPr="007B4BC5" w:rsidR="00B300DA">
        <w:rPr>
          <w:rFonts w:ascii="Verdana" w:hAnsi="Verdana"/>
          <w:sz w:val="18"/>
          <w:szCs w:val="18"/>
        </w:rPr>
        <w:t>observatoria</w:t>
      </w:r>
      <w:r w:rsidRPr="007B4BC5" w:rsidR="00C4289C">
        <w:rPr>
          <w:rFonts w:ascii="Verdana" w:hAnsi="Verdana"/>
          <w:sz w:val="18"/>
          <w:szCs w:val="18"/>
        </w:rPr>
        <w:t>’</w:t>
      </w:r>
      <w:r w:rsidRPr="007B4BC5" w:rsidR="00B300DA">
        <w:rPr>
          <w:rFonts w:ascii="Verdana" w:hAnsi="Verdana"/>
          <w:sz w:val="18"/>
          <w:szCs w:val="18"/>
        </w:rPr>
        <w:t xml:space="preserve"> binnen rechtspraak, overheid en regio’s data, analyseren </w:t>
      </w:r>
      <w:r w:rsidR="007E1EA7">
        <w:rPr>
          <w:rFonts w:ascii="Verdana" w:hAnsi="Verdana"/>
          <w:sz w:val="18"/>
          <w:szCs w:val="18"/>
        </w:rPr>
        <w:t xml:space="preserve">ze </w:t>
      </w:r>
      <w:r w:rsidRPr="007B4BC5" w:rsidR="00B300DA">
        <w:rPr>
          <w:rFonts w:ascii="Verdana" w:hAnsi="Verdana"/>
          <w:sz w:val="18"/>
          <w:szCs w:val="18"/>
        </w:rPr>
        <w:t>trends en publiceren</w:t>
      </w:r>
      <w:r w:rsidR="007E1EA7">
        <w:rPr>
          <w:rFonts w:ascii="Verdana" w:hAnsi="Verdana"/>
          <w:sz w:val="18"/>
          <w:szCs w:val="18"/>
        </w:rPr>
        <w:t xml:space="preserve"> ze</w:t>
      </w:r>
      <w:r w:rsidRPr="007B4BC5" w:rsidR="00B300DA">
        <w:rPr>
          <w:rFonts w:ascii="Verdana" w:hAnsi="Verdana"/>
          <w:sz w:val="18"/>
          <w:szCs w:val="18"/>
        </w:rPr>
        <w:t xml:space="preserve"> periodieke rapportages.</w:t>
      </w:r>
    </w:p>
    <w:p w:rsidRPr="007B4BC5" w:rsidR="00A50538" w:rsidP="005A1FFB" w:rsidRDefault="00A50538" w14:paraId="72CB88EE" w14:textId="77777777">
      <w:pPr>
        <w:spacing w:after="0" w:line="276" w:lineRule="auto"/>
        <w:rPr>
          <w:rFonts w:ascii="Verdana" w:hAnsi="Verdana"/>
          <w:i/>
          <w:iCs/>
          <w:sz w:val="18"/>
          <w:szCs w:val="18"/>
        </w:rPr>
      </w:pPr>
    </w:p>
    <w:p w:rsidRPr="007B4BC5" w:rsidR="004B696A" w:rsidP="004B696A" w:rsidRDefault="00A95F6A" w14:paraId="45E8526C" w14:textId="5EED700A">
      <w:pPr>
        <w:spacing w:after="0" w:line="276" w:lineRule="auto"/>
        <w:rPr>
          <w:rFonts w:ascii="Verdana" w:hAnsi="Verdana"/>
          <w:sz w:val="18"/>
          <w:szCs w:val="18"/>
        </w:rPr>
      </w:pPr>
      <w:r w:rsidRPr="007B4BC5">
        <w:rPr>
          <w:rFonts w:ascii="Verdana" w:hAnsi="Verdana"/>
          <w:i/>
          <w:sz w:val="18"/>
          <w:szCs w:val="18"/>
        </w:rPr>
        <w:t xml:space="preserve">5. </w:t>
      </w:r>
      <w:r w:rsidRPr="007B4BC5" w:rsidR="004B696A">
        <w:rPr>
          <w:rFonts w:ascii="Verdana" w:hAnsi="Verdana"/>
          <w:i/>
          <w:sz w:val="18"/>
          <w:szCs w:val="18"/>
        </w:rPr>
        <w:t>Specialisatie in de keten versterkt ondersteuning, vermindert belasting voor slachtoffers en helpt de rechtspraak</w:t>
      </w:r>
      <w:r w:rsidRPr="007B4BC5" w:rsidR="00B300DA">
        <w:rPr>
          <w:rFonts w:ascii="Verdana" w:hAnsi="Verdana"/>
          <w:i/>
          <w:sz w:val="18"/>
          <w:szCs w:val="18"/>
        </w:rPr>
        <w:br/>
      </w:r>
      <w:r w:rsidRPr="007B4BC5" w:rsidR="004B696A">
        <w:rPr>
          <w:rFonts w:ascii="Verdana" w:hAnsi="Verdana"/>
          <w:sz w:val="18"/>
          <w:szCs w:val="18"/>
        </w:rPr>
        <w:t xml:space="preserve">Gespecialiseerde rechters behandelen zaken over (ex-)partnergeweld tegen vrouwen integraal, met </w:t>
      </w:r>
      <w:r w:rsidRPr="007B4BC5" w:rsidR="004B696A">
        <w:rPr>
          <w:rFonts w:ascii="Verdana" w:hAnsi="Verdana"/>
          <w:sz w:val="18"/>
          <w:szCs w:val="18"/>
        </w:rPr>
        <w:lastRenderedPageBreak/>
        <w:t>zowel strafrechtelijke als civielrechtelijke afdoening</w:t>
      </w:r>
      <w:r w:rsidRPr="007B4BC5" w:rsidR="00BE5319">
        <w:rPr>
          <w:rFonts w:ascii="Verdana" w:hAnsi="Verdana"/>
          <w:sz w:val="18"/>
          <w:szCs w:val="18"/>
        </w:rPr>
        <w:t>, bijvoorbeeld gezag- en omgangsregeling</w:t>
      </w:r>
      <w:r w:rsidRPr="007B4BC5" w:rsidR="004B696A">
        <w:rPr>
          <w:rFonts w:ascii="Verdana" w:hAnsi="Verdana"/>
          <w:sz w:val="18"/>
          <w:szCs w:val="18"/>
        </w:rPr>
        <w:t xml:space="preserve">. Zij kunnen binnen 72 uur beschermingsmaatregelen opleggen. Bij de rechtbanken zijn multidisciplinaire teams aanwezig (Openbaar Ministerie, politie, psycholoog, forensisch arts en hulpverlening) om het slachtoffer (en de pleger, gescheiden van elkaar) op te vangen, ter plekke het strafdossier te versterken en secundaire </w:t>
      </w:r>
      <w:proofErr w:type="spellStart"/>
      <w:r w:rsidRPr="007B4BC5" w:rsidR="004B696A">
        <w:rPr>
          <w:rFonts w:ascii="Verdana" w:hAnsi="Verdana"/>
          <w:sz w:val="18"/>
          <w:szCs w:val="18"/>
        </w:rPr>
        <w:t>victimisatie</w:t>
      </w:r>
      <w:proofErr w:type="spellEnd"/>
      <w:r w:rsidRPr="007B4BC5" w:rsidR="004B696A">
        <w:rPr>
          <w:rFonts w:ascii="Verdana" w:hAnsi="Verdana"/>
          <w:sz w:val="18"/>
          <w:szCs w:val="18"/>
        </w:rPr>
        <w:t xml:space="preserve"> te voorkomen. De rechterlijke uitspraak volgt doorgaans na drie tot zes maanden, waarbij complexere zaken langer kunnen duren.</w:t>
      </w:r>
    </w:p>
    <w:p w:rsidRPr="007B4BC5" w:rsidR="00B300DA" w:rsidP="005A1FFB" w:rsidRDefault="004B696A" w14:paraId="1424008F" w14:textId="55BBC76B">
      <w:pPr>
        <w:spacing w:after="0" w:line="276" w:lineRule="auto"/>
        <w:rPr>
          <w:rFonts w:ascii="Verdana" w:hAnsi="Verdana"/>
          <w:sz w:val="18"/>
          <w:szCs w:val="18"/>
        </w:rPr>
      </w:pPr>
      <w:r w:rsidRPr="007B4BC5">
        <w:rPr>
          <w:rFonts w:ascii="Verdana" w:hAnsi="Verdana"/>
          <w:sz w:val="18"/>
          <w:szCs w:val="18"/>
        </w:rPr>
        <w:t>Deze specialisatie betreft primair zaken van (ex-)partnergeweld tegen vrouwen. Voor andere vormen van geweld—zoals seksueel geweld door niet-(ex-)partners, familiaal geweld, kindermishandeling zonder (ex-)partnergeweld of geweld tegen mannen—worden in Spanje andere routes in de strafrechtketen en hulpverlening gevolgd, waar niet altijd sprake is van dezelfde mate van specialisatie. De focus van de gespecialiseerde teams bij partnergeweld ligt op het bepalen van schade en het inschatten van noodzakelijke beschermingsmaatregelen. Voor vervolghulp kunnen slachtoffers worden doorverwezen naar sociaal-maatschappelijke inloopcentra met multidisciplinaire teams.</w:t>
      </w:r>
    </w:p>
    <w:p w:rsidRPr="007B4BC5" w:rsidR="00A50538" w:rsidP="005A1FFB" w:rsidRDefault="00A50538" w14:paraId="52747200" w14:textId="77777777">
      <w:pPr>
        <w:spacing w:after="0" w:line="276" w:lineRule="auto"/>
        <w:rPr>
          <w:rFonts w:ascii="Verdana" w:hAnsi="Verdana"/>
          <w:i/>
          <w:iCs/>
          <w:sz w:val="18"/>
          <w:szCs w:val="18"/>
        </w:rPr>
      </w:pPr>
    </w:p>
    <w:p w:rsidRPr="007B4BC5" w:rsidR="00B300DA" w:rsidP="005A1FFB" w:rsidRDefault="004B696A" w14:paraId="6F2DFBEB" w14:textId="71A130AE">
      <w:pPr>
        <w:spacing w:after="0" w:line="276" w:lineRule="auto"/>
        <w:rPr>
          <w:rFonts w:ascii="Verdana" w:hAnsi="Verdana"/>
          <w:sz w:val="18"/>
          <w:szCs w:val="18"/>
        </w:rPr>
      </w:pPr>
      <w:r w:rsidRPr="007B4BC5">
        <w:rPr>
          <w:rFonts w:ascii="Verdana" w:hAnsi="Verdana"/>
          <w:i/>
          <w:sz w:val="18"/>
          <w:szCs w:val="18"/>
        </w:rPr>
        <w:t xml:space="preserve">6. </w:t>
      </w:r>
      <w:r w:rsidRPr="007B4BC5" w:rsidR="00B300DA">
        <w:rPr>
          <w:rFonts w:ascii="Verdana" w:hAnsi="Verdana"/>
          <w:i/>
          <w:sz w:val="18"/>
          <w:szCs w:val="18"/>
        </w:rPr>
        <w:t>Structurele maatschappelijke inspraak en kennisdeling</w:t>
      </w:r>
      <w:r w:rsidRPr="007B4BC5" w:rsidR="0088788F">
        <w:rPr>
          <w:rFonts w:ascii="Verdana" w:hAnsi="Verdana"/>
          <w:i/>
          <w:sz w:val="18"/>
          <w:szCs w:val="18"/>
        </w:rPr>
        <w:br/>
      </w:r>
      <w:r w:rsidRPr="007B4BC5" w:rsidR="00B300DA">
        <w:rPr>
          <w:rFonts w:ascii="Verdana" w:hAnsi="Verdana"/>
          <w:sz w:val="18"/>
          <w:szCs w:val="18"/>
        </w:rPr>
        <w:t>Spanje kent twee wettelijk verankerde overlegstructuren die continuïteit en kennisdeling borgen:</w:t>
      </w:r>
    </w:p>
    <w:p w:rsidRPr="007B4BC5" w:rsidR="00B300DA" w:rsidP="005A1FFB" w:rsidRDefault="00B300DA" w14:paraId="52265258" w14:textId="77777777">
      <w:pPr>
        <w:numPr>
          <w:ilvl w:val="0"/>
          <w:numId w:val="4"/>
        </w:numPr>
        <w:spacing w:after="0" w:line="276" w:lineRule="auto"/>
        <w:rPr>
          <w:rFonts w:ascii="Verdana" w:hAnsi="Verdana"/>
          <w:sz w:val="18"/>
          <w:szCs w:val="18"/>
        </w:rPr>
      </w:pPr>
      <w:r w:rsidRPr="007B4BC5">
        <w:rPr>
          <w:rFonts w:ascii="Verdana" w:hAnsi="Verdana"/>
          <w:sz w:val="18"/>
          <w:szCs w:val="18"/>
        </w:rPr>
        <w:t>Raad van Vrouwen (</w:t>
      </w:r>
      <w:proofErr w:type="spellStart"/>
      <w:r w:rsidRPr="007B4BC5">
        <w:rPr>
          <w:rFonts w:ascii="Verdana" w:hAnsi="Verdana"/>
          <w:sz w:val="18"/>
          <w:szCs w:val="18"/>
        </w:rPr>
        <w:t>Consejo</w:t>
      </w:r>
      <w:proofErr w:type="spellEnd"/>
      <w:r w:rsidRPr="007B4BC5">
        <w:rPr>
          <w:rFonts w:ascii="Verdana" w:hAnsi="Verdana"/>
          <w:sz w:val="18"/>
          <w:szCs w:val="18"/>
        </w:rPr>
        <w:t xml:space="preserve"> de </w:t>
      </w:r>
      <w:proofErr w:type="spellStart"/>
      <w:r w:rsidRPr="007B4BC5">
        <w:rPr>
          <w:rFonts w:ascii="Verdana" w:hAnsi="Verdana"/>
          <w:sz w:val="18"/>
          <w:szCs w:val="18"/>
        </w:rPr>
        <w:t>Participación</w:t>
      </w:r>
      <w:proofErr w:type="spellEnd"/>
      <w:r w:rsidRPr="007B4BC5">
        <w:rPr>
          <w:rFonts w:ascii="Verdana" w:hAnsi="Verdana"/>
          <w:sz w:val="18"/>
          <w:szCs w:val="18"/>
        </w:rPr>
        <w:t xml:space="preserve"> de la </w:t>
      </w:r>
      <w:proofErr w:type="spellStart"/>
      <w:r w:rsidRPr="007B4BC5">
        <w:rPr>
          <w:rFonts w:ascii="Verdana" w:hAnsi="Verdana"/>
          <w:sz w:val="18"/>
          <w:szCs w:val="18"/>
        </w:rPr>
        <w:t>Mujer</w:t>
      </w:r>
      <w:proofErr w:type="spellEnd"/>
      <w:r w:rsidRPr="007B4BC5">
        <w:rPr>
          <w:rFonts w:ascii="Verdana" w:hAnsi="Verdana"/>
          <w:sz w:val="18"/>
          <w:szCs w:val="18"/>
        </w:rPr>
        <w:t>, wet 3/2007): 50% maatschappelijke organisaties, 50% overheid/uitvoering. Adviseert regering en parlement.</w:t>
      </w:r>
    </w:p>
    <w:p w:rsidRPr="007B4BC5" w:rsidR="00B300DA" w:rsidP="005A1FFB" w:rsidRDefault="00B300DA" w14:paraId="2331CA12" w14:textId="77777777">
      <w:pPr>
        <w:numPr>
          <w:ilvl w:val="0"/>
          <w:numId w:val="4"/>
        </w:numPr>
        <w:spacing w:after="0" w:line="276" w:lineRule="auto"/>
        <w:rPr>
          <w:rFonts w:ascii="Verdana" w:hAnsi="Verdana"/>
          <w:sz w:val="18"/>
          <w:szCs w:val="18"/>
        </w:rPr>
      </w:pPr>
      <w:r w:rsidRPr="007B4BC5">
        <w:rPr>
          <w:rFonts w:ascii="Verdana" w:hAnsi="Verdana"/>
          <w:sz w:val="18"/>
          <w:szCs w:val="18"/>
        </w:rPr>
        <w:t>Nationaal Observatorium Geweld tegen Vrouwen (</w:t>
      </w:r>
      <w:proofErr w:type="spellStart"/>
      <w:r w:rsidRPr="007B4BC5">
        <w:rPr>
          <w:rFonts w:ascii="Verdana" w:hAnsi="Verdana"/>
          <w:sz w:val="18"/>
          <w:szCs w:val="18"/>
        </w:rPr>
        <w:t>Observatorio</w:t>
      </w:r>
      <w:proofErr w:type="spellEnd"/>
      <w:r w:rsidRPr="007B4BC5">
        <w:rPr>
          <w:rFonts w:ascii="Verdana" w:hAnsi="Verdana"/>
          <w:sz w:val="18"/>
          <w:szCs w:val="18"/>
        </w:rPr>
        <w:t xml:space="preserve"> </w:t>
      </w:r>
      <w:proofErr w:type="spellStart"/>
      <w:r w:rsidRPr="007B4BC5">
        <w:rPr>
          <w:rFonts w:ascii="Verdana" w:hAnsi="Verdana"/>
          <w:sz w:val="18"/>
          <w:szCs w:val="18"/>
        </w:rPr>
        <w:t>Estatal</w:t>
      </w:r>
      <w:proofErr w:type="spellEnd"/>
      <w:r w:rsidRPr="007B4BC5">
        <w:rPr>
          <w:rFonts w:ascii="Verdana" w:hAnsi="Verdana"/>
          <w:sz w:val="18"/>
          <w:szCs w:val="18"/>
        </w:rPr>
        <w:t xml:space="preserve">, wet 1/2004): ministeries, autonome regio’s, wetenschap, media en </w:t>
      </w:r>
      <w:proofErr w:type="spellStart"/>
      <w:r w:rsidRPr="007B4BC5">
        <w:rPr>
          <w:rFonts w:ascii="Verdana" w:hAnsi="Verdana"/>
          <w:sz w:val="18"/>
          <w:szCs w:val="18"/>
        </w:rPr>
        <w:t>NGO’s</w:t>
      </w:r>
      <w:proofErr w:type="spellEnd"/>
      <w:r w:rsidRPr="007B4BC5">
        <w:rPr>
          <w:rFonts w:ascii="Verdana" w:hAnsi="Verdana"/>
          <w:sz w:val="18"/>
          <w:szCs w:val="18"/>
        </w:rPr>
        <w:t xml:space="preserve">. Publiceert analyses, doet beleidsaanbevelingen en beheert de nationale </w:t>
      </w:r>
      <w:proofErr w:type="spellStart"/>
      <w:r w:rsidRPr="007B4BC5">
        <w:rPr>
          <w:rFonts w:ascii="Verdana" w:hAnsi="Verdana"/>
          <w:sz w:val="18"/>
          <w:szCs w:val="18"/>
        </w:rPr>
        <w:t>datainfrastructuur</w:t>
      </w:r>
      <w:proofErr w:type="spellEnd"/>
      <w:r w:rsidRPr="007B4BC5">
        <w:rPr>
          <w:rFonts w:ascii="Verdana" w:hAnsi="Verdana"/>
          <w:sz w:val="18"/>
          <w:szCs w:val="18"/>
        </w:rPr>
        <w:t>.</w:t>
      </w:r>
    </w:p>
    <w:p w:rsidRPr="007B4BC5" w:rsidR="00B300DA" w:rsidP="005A1FFB" w:rsidRDefault="00B300DA" w14:paraId="4821CEAF" w14:textId="5A1E76A6">
      <w:pPr>
        <w:spacing w:after="0" w:line="276" w:lineRule="auto"/>
        <w:rPr>
          <w:rFonts w:ascii="Verdana" w:hAnsi="Verdana"/>
          <w:sz w:val="18"/>
          <w:szCs w:val="18"/>
        </w:rPr>
      </w:pPr>
      <w:r w:rsidRPr="007B4BC5">
        <w:rPr>
          <w:rFonts w:ascii="Verdana" w:hAnsi="Verdana"/>
          <w:sz w:val="18"/>
          <w:szCs w:val="18"/>
        </w:rPr>
        <w:t xml:space="preserve">Deze organen vervullen een rol die in Nederland is verspreid over </w:t>
      </w:r>
      <w:proofErr w:type="spellStart"/>
      <w:r w:rsidRPr="007B4BC5">
        <w:rPr>
          <w:rFonts w:ascii="Verdana" w:hAnsi="Verdana"/>
          <w:sz w:val="18"/>
          <w:szCs w:val="18"/>
        </w:rPr>
        <w:t>NGO’s</w:t>
      </w:r>
      <w:proofErr w:type="spellEnd"/>
      <w:r w:rsidRPr="007B4BC5">
        <w:rPr>
          <w:rFonts w:ascii="Verdana" w:hAnsi="Verdana"/>
          <w:sz w:val="18"/>
          <w:szCs w:val="18"/>
        </w:rPr>
        <w:t xml:space="preserve">, kennisinstituten, adviesraden en </w:t>
      </w:r>
      <w:r w:rsidRPr="007B4BC5" w:rsidR="00D32F0A">
        <w:rPr>
          <w:rFonts w:ascii="Verdana" w:hAnsi="Verdana"/>
          <w:sz w:val="18"/>
          <w:szCs w:val="18"/>
        </w:rPr>
        <w:t>(</w:t>
      </w:r>
      <w:proofErr w:type="spellStart"/>
      <w:r w:rsidRPr="007B4BC5" w:rsidR="00D32F0A">
        <w:rPr>
          <w:rFonts w:ascii="Verdana" w:hAnsi="Verdana"/>
          <w:sz w:val="18"/>
          <w:szCs w:val="18"/>
        </w:rPr>
        <w:t>inter</w:t>
      </w:r>
      <w:proofErr w:type="spellEnd"/>
      <w:r w:rsidRPr="007B4BC5" w:rsidR="00D32F0A">
        <w:rPr>
          <w:rFonts w:ascii="Verdana" w:hAnsi="Verdana"/>
          <w:sz w:val="18"/>
          <w:szCs w:val="18"/>
        </w:rPr>
        <w:t>)</w:t>
      </w:r>
      <w:r w:rsidRPr="007B4BC5">
        <w:rPr>
          <w:rFonts w:ascii="Verdana" w:hAnsi="Verdana"/>
          <w:sz w:val="18"/>
          <w:szCs w:val="18"/>
        </w:rPr>
        <w:t>departementale werkgroepen.</w:t>
      </w:r>
    </w:p>
    <w:p w:rsidRPr="007B4BC5" w:rsidR="00A50538" w:rsidP="00C4289C" w:rsidRDefault="00A50538" w14:paraId="2EFE1468" w14:textId="77777777">
      <w:pPr>
        <w:spacing w:after="0" w:line="276" w:lineRule="auto"/>
        <w:rPr>
          <w:rFonts w:ascii="Verdana" w:hAnsi="Verdana"/>
          <w:i/>
          <w:iCs/>
          <w:sz w:val="18"/>
          <w:szCs w:val="18"/>
        </w:rPr>
      </w:pPr>
    </w:p>
    <w:p w:rsidRPr="007B4BC5" w:rsidR="00B300DA" w:rsidP="005A1FFB" w:rsidRDefault="004B696A" w14:paraId="0E7C5C49" w14:textId="00707036">
      <w:pPr>
        <w:spacing w:after="0" w:line="276" w:lineRule="auto"/>
        <w:rPr>
          <w:rFonts w:ascii="Verdana" w:hAnsi="Verdana"/>
          <w:sz w:val="18"/>
          <w:szCs w:val="18"/>
        </w:rPr>
      </w:pPr>
      <w:r w:rsidRPr="007B4BC5">
        <w:rPr>
          <w:rFonts w:ascii="Verdana" w:hAnsi="Verdana"/>
          <w:i/>
          <w:sz w:val="18"/>
          <w:szCs w:val="18"/>
        </w:rPr>
        <w:t xml:space="preserve">7. </w:t>
      </w:r>
      <w:r w:rsidRPr="007B4BC5" w:rsidR="00B300DA">
        <w:rPr>
          <w:rFonts w:ascii="Verdana" w:hAnsi="Verdana"/>
          <w:i/>
          <w:sz w:val="18"/>
          <w:szCs w:val="18"/>
        </w:rPr>
        <w:t>Sterke preventieve basis</w:t>
      </w:r>
      <w:r w:rsidRPr="007B4BC5" w:rsidR="0088788F">
        <w:rPr>
          <w:rFonts w:ascii="Verdana" w:hAnsi="Verdana"/>
          <w:b/>
          <w:sz w:val="18"/>
          <w:szCs w:val="18"/>
        </w:rPr>
        <w:br/>
      </w:r>
      <w:r w:rsidRPr="007B4BC5" w:rsidR="00B300DA">
        <w:rPr>
          <w:rFonts w:ascii="Verdana" w:hAnsi="Verdana"/>
          <w:sz w:val="18"/>
          <w:szCs w:val="18"/>
        </w:rPr>
        <w:t xml:space="preserve">Preventie is een centrale pijler. Er wordt structureel ingezet op gendergelijkheid en cultuurverandering. Bewustwordingscampagnes, </w:t>
      </w:r>
      <w:r w:rsidR="007E1EA7">
        <w:rPr>
          <w:rFonts w:ascii="Verdana" w:hAnsi="Verdana"/>
          <w:sz w:val="18"/>
          <w:szCs w:val="18"/>
        </w:rPr>
        <w:t xml:space="preserve">de kleur </w:t>
      </w:r>
      <w:r w:rsidRPr="007B4BC5" w:rsidR="00B300DA">
        <w:rPr>
          <w:rFonts w:ascii="Verdana" w:hAnsi="Verdana"/>
          <w:sz w:val="18"/>
          <w:szCs w:val="18"/>
        </w:rPr>
        <w:t>paars als nationaal symbool</w:t>
      </w:r>
      <w:r w:rsidRPr="007B4BC5">
        <w:rPr>
          <w:rFonts w:ascii="Verdana" w:hAnsi="Verdana"/>
          <w:sz w:val="18"/>
          <w:szCs w:val="18"/>
        </w:rPr>
        <w:t xml:space="preserve"> voor geweld tegen vrouwen</w:t>
      </w:r>
      <w:r w:rsidRPr="007B4BC5" w:rsidR="00B300DA">
        <w:rPr>
          <w:rFonts w:ascii="Verdana" w:hAnsi="Verdana"/>
          <w:sz w:val="18"/>
          <w:szCs w:val="18"/>
        </w:rPr>
        <w:t xml:space="preserve"> </w:t>
      </w:r>
      <w:r w:rsidRPr="007B4BC5" w:rsidR="00A50538">
        <w:rPr>
          <w:rFonts w:ascii="Verdana" w:hAnsi="Verdana"/>
          <w:sz w:val="18"/>
          <w:szCs w:val="18"/>
        </w:rPr>
        <w:t xml:space="preserve">(overal herkenbaar in het straatbeeld) </w:t>
      </w:r>
      <w:r w:rsidRPr="007B4BC5" w:rsidR="00B300DA">
        <w:rPr>
          <w:rFonts w:ascii="Verdana" w:hAnsi="Verdana"/>
          <w:sz w:val="18"/>
          <w:szCs w:val="18"/>
        </w:rPr>
        <w:t>en mediabegeleiding</w:t>
      </w:r>
      <w:r w:rsidRPr="007B4BC5">
        <w:rPr>
          <w:rStyle w:val="Voetnootmarkering"/>
          <w:rFonts w:ascii="Verdana" w:hAnsi="Verdana"/>
          <w:sz w:val="18"/>
          <w:szCs w:val="18"/>
        </w:rPr>
        <w:footnoteReference w:id="1"/>
      </w:r>
      <w:r w:rsidRPr="007B4BC5">
        <w:rPr>
          <w:rFonts w:ascii="Verdana" w:hAnsi="Verdana"/>
          <w:sz w:val="18"/>
          <w:szCs w:val="18"/>
        </w:rPr>
        <w:t xml:space="preserve"> </w:t>
      </w:r>
      <w:r w:rsidRPr="007B4BC5" w:rsidR="00B300DA">
        <w:rPr>
          <w:rFonts w:ascii="Verdana" w:hAnsi="Verdana"/>
          <w:sz w:val="18"/>
          <w:szCs w:val="18"/>
        </w:rPr>
        <w:t xml:space="preserve"> dragen bij aan het maatschappelijke narratief: “Geweld tegen vrouwen is een maatschappelijk probleem, geen privézaak.”</w:t>
      </w:r>
    </w:p>
    <w:p w:rsidRPr="007B4BC5" w:rsidR="00B300DA" w:rsidP="005A1FFB" w:rsidRDefault="00B300DA" w14:paraId="53ED25B9" w14:textId="148C171D">
      <w:pPr>
        <w:spacing w:after="0" w:line="276" w:lineRule="auto"/>
        <w:rPr>
          <w:rFonts w:ascii="Verdana" w:hAnsi="Verdana"/>
          <w:sz w:val="18"/>
          <w:szCs w:val="18"/>
        </w:rPr>
      </w:pPr>
      <w:r w:rsidRPr="007B4BC5">
        <w:rPr>
          <w:rFonts w:ascii="Verdana" w:hAnsi="Verdana"/>
          <w:sz w:val="18"/>
          <w:szCs w:val="18"/>
        </w:rPr>
        <w:t xml:space="preserve">Daarnaast zijn er wettelijke verplichtingen: scholen, media en bedrijven moeten actief bijdragen aan gelijkheid en geweldspreventie. Zonder gelijkheidsplan </w:t>
      </w:r>
      <w:r w:rsidRPr="007B4BC5" w:rsidR="00D32F0A">
        <w:rPr>
          <w:rFonts w:ascii="Verdana" w:hAnsi="Verdana"/>
          <w:sz w:val="18"/>
          <w:szCs w:val="18"/>
        </w:rPr>
        <w:t xml:space="preserve">zijn er </w:t>
      </w:r>
      <w:r w:rsidRPr="007B4BC5">
        <w:rPr>
          <w:rFonts w:ascii="Verdana" w:hAnsi="Verdana"/>
          <w:sz w:val="18"/>
          <w:szCs w:val="18"/>
        </w:rPr>
        <w:t>geen overheidsopdrachten of subsidies</w:t>
      </w:r>
      <w:r w:rsidRPr="007B4BC5" w:rsidR="00D32F0A">
        <w:rPr>
          <w:rFonts w:ascii="Verdana" w:hAnsi="Verdana"/>
          <w:sz w:val="18"/>
          <w:szCs w:val="18"/>
        </w:rPr>
        <w:t xml:space="preserve"> mogelijk</w:t>
      </w:r>
      <w:r w:rsidRPr="007B4BC5">
        <w:rPr>
          <w:rFonts w:ascii="Verdana" w:hAnsi="Verdana"/>
          <w:sz w:val="18"/>
          <w:szCs w:val="18"/>
        </w:rPr>
        <w:t>.</w:t>
      </w:r>
    </w:p>
    <w:p w:rsidRPr="007B4BC5" w:rsidR="00A50538" w:rsidP="00C4289C" w:rsidRDefault="00A50538" w14:paraId="64A49F95" w14:textId="77777777">
      <w:pPr>
        <w:spacing w:after="0" w:line="276" w:lineRule="auto"/>
        <w:rPr>
          <w:rFonts w:ascii="Verdana" w:hAnsi="Verdana"/>
          <w:i/>
          <w:iCs/>
          <w:sz w:val="18"/>
          <w:szCs w:val="18"/>
        </w:rPr>
      </w:pPr>
    </w:p>
    <w:p w:rsidRPr="007B4BC5" w:rsidR="00B300DA" w:rsidP="005A1FFB" w:rsidRDefault="004B696A" w14:paraId="15CA5362" w14:textId="5B104069">
      <w:pPr>
        <w:spacing w:after="0" w:line="276" w:lineRule="auto"/>
        <w:rPr>
          <w:rFonts w:ascii="Verdana" w:hAnsi="Verdana"/>
          <w:sz w:val="18"/>
          <w:szCs w:val="18"/>
        </w:rPr>
      </w:pPr>
      <w:r w:rsidRPr="007B4BC5">
        <w:rPr>
          <w:rFonts w:ascii="Verdana" w:hAnsi="Verdana"/>
          <w:i/>
          <w:sz w:val="18"/>
          <w:szCs w:val="18"/>
        </w:rPr>
        <w:t xml:space="preserve">8. </w:t>
      </w:r>
      <w:r w:rsidRPr="007B4BC5" w:rsidR="00B300DA">
        <w:rPr>
          <w:rFonts w:ascii="Verdana" w:hAnsi="Verdana"/>
          <w:i/>
          <w:sz w:val="18"/>
          <w:szCs w:val="18"/>
        </w:rPr>
        <w:t>Snelle en zichtbare bescherming voorkomt dodelijk geweld</w:t>
      </w:r>
      <w:r w:rsidRPr="007B4BC5" w:rsidR="0088788F">
        <w:rPr>
          <w:rFonts w:ascii="Verdana" w:hAnsi="Verdana"/>
          <w:i/>
          <w:sz w:val="18"/>
          <w:szCs w:val="18"/>
        </w:rPr>
        <w:br/>
      </w:r>
      <w:r w:rsidRPr="007B4BC5" w:rsidR="00B300DA">
        <w:rPr>
          <w:rFonts w:ascii="Verdana" w:hAnsi="Verdana"/>
          <w:sz w:val="18"/>
          <w:szCs w:val="18"/>
        </w:rPr>
        <w:t xml:space="preserve">Elektronische monitoring (enkelband + </w:t>
      </w:r>
      <w:proofErr w:type="spellStart"/>
      <w:r w:rsidRPr="007B4BC5" w:rsidR="00B300DA">
        <w:rPr>
          <w:rFonts w:ascii="Verdana" w:hAnsi="Verdana"/>
          <w:sz w:val="18"/>
          <w:szCs w:val="18"/>
        </w:rPr>
        <w:t>slachtofferdevice</w:t>
      </w:r>
      <w:proofErr w:type="spellEnd"/>
      <w:r w:rsidRPr="007B4BC5" w:rsidR="00B300DA">
        <w:rPr>
          <w:rFonts w:ascii="Verdana" w:hAnsi="Verdana"/>
          <w:sz w:val="18"/>
          <w:szCs w:val="18"/>
        </w:rPr>
        <w:t xml:space="preserve">) is bewezen effectief: sinds invoering in 2009 zijn geen </w:t>
      </w:r>
      <w:proofErr w:type="spellStart"/>
      <w:r w:rsidRPr="007B4BC5" w:rsidR="00B300DA">
        <w:rPr>
          <w:rFonts w:ascii="Verdana" w:hAnsi="Verdana"/>
          <w:sz w:val="18"/>
          <w:szCs w:val="18"/>
        </w:rPr>
        <w:t>femicides</w:t>
      </w:r>
      <w:proofErr w:type="spellEnd"/>
      <w:r w:rsidRPr="007B4BC5" w:rsidR="00B300DA">
        <w:rPr>
          <w:rFonts w:ascii="Verdana" w:hAnsi="Verdana"/>
          <w:sz w:val="18"/>
          <w:szCs w:val="18"/>
        </w:rPr>
        <w:t xml:space="preserve"> gepleegd door plegers met een enkelband. Sindsdien droegen circa 21.000 mannen een enkelband; op dit moment zijn dat er ongeveer 4.500.</w:t>
      </w:r>
    </w:p>
    <w:p w:rsidRPr="007B4BC5" w:rsidR="00A50538" w:rsidP="00C4289C" w:rsidRDefault="00A50538" w14:paraId="071B603E" w14:textId="77777777">
      <w:pPr>
        <w:spacing w:after="0" w:line="276" w:lineRule="auto"/>
        <w:rPr>
          <w:rFonts w:ascii="Verdana" w:hAnsi="Verdana"/>
          <w:i/>
          <w:iCs/>
          <w:sz w:val="18"/>
          <w:szCs w:val="18"/>
        </w:rPr>
      </w:pPr>
    </w:p>
    <w:p w:rsidRPr="007B4BC5" w:rsidR="00B300DA" w:rsidP="005A1FFB" w:rsidRDefault="004B696A" w14:paraId="6FE1EFE3" w14:textId="4F75D43D">
      <w:pPr>
        <w:spacing w:after="0" w:line="276" w:lineRule="auto"/>
        <w:rPr>
          <w:rFonts w:ascii="Verdana" w:hAnsi="Verdana"/>
          <w:sz w:val="18"/>
          <w:szCs w:val="18"/>
        </w:rPr>
      </w:pPr>
      <w:r w:rsidRPr="007B4BC5">
        <w:rPr>
          <w:rFonts w:ascii="Verdana" w:hAnsi="Verdana"/>
          <w:i/>
          <w:sz w:val="18"/>
          <w:szCs w:val="18"/>
        </w:rPr>
        <w:t xml:space="preserve">9. </w:t>
      </w:r>
      <w:r w:rsidRPr="007B4BC5" w:rsidR="00B300DA">
        <w:rPr>
          <w:rFonts w:ascii="Verdana" w:hAnsi="Verdana"/>
          <w:i/>
          <w:sz w:val="18"/>
          <w:szCs w:val="18"/>
        </w:rPr>
        <w:t>Slachtoffer en</w:t>
      </w:r>
      <w:r w:rsidRPr="007B4BC5">
        <w:rPr>
          <w:rFonts w:ascii="Verdana" w:hAnsi="Verdana"/>
          <w:i/>
          <w:sz w:val="18"/>
          <w:szCs w:val="18"/>
        </w:rPr>
        <w:t xml:space="preserve"> haar</w:t>
      </w:r>
      <w:r w:rsidRPr="007B4BC5" w:rsidR="00B300DA">
        <w:rPr>
          <w:rFonts w:ascii="Verdana" w:hAnsi="Verdana"/>
          <w:i/>
          <w:sz w:val="18"/>
          <w:szCs w:val="18"/>
        </w:rPr>
        <w:t xml:space="preserve"> kinderen staan centraal</w:t>
      </w:r>
      <w:r w:rsidRPr="007B4BC5" w:rsidR="0088788F">
        <w:rPr>
          <w:rFonts w:ascii="Verdana" w:hAnsi="Verdana"/>
          <w:i/>
          <w:sz w:val="18"/>
          <w:szCs w:val="18"/>
        </w:rPr>
        <w:br/>
      </w:r>
      <w:r w:rsidRPr="007B4BC5" w:rsidR="00B300DA">
        <w:rPr>
          <w:rFonts w:ascii="Verdana" w:hAnsi="Verdana"/>
          <w:sz w:val="18"/>
          <w:szCs w:val="18"/>
        </w:rPr>
        <w:t xml:space="preserve">Kinderen van </w:t>
      </w:r>
      <w:proofErr w:type="spellStart"/>
      <w:r w:rsidRPr="007B4BC5" w:rsidR="00B300DA">
        <w:rPr>
          <w:rFonts w:ascii="Verdana" w:hAnsi="Verdana"/>
          <w:sz w:val="18"/>
          <w:szCs w:val="18"/>
        </w:rPr>
        <w:t>femicide</w:t>
      </w:r>
      <w:proofErr w:type="spellEnd"/>
      <w:r w:rsidRPr="007B4BC5" w:rsidR="00B300DA">
        <w:rPr>
          <w:rFonts w:ascii="Verdana" w:hAnsi="Verdana"/>
          <w:sz w:val="18"/>
          <w:szCs w:val="18"/>
        </w:rPr>
        <w:t>-slachtoffers worden juridisch erkend als slachtoffer en ontvangen schadevergoeding en onderwijsbeurzen</w:t>
      </w:r>
      <w:r w:rsidRPr="007B4BC5" w:rsidR="00AA30D6">
        <w:rPr>
          <w:rFonts w:ascii="Verdana" w:hAnsi="Verdana"/>
          <w:sz w:val="18"/>
          <w:szCs w:val="18"/>
        </w:rPr>
        <w:t xml:space="preserve"> via </w:t>
      </w:r>
      <w:proofErr w:type="spellStart"/>
      <w:r w:rsidRPr="007B4BC5" w:rsidR="00AA30D6">
        <w:rPr>
          <w:rFonts w:ascii="Verdana" w:hAnsi="Verdana"/>
          <w:sz w:val="18"/>
          <w:szCs w:val="18"/>
        </w:rPr>
        <w:t>NGO’s</w:t>
      </w:r>
      <w:proofErr w:type="spellEnd"/>
      <w:r w:rsidRPr="007B4BC5" w:rsidR="00B300DA">
        <w:rPr>
          <w:rFonts w:ascii="Verdana" w:hAnsi="Verdana"/>
          <w:sz w:val="18"/>
          <w:szCs w:val="18"/>
        </w:rPr>
        <w:t>. Rechters kunnen bij moord of doodslag het ouderlijk gezag van de pleger beëindigen. Bij mishandeling kunnen zij bepalen dat het slachtoffer en de kinderen in de woning kunnen blijven.</w:t>
      </w:r>
    </w:p>
    <w:p w:rsidRPr="007B4BC5" w:rsidR="00A50538" w:rsidP="00C4289C" w:rsidRDefault="00A50538" w14:paraId="3DE3DDEC" w14:textId="77777777">
      <w:pPr>
        <w:spacing w:after="0" w:line="276" w:lineRule="auto"/>
        <w:rPr>
          <w:rFonts w:ascii="Verdana" w:hAnsi="Verdana"/>
          <w:i/>
          <w:iCs/>
          <w:sz w:val="18"/>
          <w:szCs w:val="18"/>
        </w:rPr>
      </w:pPr>
    </w:p>
    <w:p w:rsidRPr="007B4BC5" w:rsidR="00B300DA" w:rsidP="005A1FFB" w:rsidRDefault="004B696A" w14:paraId="6BF574F0" w14:textId="30EBF22F">
      <w:pPr>
        <w:spacing w:after="0" w:line="276" w:lineRule="auto"/>
        <w:rPr>
          <w:rFonts w:ascii="Verdana" w:hAnsi="Verdana"/>
          <w:sz w:val="18"/>
          <w:szCs w:val="18"/>
        </w:rPr>
      </w:pPr>
      <w:r w:rsidRPr="007B4BC5">
        <w:rPr>
          <w:rFonts w:ascii="Verdana" w:hAnsi="Verdana"/>
          <w:i/>
          <w:sz w:val="18"/>
          <w:szCs w:val="18"/>
        </w:rPr>
        <w:t xml:space="preserve">10. </w:t>
      </w:r>
      <w:r w:rsidRPr="007B4BC5" w:rsidR="00B300DA">
        <w:rPr>
          <w:rFonts w:ascii="Verdana" w:hAnsi="Verdana"/>
          <w:i/>
          <w:sz w:val="18"/>
          <w:szCs w:val="18"/>
        </w:rPr>
        <w:t>Fijnmazig netwerk van opvang en ondersteuning</w:t>
      </w:r>
      <w:r w:rsidRPr="007B4BC5" w:rsidR="0088788F">
        <w:rPr>
          <w:rFonts w:ascii="Verdana" w:hAnsi="Verdana"/>
          <w:i/>
          <w:sz w:val="18"/>
          <w:szCs w:val="18"/>
        </w:rPr>
        <w:br/>
      </w:r>
      <w:r w:rsidRPr="007B4BC5" w:rsidR="00B300DA">
        <w:rPr>
          <w:rFonts w:ascii="Verdana" w:hAnsi="Verdana"/>
          <w:sz w:val="18"/>
          <w:szCs w:val="18"/>
        </w:rPr>
        <w:t xml:space="preserve">Spanje beschikt over een ruime capaciteit aan </w:t>
      </w:r>
      <w:r w:rsidRPr="007B4BC5" w:rsidR="0094189D">
        <w:rPr>
          <w:rFonts w:ascii="Verdana" w:hAnsi="Verdana"/>
          <w:sz w:val="18"/>
          <w:szCs w:val="18"/>
        </w:rPr>
        <w:t>nacht- en dag</w:t>
      </w:r>
      <w:r w:rsidRPr="007B4BC5" w:rsidR="00B300DA">
        <w:rPr>
          <w:rFonts w:ascii="Verdana" w:hAnsi="Verdana"/>
          <w:sz w:val="18"/>
          <w:szCs w:val="18"/>
        </w:rPr>
        <w:t xml:space="preserve">opvangplekken met beveiliging, juridische ondersteuning, psychologische hulp, financiële steun en arbeidstoeleiding. De centra zijn onderling verbonden en verwijzen vrouwen naar de best passende locatie. </w:t>
      </w:r>
      <w:r w:rsidRPr="007B4BC5" w:rsidR="0094189D">
        <w:rPr>
          <w:rFonts w:ascii="Verdana" w:hAnsi="Verdana"/>
          <w:sz w:val="18"/>
          <w:szCs w:val="18"/>
        </w:rPr>
        <w:t>Daarbij wordt ook veel geleund op het plaatsen van vrouwen bij familieleden of eigen woningen. Het team achter het</w:t>
      </w:r>
      <w:r w:rsidRPr="007B4BC5" w:rsidR="00B300DA">
        <w:rPr>
          <w:rFonts w:ascii="Verdana" w:hAnsi="Verdana"/>
          <w:sz w:val="18"/>
          <w:szCs w:val="18"/>
        </w:rPr>
        <w:t xml:space="preserve"> nationale telefoonnummer</w:t>
      </w:r>
      <w:r w:rsidRPr="007B4BC5" w:rsidR="0094189D">
        <w:rPr>
          <w:rFonts w:ascii="Verdana" w:hAnsi="Verdana"/>
          <w:sz w:val="18"/>
          <w:szCs w:val="18"/>
        </w:rPr>
        <w:t xml:space="preserve">, onder leiding van de autonome regio’s, coördineert de hulpverlening. </w:t>
      </w:r>
    </w:p>
    <w:p w:rsidRPr="007B4BC5" w:rsidR="00A50538" w:rsidP="00C4289C" w:rsidRDefault="00A50538" w14:paraId="4B8671AA" w14:textId="77777777">
      <w:pPr>
        <w:spacing w:after="0" w:line="276" w:lineRule="auto"/>
        <w:rPr>
          <w:rFonts w:ascii="Verdana" w:hAnsi="Verdana"/>
          <w:b/>
          <w:bCs/>
          <w:sz w:val="18"/>
          <w:szCs w:val="18"/>
        </w:rPr>
      </w:pPr>
    </w:p>
    <w:p w:rsidRPr="007B4BC5" w:rsidR="00542910" w:rsidP="005A1FFB" w:rsidRDefault="00542910" w14:paraId="722CF109" w14:textId="285A17A5">
      <w:pPr>
        <w:spacing w:after="0" w:line="276" w:lineRule="auto"/>
        <w:rPr>
          <w:rFonts w:ascii="Verdana" w:hAnsi="Verdana"/>
          <w:b/>
          <w:sz w:val="18"/>
          <w:szCs w:val="18"/>
        </w:rPr>
      </w:pPr>
      <w:r w:rsidRPr="007B4BC5">
        <w:rPr>
          <w:rFonts w:ascii="Verdana" w:hAnsi="Verdana"/>
          <w:b/>
          <w:sz w:val="18"/>
          <w:szCs w:val="18"/>
        </w:rPr>
        <w:t>Kanttekeningen en context</w:t>
      </w:r>
    </w:p>
    <w:p w:rsidRPr="007B4BC5" w:rsidR="00B300DA" w:rsidP="005A1FFB" w:rsidRDefault="00B300DA" w14:paraId="68F5EB7E" w14:textId="77777777">
      <w:pPr>
        <w:spacing w:after="0" w:line="276" w:lineRule="auto"/>
        <w:rPr>
          <w:rFonts w:ascii="Verdana" w:hAnsi="Verdana"/>
          <w:sz w:val="18"/>
          <w:szCs w:val="18"/>
        </w:rPr>
      </w:pPr>
      <w:r w:rsidRPr="007B4BC5">
        <w:rPr>
          <w:rFonts w:ascii="Verdana" w:hAnsi="Verdana"/>
          <w:sz w:val="18"/>
          <w:szCs w:val="18"/>
        </w:rPr>
        <w:t>Bij het vertalen van de Spaanse lessen naar de Nederlandse context moeten enkele wezenlijke verschillen worden onderkend:</w:t>
      </w:r>
    </w:p>
    <w:p w:rsidRPr="007B4BC5" w:rsidR="00B300DA" w:rsidP="005A1FFB" w:rsidRDefault="00B300DA" w14:paraId="7CB7A47D" w14:textId="7E1D0623">
      <w:pPr>
        <w:numPr>
          <w:ilvl w:val="0"/>
          <w:numId w:val="3"/>
        </w:numPr>
        <w:tabs>
          <w:tab w:val="clear" w:pos="720"/>
          <w:tab w:val="num" w:pos="360"/>
        </w:tabs>
        <w:autoSpaceDN w:val="0"/>
        <w:spacing w:after="0" w:line="240" w:lineRule="atLeast"/>
        <w:ind w:left="360"/>
        <w:textAlignment w:val="baseline"/>
        <w:rPr>
          <w:rFonts w:ascii="Verdana" w:hAnsi="Verdana"/>
          <w:sz w:val="18"/>
          <w:szCs w:val="18"/>
        </w:rPr>
      </w:pPr>
      <w:r w:rsidRPr="007B4BC5">
        <w:rPr>
          <w:rFonts w:ascii="Verdana" w:hAnsi="Verdana"/>
          <w:i/>
          <w:sz w:val="18"/>
          <w:szCs w:val="18"/>
        </w:rPr>
        <w:t>Politieke en bestuurlijke context:</w:t>
      </w:r>
      <w:r w:rsidRPr="007B4BC5">
        <w:rPr>
          <w:rFonts w:ascii="Verdana" w:hAnsi="Verdana"/>
          <w:sz w:val="18"/>
          <w:szCs w:val="18"/>
        </w:rPr>
        <w:br/>
        <w:t xml:space="preserve">Spanje is </w:t>
      </w:r>
      <w:r w:rsidRPr="007B4BC5" w:rsidR="00A50538">
        <w:rPr>
          <w:rFonts w:ascii="Verdana" w:hAnsi="Verdana"/>
          <w:sz w:val="18"/>
          <w:szCs w:val="18"/>
        </w:rPr>
        <w:t xml:space="preserve">net als Nederland </w:t>
      </w:r>
      <w:r w:rsidRPr="007B4BC5">
        <w:rPr>
          <w:rFonts w:ascii="Verdana" w:hAnsi="Verdana"/>
          <w:sz w:val="18"/>
          <w:szCs w:val="18"/>
        </w:rPr>
        <w:t xml:space="preserve">een gedecentraliseerde eenheidsstaat, </w:t>
      </w:r>
      <w:r w:rsidRPr="007B4BC5" w:rsidR="00A50538">
        <w:rPr>
          <w:rFonts w:ascii="Verdana" w:hAnsi="Verdana"/>
          <w:sz w:val="18"/>
          <w:szCs w:val="18"/>
        </w:rPr>
        <w:t xml:space="preserve">maar </w:t>
      </w:r>
      <w:r w:rsidRPr="007B4BC5">
        <w:rPr>
          <w:rFonts w:ascii="Verdana" w:hAnsi="Verdana"/>
          <w:sz w:val="18"/>
          <w:szCs w:val="18"/>
        </w:rPr>
        <w:t xml:space="preserve">met 17 autonome regio’s met 17 autonome gemeenschappen en twee autonome steden, die op basis van de Grondwet aanzienlijke eigen bevoegdheden hebben. Nationale wetgeving </w:t>
      </w:r>
      <w:r w:rsidRPr="007B4BC5" w:rsidR="00A50538">
        <w:rPr>
          <w:rFonts w:ascii="Verdana" w:hAnsi="Verdana"/>
          <w:sz w:val="18"/>
          <w:szCs w:val="18"/>
        </w:rPr>
        <w:t>ten aanzien van geweld tegen vrouwen is</w:t>
      </w:r>
      <w:r w:rsidRPr="007B4BC5">
        <w:rPr>
          <w:rFonts w:ascii="Verdana" w:hAnsi="Verdana"/>
          <w:sz w:val="18"/>
          <w:szCs w:val="18"/>
        </w:rPr>
        <w:t xml:space="preserve"> echter leidend</w:t>
      </w:r>
      <w:r w:rsidRPr="007B4BC5" w:rsidR="0094189D">
        <w:rPr>
          <w:rFonts w:ascii="Verdana" w:hAnsi="Verdana"/>
          <w:sz w:val="18"/>
          <w:szCs w:val="18"/>
        </w:rPr>
        <w:t>, gedetailleerd</w:t>
      </w:r>
      <w:r w:rsidRPr="007B4BC5">
        <w:rPr>
          <w:rFonts w:ascii="Verdana" w:hAnsi="Verdana"/>
          <w:sz w:val="18"/>
          <w:szCs w:val="18"/>
        </w:rPr>
        <w:t xml:space="preserve"> en werkt rechtstreeks door in regionale en lokale structuren</w:t>
      </w:r>
      <w:r w:rsidRPr="007B4BC5" w:rsidR="0094189D">
        <w:rPr>
          <w:rFonts w:ascii="Verdana" w:hAnsi="Verdana"/>
          <w:sz w:val="18"/>
          <w:szCs w:val="18"/>
        </w:rPr>
        <w:t xml:space="preserve"> waardoor landelijk het gezag ligt</w:t>
      </w:r>
      <w:r w:rsidRPr="007B4BC5">
        <w:rPr>
          <w:rFonts w:ascii="Verdana" w:hAnsi="Verdana"/>
          <w:sz w:val="18"/>
          <w:szCs w:val="18"/>
        </w:rPr>
        <w:t xml:space="preserve">. </w:t>
      </w:r>
      <w:r w:rsidRPr="007B4BC5" w:rsidR="00A50538">
        <w:rPr>
          <w:rFonts w:ascii="Verdana" w:hAnsi="Verdana"/>
          <w:sz w:val="18"/>
          <w:szCs w:val="18"/>
        </w:rPr>
        <w:t xml:space="preserve">In Nederland hebben </w:t>
      </w:r>
      <w:r w:rsidRPr="007B4BC5">
        <w:rPr>
          <w:rFonts w:ascii="Verdana" w:hAnsi="Verdana"/>
          <w:sz w:val="18"/>
          <w:szCs w:val="18"/>
        </w:rPr>
        <w:t>gemeenten en regio’s een grote</w:t>
      </w:r>
      <w:r w:rsidRPr="007B4BC5" w:rsidR="00A50538">
        <w:rPr>
          <w:rFonts w:ascii="Verdana" w:hAnsi="Verdana"/>
          <w:sz w:val="18"/>
          <w:szCs w:val="18"/>
        </w:rPr>
        <w:t>re</w:t>
      </w:r>
      <w:r w:rsidRPr="007B4BC5">
        <w:rPr>
          <w:rFonts w:ascii="Verdana" w:hAnsi="Verdana"/>
          <w:sz w:val="18"/>
          <w:szCs w:val="18"/>
        </w:rPr>
        <w:t xml:space="preserve"> beleidsvrijheid op het terrein van veiligheid, hulpverlening en preventie. Dit maakt landelijke sturing minder hiërarchisch en meer afhankelijk van interbestuurlijke samenwerking dan van centrale aansturing.</w:t>
      </w:r>
    </w:p>
    <w:p w:rsidRPr="007B4BC5" w:rsidR="00D32F0A" w:rsidP="00964407" w:rsidRDefault="00B300DA" w14:paraId="5DF74BE0" w14:textId="6211C070">
      <w:pPr>
        <w:numPr>
          <w:ilvl w:val="0"/>
          <w:numId w:val="3"/>
        </w:numPr>
        <w:tabs>
          <w:tab w:val="clear" w:pos="720"/>
          <w:tab w:val="num" w:pos="360"/>
        </w:tabs>
        <w:autoSpaceDN w:val="0"/>
        <w:spacing w:after="0" w:line="276" w:lineRule="auto"/>
        <w:ind w:left="360"/>
        <w:textAlignment w:val="baseline"/>
        <w:rPr>
          <w:rFonts w:ascii="Verdana" w:hAnsi="Verdana"/>
          <w:sz w:val="18"/>
          <w:szCs w:val="18"/>
        </w:rPr>
      </w:pPr>
      <w:r w:rsidRPr="007B4BC5">
        <w:rPr>
          <w:rFonts w:ascii="Verdana" w:hAnsi="Verdana"/>
          <w:i/>
          <w:sz w:val="18"/>
          <w:szCs w:val="18"/>
        </w:rPr>
        <w:t>Juridisch systeem:</w:t>
      </w:r>
      <w:r w:rsidRPr="007B4BC5">
        <w:rPr>
          <w:rFonts w:ascii="Verdana" w:hAnsi="Verdana"/>
          <w:sz w:val="18"/>
          <w:szCs w:val="18"/>
        </w:rPr>
        <w:br/>
        <w:t xml:space="preserve">Spanje kent een </w:t>
      </w:r>
      <w:r w:rsidRPr="007B4BC5" w:rsidR="00F41C56">
        <w:rPr>
          <w:rFonts w:ascii="Verdana" w:hAnsi="Verdana"/>
          <w:sz w:val="18"/>
          <w:szCs w:val="18"/>
        </w:rPr>
        <w:t xml:space="preserve">ander juridisch systeem. Dat </w:t>
      </w:r>
      <w:r w:rsidRPr="007B4BC5">
        <w:rPr>
          <w:rFonts w:ascii="Verdana" w:hAnsi="Verdana"/>
          <w:sz w:val="18"/>
          <w:szCs w:val="18"/>
        </w:rPr>
        <w:t>maakt een één-op-één overname van Spaanse procedures moeilijk</w:t>
      </w:r>
      <w:r w:rsidRPr="007B4BC5" w:rsidR="00A50538">
        <w:rPr>
          <w:rFonts w:ascii="Verdana" w:hAnsi="Verdana"/>
          <w:sz w:val="18"/>
          <w:szCs w:val="18"/>
        </w:rPr>
        <w:t xml:space="preserve">. </w:t>
      </w:r>
      <w:r w:rsidRPr="007B4BC5" w:rsidR="00BE5319">
        <w:rPr>
          <w:rFonts w:ascii="Verdana" w:hAnsi="Verdana"/>
          <w:sz w:val="18"/>
          <w:szCs w:val="18"/>
        </w:rPr>
        <w:t xml:space="preserve">In </w:t>
      </w:r>
      <w:r w:rsidRPr="007B4BC5" w:rsidR="00F27B69">
        <w:rPr>
          <w:rFonts w:ascii="Verdana" w:hAnsi="Verdana"/>
          <w:sz w:val="18"/>
          <w:szCs w:val="18"/>
        </w:rPr>
        <w:t>Spanje</w:t>
      </w:r>
      <w:r w:rsidRPr="007B4BC5">
        <w:rPr>
          <w:rFonts w:ascii="Verdana" w:hAnsi="Verdana"/>
          <w:sz w:val="18"/>
          <w:szCs w:val="18"/>
        </w:rPr>
        <w:t xml:space="preserve"> </w:t>
      </w:r>
      <w:r w:rsidRPr="007B4BC5" w:rsidR="00BE5319">
        <w:rPr>
          <w:rFonts w:ascii="Verdana" w:hAnsi="Verdana"/>
          <w:sz w:val="18"/>
          <w:szCs w:val="18"/>
        </w:rPr>
        <w:t xml:space="preserve">worden </w:t>
      </w:r>
      <w:r w:rsidRPr="007B4BC5" w:rsidR="00F27B69">
        <w:rPr>
          <w:rFonts w:ascii="Verdana" w:hAnsi="Verdana"/>
          <w:sz w:val="18"/>
          <w:szCs w:val="18"/>
        </w:rPr>
        <w:t>de benodigde</w:t>
      </w:r>
      <w:r w:rsidRPr="007B4BC5">
        <w:rPr>
          <w:rFonts w:ascii="Verdana" w:hAnsi="Verdana"/>
          <w:sz w:val="18"/>
          <w:szCs w:val="18"/>
        </w:rPr>
        <w:t xml:space="preserve"> bescherming</w:t>
      </w:r>
      <w:r w:rsidRPr="007B4BC5" w:rsidR="00F27B69">
        <w:rPr>
          <w:rFonts w:ascii="Verdana" w:hAnsi="Verdana"/>
          <w:sz w:val="18"/>
          <w:szCs w:val="18"/>
        </w:rPr>
        <w:t>smaatregelen</w:t>
      </w:r>
      <w:r w:rsidRPr="007B4BC5">
        <w:rPr>
          <w:rFonts w:ascii="Verdana" w:hAnsi="Verdana"/>
          <w:sz w:val="18"/>
          <w:szCs w:val="18"/>
        </w:rPr>
        <w:t xml:space="preserve"> </w:t>
      </w:r>
      <w:r w:rsidRPr="007B4BC5" w:rsidR="00BE5319">
        <w:rPr>
          <w:rFonts w:ascii="Verdana" w:hAnsi="Verdana"/>
          <w:sz w:val="18"/>
          <w:szCs w:val="18"/>
        </w:rPr>
        <w:t xml:space="preserve">betrekkelijk snel na politieaangifte </w:t>
      </w:r>
      <w:r w:rsidRPr="007B4BC5" w:rsidR="00F27B69">
        <w:rPr>
          <w:rFonts w:ascii="Verdana" w:hAnsi="Verdana"/>
          <w:sz w:val="18"/>
          <w:szCs w:val="18"/>
        </w:rPr>
        <w:t>opgelegd en gehandhaafd.</w:t>
      </w:r>
      <w:r w:rsidRPr="007B4BC5" w:rsidR="00BE5319">
        <w:rPr>
          <w:rFonts w:ascii="Verdana" w:hAnsi="Verdana"/>
          <w:sz w:val="18"/>
          <w:szCs w:val="18"/>
        </w:rPr>
        <w:t xml:space="preserve"> In Nederland onderzoekt het kabinet hoe beschermingsmaatregelen ook adequater kunnen worden ingezet en of er aanvullende beschermingsmaatregelen nodig zijn.</w:t>
      </w:r>
    </w:p>
    <w:p w:rsidRPr="007B4BC5" w:rsidR="00C70916" w:rsidP="00C70916" w:rsidRDefault="00B300DA" w14:paraId="4E4321BC" w14:textId="2588919F">
      <w:pPr>
        <w:numPr>
          <w:ilvl w:val="0"/>
          <w:numId w:val="3"/>
        </w:numPr>
        <w:tabs>
          <w:tab w:val="clear" w:pos="720"/>
          <w:tab w:val="num" w:pos="360"/>
        </w:tabs>
        <w:autoSpaceDN w:val="0"/>
        <w:spacing w:after="0" w:line="276" w:lineRule="auto"/>
        <w:ind w:left="360"/>
        <w:textAlignment w:val="baseline"/>
        <w:rPr>
          <w:rFonts w:ascii="Verdana" w:hAnsi="Verdana"/>
          <w:sz w:val="18"/>
          <w:szCs w:val="18"/>
        </w:rPr>
      </w:pPr>
      <w:r w:rsidRPr="007B4BC5">
        <w:rPr>
          <w:rFonts w:ascii="Verdana" w:hAnsi="Verdana"/>
          <w:i/>
          <w:sz w:val="18"/>
          <w:szCs w:val="18"/>
        </w:rPr>
        <w:t>Financiën</w:t>
      </w:r>
      <w:r w:rsidRPr="007B4BC5">
        <w:rPr>
          <w:rFonts w:ascii="Verdana" w:hAnsi="Verdana"/>
          <w:sz w:val="18"/>
          <w:szCs w:val="18"/>
        </w:rPr>
        <w:t xml:space="preserve">: </w:t>
      </w:r>
      <w:r w:rsidRPr="007B4BC5" w:rsidR="0088788F">
        <w:rPr>
          <w:rFonts w:ascii="Verdana" w:hAnsi="Verdana"/>
          <w:sz w:val="18"/>
          <w:szCs w:val="18"/>
        </w:rPr>
        <w:br/>
        <w:t>B</w:t>
      </w:r>
      <w:r w:rsidRPr="007B4BC5">
        <w:rPr>
          <w:rFonts w:ascii="Verdana" w:hAnsi="Verdana"/>
          <w:sz w:val="18"/>
          <w:szCs w:val="18"/>
        </w:rPr>
        <w:t xml:space="preserve">innen de huidige begroting is </w:t>
      </w:r>
      <w:r w:rsidRPr="007B4BC5" w:rsidR="00F27B69">
        <w:rPr>
          <w:rFonts w:ascii="Verdana" w:hAnsi="Verdana"/>
          <w:sz w:val="18"/>
          <w:szCs w:val="18"/>
        </w:rPr>
        <w:t xml:space="preserve">te weinig </w:t>
      </w:r>
      <w:r w:rsidRPr="007B4BC5">
        <w:rPr>
          <w:rFonts w:ascii="Verdana" w:hAnsi="Verdana"/>
          <w:sz w:val="18"/>
          <w:szCs w:val="18"/>
        </w:rPr>
        <w:t xml:space="preserve">ruimte </w:t>
      </w:r>
      <w:r w:rsidRPr="007B4BC5" w:rsidR="00F27B69">
        <w:rPr>
          <w:rFonts w:ascii="Verdana" w:hAnsi="Verdana"/>
          <w:sz w:val="18"/>
          <w:szCs w:val="18"/>
        </w:rPr>
        <w:t xml:space="preserve">om Spaanse elementen succesvol te vertalen </w:t>
      </w:r>
      <w:r w:rsidRPr="007B4BC5">
        <w:rPr>
          <w:rFonts w:ascii="Verdana" w:hAnsi="Verdana"/>
          <w:sz w:val="18"/>
          <w:szCs w:val="18"/>
        </w:rPr>
        <w:t xml:space="preserve">naar de Nederlandse context. Een voorwaarde voor de opvolging is dat de benodigde financiële ruimte wordt gecreëerd. In Spanje is bijvoorbeeld 1,5 miljard euro beschikbaar gesteld voor 5 jaar. Deze middelen zijn specifiek voor de aanpak van </w:t>
      </w:r>
      <w:proofErr w:type="spellStart"/>
      <w:r w:rsidRPr="007B4BC5">
        <w:rPr>
          <w:rFonts w:ascii="Verdana" w:hAnsi="Verdana"/>
          <w:sz w:val="18"/>
          <w:szCs w:val="18"/>
        </w:rPr>
        <w:t>gendergerelateerd</w:t>
      </w:r>
      <w:proofErr w:type="spellEnd"/>
      <w:r w:rsidRPr="007B4BC5">
        <w:rPr>
          <w:rFonts w:ascii="Verdana" w:hAnsi="Verdana"/>
          <w:sz w:val="18"/>
          <w:szCs w:val="18"/>
        </w:rPr>
        <w:t xml:space="preserve"> geweld. </w:t>
      </w:r>
    </w:p>
    <w:p w:rsidRPr="007B4BC5" w:rsidR="00C70916" w:rsidP="00C70916" w:rsidRDefault="00C70916" w14:paraId="611B7242" w14:textId="77777777">
      <w:pPr>
        <w:autoSpaceDN w:val="0"/>
        <w:spacing w:after="0" w:line="276" w:lineRule="auto"/>
        <w:textAlignment w:val="baseline"/>
        <w:rPr>
          <w:rFonts w:ascii="Verdana" w:hAnsi="Verdana"/>
          <w:sz w:val="18"/>
          <w:szCs w:val="18"/>
        </w:rPr>
      </w:pPr>
    </w:p>
    <w:p w:rsidRPr="007B4BC5" w:rsidR="00AA30D6" w:rsidP="005A1FFB" w:rsidRDefault="00AA30D6" w14:paraId="4F4A52E0" w14:textId="03B97215">
      <w:pPr>
        <w:numPr>
          <w:ilvl w:val="0"/>
          <w:numId w:val="3"/>
        </w:numPr>
        <w:tabs>
          <w:tab w:val="clear" w:pos="720"/>
          <w:tab w:val="num" w:pos="360"/>
        </w:tabs>
        <w:autoSpaceDN w:val="0"/>
        <w:spacing w:after="0" w:line="276" w:lineRule="auto"/>
        <w:ind w:left="360"/>
        <w:textAlignment w:val="baseline"/>
        <w:rPr>
          <w:rFonts w:ascii="Verdana" w:hAnsi="Verdana"/>
          <w:sz w:val="18"/>
          <w:szCs w:val="18"/>
        </w:rPr>
      </w:pPr>
      <w:r w:rsidRPr="007B4BC5">
        <w:rPr>
          <w:rFonts w:ascii="Verdana" w:hAnsi="Verdana"/>
          <w:i/>
          <w:sz w:val="18"/>
          <w:szCs w:val="18"/>
        </w:rPr>
        <w:t>GREVIO</w:t>
      </w:r>
      <w:r w:rsidRPr="007B4BC5">
        <w:rPr>
          <w:rFonts w:ascii="Verdana" w:hAnsi="Verdana"/>
          <w:sz w:val="18"/>
          <w:szCs w:val="18"/>
        </w:rPr>
        <w:t>:</w:t>
      </w:r>
    </w:p>
    <w:p w:rsidRPr="007B4BC5" w:rsidR="00AA30D6" w:rsidP="005A1FFB" w:rsidRDefault="00AA30D6" w14:paraId="2B7FEEFE" w14:textId="46CD5E0E">
      <w:pPr>
        <w:autoSpaceDN w:val="0"/>
        <w:spacing w:after="0" w:line="276" w:lineRule="auto"/>
        <w:ind w:left="360"/>
        <w:textAlignment w:val="baseline"/>
        <w:rPr>
          <w:rFonts w:ascii="Verdana" w:hAnsi="Verdana"/>
          <w:sz w:val="18"/>
          <w:szCs w:val="18"/>
        </w:rPr>
      </w:pPr>
      <w:r w:rsidRPr="007B4BC5">
        <w:rPr>
          <w:rFonts w:ascii="Verdana" w:hAnsi="Verdana"/>
          <w:sz w:val="18"/>
          <w:szCs w:val="18"/>
        </w:rPr>
        <w:t xml:space="preserve">Hoewel Spanje internationaal als koploper wordt gezien, benadrukt GREVIO, </w:t>
      </w:r>
      <w:r w:rsidRPr="007B4BC5">
        <w:rPr>
          <w:rFonts w:ascii="Verdana" w:hAnsi="Verdana"/>
          <w:i/>
          <w:sz w:val="18"/>
          <w:szCs w:val="18"/>
        </w:rPr>
        <w:t xml:space="preserve">Group of experts on </w:t>
      </w:r>
      <w:proofErr w:type="spellStart"/>
      <w:r w:rsidRPr="007B4BC5">
        <w:rPr>
          <w:rFonts w:ascii="Verdana" w:hAnsi="Verdana"/>
          <w:i/>
          <w:sz w:val="18"/>
          <w:szCs w:val="18"/>
        </w:rPr>
        <w:t>violence</w:t>
      </w:r>
      <w:proofErr w:type="spellEnd"/>
      <w:r w:rsidRPr="007B4BC5">
        <w:rPr>
          <w:rFonts w:ascii="Verdana" w:hAnsi="Verdana"/>
          <w:i/>
          <w:sz w:val="18"/>
          <w:szCs w:val="18"/>
        </w:rPr>
        <w:t xml:space="preserve"> </w:t>
      </w:r>
      <w:proofErr w:type="spellStart"/>
      <w:r w:rsidRPr="007B4BC5">
        <w:rPr>
          <w:rFonts w:ascii="Verdana" w:hAnsi="Verdana"/>
          <w:i/>
          <w:sz w:val="18"/>
          <w:szCs w:val="18"/>
        </w:rPr>
        <w:t>agains</w:t>
      </w:r>
      <w:proofErr w:type="spellEnd"/>
      <w:r w:rsidRPr="007B4BC5">
        <w:rPr>
          <w:rFonts w:ascii="Verdana" w:hAnsi="Verdana"/>
          <w:i/>
          <w:sz w:val="18"/>
          <w:szCs w:val="18"/>
        </w:rPr>
        <w:t xml:space="preserve"> </w:t>
      </w:r>
      <w:proofErr w:type="spellStart"/>
      <w:r w:rsidRPr="007B4BC5">
        <w:rPr>
          <w:rFonts w:ascii="Verdana" w:hAnsi="Verdana"/>
          <w:i/>
          <w:sz w:val="18"/>
          <w:szCs w:val="18"/>
        </w:rPr>
        <w:t>women</w:t>
      </w:r>
      <w:proofErr w:type="spellEnd"/>
      <w:r w:rsidRPr="007B4BC5">
        <w:rPr>
          <w:rFonts w:ascii="Verdana" w:hAnsi="Verdana"/>
          <w:i/>
          <w:sz w:val="18"/>
          <w:szCs w:val="18"/>
        </w:rPr>
        <w:t xml:space="preserve"> </w:t>
      </w:r>
      <w:r w:rsidRPr="007B4BC5">
        <w:rPr>
          <w:rFonts w:ascii="Verdana" w:hAnsi="Verdana"/>
          <w:sz w:val="18"/>
          <w:szCs w:val="18"/>
        </w:rPr>
        <w:t xml:space="preserve">van de Raad van Europa, dat de aanpak niet zonder tekortkomingen is. Er bestaan aanzienlijke regionale verschillen in de beschikbaarheid en kwaliteit van opvang, specialistische hulp en rechtbanken, waardoor niet alle vrouwen dezelfde bescherming krijgen. Ook worden specifieke groepen, zoals migranten zonder verblijfsrecht, vrouwen met een beperking en Roma-vrouwen, niet altijd goed bereikt. Daarnaast is GREVIO kritisch op civielrechtelijke beslissingen over omgang en gezag, onder meer door het gebruik van het niet-wetenschappelijke concept </w:t>
      </w:r>
      <w:r w:rsidRPr="007B4BC5" w:rsidR="00D32F0A">
        <w:rPr>
          <w:rFonts w:ascii="Verdana" w:hAnsi="Verdana"/>
          <w:sz w:val="18"/>
          <w:szCs w:val="18"/>
        </w:rPr>
        <w:t>‘</w:t>
      </w:r>
      <w:proofErr w:type="spellStart"/>
      <w:r w:rsidRPr="007B4BC5">
        <w:rPr>
          <w:rFonts w:ascii="Verdana" w:hAnsi="Verdana"/>
          <w:i/>
          <w:sz w:val="18"/>
          <w:szCs w:val="18"/>
        </w:rPr>
        <w:t>parental</w:t>
      </w:r>
      <w:proofErr w:type="spellEnd"/>
      <w:r w:rsidRPr="007B4BC5">
        <w:rPr>
          <w:rFonts w:ascii="Verdana" w:hAnsi="Verdana"/>
          <w:i/>
          <w:sz w:val="18"/>
          <w:szCs w:val="18"/>
        </w:rPr>
        <w:t xml:space="preserve"> </w:t>
      </w:r>
      <w:proofErr w:type="spellStart"/>
      <w:r w:rsidRPr="007B4BC5">
        <w:rPr>
          <w:rFonts w:ascii="Verdana" w:hAnsi="Verdana"/>
          <w:i/>
          <w:sz w:val="18"/>
          <w:szCs w:val="18"/>
        </w:rPr>
        <w:t>alienation</w:t>
      </w:r>
      <w:proofErr w:type="spellEnd"/>
      <w:r w:rsidRPr="007B4BC5" w:rsidR="00D32F0A">
        <w:rPr>
          <w:rFonts w:ascii="Verdana" w:hAnsi="Verdana"/>
          <w:i/>
          <w:sz w:val="18"/>
          <w:szCs w:val="18"/>
        </w:rPr>
        <w:t>’</w:t>
      </w:r>
      <w:r w:rsidRPr="007B4BC5">
        <w:rPr>
          <w:rFonts w:ascii="Verdana" w:hAnsi="Verdana"/>
          <w:sz w:val="18"/>
          <w:szCs w:val="18"/>
        </w:rPr>
        <w:t>, en op de variabele kwaliteit van training voor professionals. Deze kanttekeningen laten zien dat een sterk wettelijk kader belangrijk is, maar dat consistente uitvoering, inclusiviteit en structurele capaciteit minstens zo essentieel zijn.</w:t>
      </w:r>
    </w:p>
    <w:p w:rsidRPr="007B4BC5" w:rsidR="00542910" w:rsidP="005A1FFB" w:rsidRDefault="00542910" w14:paraId="3625EE73" w14:textId="225A8B29">
      <w:pPr>
        <w:autoSpaceDN w:val="0"/>
        <w:spacing w:after="0" w:line="276" w:lineRule="auto"/>
        <w:textAlignment w:val="baseline"/>
        <w:rPr>
          <w:rFonts w:ascii="Verdana" w:hAnsi="Verdana"/>
          <w:sz w:val="18"/>
          <w:szCs w:val="18"/>
        </w:rPr>
      </w:pPr>
    </w:p>
    <w:sectPr w:rsidRPr="007B4BC5" w:rsidR="00542910">
      <w:pgSz w:w="11906" w:h="16838"/>
      <w:pgMar w:top="1417" w:right="1417" w:bottom="1417" w:left="1417"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4D56CB" w14:textId="77777777" w:rsidR="009755DD" w:rsidRDefault="009755DD" w:rsidP="004B696A">
      <w:pPr>
        <w:spacing w:after="0" w:line="240" w:lineRule="auto"/>
      </w:pPr>
      <w:r>
        <w:separator/>
      </w:r>
    </w:p>
  </w:endnote>
  <w:endnote w:type="continuationSeparator" w:id="0">
    <w:p w14:paraId="5E19F3A9" w14:textId="77777777" w:rsidR="009755DD" w:rsidRDefault="009755DD" w:rsidP="004B69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DejaVu Sans">
    <w:altName w:val="Verdana"/>
    <w:charset w:val="00"/>
    <w:family w:val="swiss"/>
    <w:pitch w:val="variable"/>
    <w:sig w:usb0="E7002EFF" w:usb1="D200FDFF" w:usb2="0A246029" w:usb3="00000000" w:csb0="000001FF" w:csb1="00000000"/>
  </w:font>
  <w:font w:name="Lohit Hindi">
    <w:altName w:val="Cambria"/>
    <w:charset w:val="00"/>
    <w:family w:val="auto"/>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21E976" w14:textId="77777777" w:rsidR="009755DD" w:rsidRDefault="009755DD" w:rsidP="004B696A">
      <w:pPr>
        <w:spacing w:after="0" w:line="240" w:lineRule="auto"/>
      </w:pPr>
      <w:r>
        <w:separator/>
      </w:r>
    </w:p>
  </w:footnote>
  <w:footnote w:type="continuationSeparator" w:id="0">
    <w:p w14:paraId="138C8278" w14:textId="77777777" w:rsidR="009755DD" w:rsidRDefault="009755DD" w:rsidP="004B696A">
      <w:pPr>
        <w:spacing w:after="0" w:line="240" w:lineRule="auto"/>
      </w:pPr>
      <w:r>
        <w:continuationSeparator/>
      </w:r>
    </w:p>
  </w:footnote>
  <w:footnote w:id="1">
    <w:p w14:paraId="3A501753" w14:textId="7DF221E9" w:rsidR="004B696A" w:rsidRDefault="004B696A">
      <w:pPr>
        <w:pStyle w:val="Voetnoottekst"/>
      </w:pPr>
      <w:r>
        <w:rPr>
          <w:rStyle w:val="Voetnootmarkering"/>
        </w:rPr>
        <w:footnoteRef/>
      </w:r>
      <w:r>
        <w:t xml:space="preserve"> </w:t>
      </w:r>
      <w:r w:rsidRPr="004B696A">
        <w:t>De Spaanse nationale omroep neemt op vrijwillige basis deel aan de aanpak.</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8075390"/>
    <w:multiLevelType w:val="hybridMultilevel"/>
    <w:tmpl w:val="BFD6F1C2"/>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2BF922BA"/>
    <w:multiLevelType w:val="hybridMultilevel"/>
    <w:tmpl w:val="689CB8F4"/>
    <w:lvl w:ilvl="0" w:tplc="0413000F">
      <w:start w:val="1"/>
      <w:numFmt w:val="decimal"/>
      <w:lvlText w:val="%1."/>
      <w:lvlJc w:val="left"/>
      <w:pPr>
        <w:ind w:left="360" w:hanging="360"/>
      </w:pPr>
      <w:rPr>
        <w:rFonts w:hint="default"/>
        <w:b w:val="0"/>
        <w:i/>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 w15:restartNumberingAfterBreak="0">
    <w:nsid w:val="2EFB08A4"/>
    <w:multiLevelType w:val="hybridMultilevel"/>
    <w:tmpl w:val="08062F04"/>
    <w:lvl w:ilvl="0" w:tplc="0413000F">
      <w:start w:val="1"/>
      <w:numFmt w:val="decimal"/>
      <w:lvlText w:val="%1."/>
      <w:lvlJc w:val="left"/>
      <w:pPr>
        <w:ind w:left="360" w:hanging="360"/>
      </w:pPr>
      <w:rPr>
        <w:rFonts w:hint="default"/>
        <w:b w:val="0"/>
        <w:i/>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 w15:restartNumberingAfterBreak="0">
    <w:nsid w:val="3A4B16ED"/>
    <w:multiLevelType w:val="hybridMultilevel"/>
    <w:tmpl w:val="A6243E78"/>
    <w:lvl w:ilvl="0" w:tplc="E586E8B2">
      <w:start w:val="1"/>
      <w:numFmt w:val="decimal"/>
      <w:lvlText w:val="%1."/>
      <w:lvlJc w:val="left"/>
      <w:pPr>
        <w:ind w:left="360" w:hanging="360"/>
      </w:pPr>
      <w:rPr>
        <w:rFonts w:hint="default"/>
        <w:i/>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4" w15:restartNumberingAfterBreak="0">
    <w:nsid w:val="3CE43033"/>
    <w:multiLevelType w:val="hybridMultilevel"/>
    <w:tmpl w:val="67DA897A"/>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4C994E10"/>
    <w:multiLevelType w:val="multilevel"/>
    <w:tmpl w:val="E514E9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3541658"/>
    <w:multiLevelType w:val="hybridMultilevel"/>
    <w:tmpl w:val="94E2266C"/>
    <w:lvl w:ilvl="0" w:tplc="8A96253A">
      <w:start w:val="1"/>
      <w:numFmt w:val="decimal"/>
      <w:lvlText w:val="%1."/>
      <w:lvlJc w:val="left"/>
      <w:pPr>
        <w:ind w:left="720" w:hanging="360"/>
      </w:pPr>
      <w:rPr>
        <w:rFonts w:hint="default"/>
        <w:i/>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15:restartNumberingAfterBreak="0">
    <w:nsid w:val="591B2F31"/>
    <w:multiLevelType w:val="multilevel"/>
    <w:tmpl w:val="60982B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F5101FE"/>
    <w:multiLevelType w:val="hybridMultilevel"/>
    <w:tmpl w:val="03D0B882"/>
    <w:lvl w:ilvl="0" w:tplc="9E7A514A">
      <w:start w:val="1"/>
      <w:numFmt w:val="decimal"/>
      <w:lvlText w:val="%1."/>
      <w:lvlJc w:val="left"/>
      <w:pPr>
        <w:ind w:left="360" w:hanging="360"/>
      </w:pPr>
      <w:rPr>
        <w:rFonts w:hint="default"/>
        <w:b w:val="0"/>
        <w:i/>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9" w15:restartNumberingAfterBreak="0">
    <w:nsid w:val="743A179D"/>
    <w:multiLevelType w:val="multilevel"/>
    <w:tmpl w:val="2C5089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72451765">
    <w:abstractNumId w:val="0"/>
  </w:num>
  <w:num w:numId="2" w16cid:durableId="2124033747">
    <w:abstractNumId w:val="5"/>
  </w:num>
  <w:num w:numId="3" w16cid:durableId="1675381316">
    <w:abstractNumId w:val="7"/>
  </w:num>
  <w:num w:numId="4" w16cid:durableId="1120802080">
    <w:abstractNumId w:val="9"/>
  </w:num>
  <w:num w:numId="5" w16cid:durableId="1559976871">
    <w:abstractNumId w:val="8"/>
  </w:num>
  <w:num w:numId="6" w16cid:durableId="692734106">
    <w:abstractNumId w:val="2"/>
  </w:num>
  <w:num w:numId="7" w16cid:durableId="1657105583">
    <w:abstractNumId w:val="1"/>
  </w:num>
  <w:num w:numId="8" w16cid:durableId="798182159">
    <w:abstractNumId w:val="4"/>
  </w:num>
  <w:num w:numId="9" w16cid:durableId="1864977174">
    <w:abstractNumId w:val="6"/>
  </w:num>
  <w:num w:numId="10" w16cid:durableId="156305993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proofState w:spelling="clean"/>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2910"/>
    <w:rsid w:val="000841DD"/>
    <w:rsid w:val="001422C5"/>
    <w:rsid w:val="00171262"/>
    <w:rsid w:val="001826C8"/>
    <w:rsid w:val="00251224"/>
    <w:rsid w:val="002B5AF1"/>
    <w:rsid w:val="002C1E0A"/>
    <w:rsid w:val="002F316F"/>
    <w:rsid w:val="002F6509"/>
    <w:rsid w:val="002F7777"/>
    <w:rsid w:val="00324BAF"/>
    <w:rsid w:val="00335089"/>
    <w:rsid w:val="00375092"/>
    <w:rsid w:val="00375097"/>
    <w:rsid w:val="003B2246"/>
    <w:rsid w:val="003E3DDA"/>
    <w:rsid w:val="004154A1"/>
    <w:rsid w:val="00420FA3"/>
    <w:rsid w:val="004772AC"/>
    <w:rsid w:val="00477DF1"/>
    <w:rsid w:val="004A7B00"/>
    <w:rsid w:val="004B696A"/>
    <w:rsid w:val="004C2961"/>
    <w:rsid w:val="00542910"/>
    <w:rsid w:val="00550BD0"/>
    <w:rsid w:val="005A1FFB"/>
    <w:rsid w:val="005D30E7"/>
    <w:rsid w:val="006963B8"/>
    <w:rsid w:val="006E0A92"/>
    <w:rsid w:val="00705CBC"/>
    <w:rsid w:val="007B4BC5"/>
    <w:rsid w:val="007E1EA7"/>
    <w:rsid w:val="007E4807"/>
    <w:rsid w:val="007F2333"/>
    <w:rsid w:val="007F6706"/>
    <w:rsid w:val="0088788F"/>
    <w:rsid w:val="00892F9B"/>
    <w:rsid w:val="00897397"/>
    <w:rsid w:val="00932FC0"/>
    <w:rsid w:val="0094189D"/>
    <w:rsid w:val="00970619"/>
    <w:rsid w:val="009755DD"/>
    <w:rsid w:val="009E0F2C"/>
    <w:rsid w:val="009E27AB"/>
    <w:rsid w:val="00A50538"/>
    <w:rsid w:val="00A5263A"/>
    <w:rsid w:val="00A95F6A"/>
    <w:rsid w:val="00AA30D6"/>
    <w:rsid w:val="00B033F9"/>
    <w:rsid w:val="00B300DA"/>
    <w:rsid w:val="00BD5083"/>
    <w:rsid w:val="00BE5319"/>
    <w:rsid w:val="00BF5BC0"/>
    <w:rsid w:val="00C22ED4"/>
    <w:rsid w:val="00C24AC0"/>
    <w:rsid w:val="00C4289C"/>
    <w:rsid w:val="00C70916"/>
    <w:rsid w:val="00CB25C6"/>
    <w:rsid w:val="00D32F0A"/>
    <w:rsid w:val="00DB0C62"/>
    <w:rsid w:val="00EE4C1A"/>
    <w:rsid w:val="00F27B69"/>
    <w:rsid w:val="00F41C56"/>
    <w:rsid w:val="00F55E61"/>
    <w:rsid w:val="00F63261"/>
    <w:rsid w:val="00F71F45"/>
    <w:rsid w:val="00F77E36"/>
    <w:rsid w:val="00FE4E3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89E31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54291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54291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542910"/>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542910"/>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542910"/>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542910"/>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542910"/>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542910"/>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542910"/>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542910"/>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542910"/>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542910"/>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542910"/>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542910"/>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542910"/>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542910"/>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542910"/>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542910"/>
    <w:rPr>
      <w:rFonts w:eastAsiaTheme="majorEastAsia" w:cstheme="majorBidi"/>
      <w:color w:val="272727" w:themeColor="text1" w:themeTint="D8"/>
    </w:rPr>
  </w:style>
  <w:style w:type="paragraph" w:styleId="Titel">
    <w:name w:val="Title"/>
    <w:basedOn w:val="Standaard"/>
    <w:next w:val="Standaard"/>
    <w:link w:val="TitelChar"/>
    <w:uiPriority w:val="10"/>
    <w:qFormat/>
    <w:rsid w:val="0054291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542910"/>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542910"/>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542910"/>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542910"/>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542910"/>
    <w:rPr>
      <w:i/>
      <w:iCs/>
      <w:color w:val="404040" w:themeColor="text1" w:themeTint="BF"/>
    </w:rPr>
  </w:style>
  <w:style w:type="paragraph" w:styleId="Lijstalinea">
    <w:name w:val="List Paragraph"/>
    <w:basedOn w:val="Standaard"/>
    <w:uiPriority w:val="34"/>
    <w:qFormat/>
    <w:rsid w:val="00542910"/>
    <w:pPr>
      <w:ind w:left="720"/>
      <w:contextualSpacing/>
    </w:pPr>
  </w:style>
  <w:style w:type="character" w:styleId="Intensievebenadrukking">
    <w:name w:val="Intense Emphasis"/>
    <w:basedOn w:val="Standaardalinea-lettertype"/>
    <w:uiPriority w:val="21"/>
    <w:qFormat/>
    <w:rsid w:val="00542910"/>
    <w:rPr>
      <w:i/>
      <w:iCs/>
      <w:color w:val="2F5496" w:themeColor="accent1" w:themeShade="BF"/>
    </w:rPr>
  </w:style>
  <w:style w:type="paragraph" w:styleId="Duidelijkcitaat">
    <w:name w:val="Intense Quote"/>
    <w:basedOn w:val="Standaard"/>
    <w:next w:val="Standaard"/>
    <w:link w:val="DuidelijkcitaatChar"/>
    <w:uiPriority w:val="30"/>
    <w:qFormat/>
    <w:rsid w:val="0054291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542910"/>
    <w:rPr>
      <w:i/>
      <w:iCs/>
      <w:color w:val="2F5496" w:themeColor="accent1" w:themeShade="BF"/>
    </w:rPr>
  </w:style>
  <w:style w:type="character" w:styleId="Intensieveverwijzing">
    <w:name w:val="Intense Reference"/>
    <w:basedOn w:val="Standaardalinea-lettertype"/>
    <w:uiPriority w:val="32"/>
    <w:qFormat/>
    <w:rsid w:val="00542910"/>
    <w:rPr>
      <w:b/>
      <w:bCs/>
      <w:smallCaps/>
      <w:color w:val="2F5496" w:themeColor="accent1" w:themeShade="BF"/>
      <w:spacing w:val="5"/>
    </w:rPr>
  </w:style>
  <w:style w:type="paragraph" w:customStyle="1" w:styleId="WitregelW1bodytekst">
    <w:name w:val="Witregel W1 (bodytekst)"/>
    <w:basedOn w:val="Standaard"/>
    <w:next w:val="Standaard"/>
    <w:rsid w:val="00DB0C62"/>
    <w:pPr>
      <w:autoSpaceDN w:val="0"/>
      <w:spacing w:after="0" w:line="240" w:lineRule="exact"/>
      <w:textAlignment w:val="baseline"/>
    </w:pPr>
    <w:rPr>
      <w:rFonts w:ascii="Verdana" w:eastAsia="DejaVu Sans" w:hAnsi="Verdana" w:cs="Lohit Hindi"/>
      <w:color w:val="000000"/>
      <w:kern w:val="0"/>
      <w:sz w:val="18"/>
      <w:szCs w:val="18"/>
      <w:lang w:eastAsia="nl-NL"/>
      <w14:ligatures w14:val="none"/>
    </w:rPr>
  </w:style>
  <w:style w:type="character" w:styleId="Verwijzingopmerking">
    <w:name w:val="annotation reference"/>
    <w:basedOn w:val="Standaardalinea-lettertype"/>
    <w:uiPriority w:val="99"/>
    <w:semiHidden/>
    <w:unhideWhenUsed/>
    <w:rsid w:val="00DB0C62"/>
    <w:rPr>
      <w:sz w:val="16"/>
      <w:szCs w:val="16"/>
    </w:rPr>
  </w:style>
  <w:style w:type="paragraph" w:styleId="Tekstopmerking">
    <w:name w:val="annotation text"/>
    <w:basedOn w:val="Standaard"/>
    <w:link w:val="TekstopmerkingChar"/>
    <w:uiPriority w:val="99"/>
    <w:unhideWhenUsed/>
    <w:rsid w:val="00DB0C62"/>
    <w:pPr>
      <w:autoSpaceDN w:val="0"/>
      <w:spacing w:after="0" w:line="240" w:lineRule="auto"/>
      <w:textAlignment w:val="baseline"/>
    </w:pPr>
    <w:rPr>
      <w:rFonts w:ascii="Verdana" w:eastAsia="DejaVu Sans" w:hAnsi="Verdana" w:cs="Lohit Hindi"/>
      <w:color w:val="000000"/>
      <w:kern w:val="0"/>
      <w:sz w:val="20"/>
      <w:szCs w:val="20"/>
      <w:lang w:eastAsia="nl-NL"/>
      <w14:ligatures w14:val="none"/>
    </w:rPr>
  </w:style>
  <w:style w:type="character" w:customStyle="1" w:styleId="TekstopmerkingChar">
    <w:name w:val="Tekst opmerking Char"/>
    <w:basedOn w:val="Standaardalinea-lettertype"/>
    <w:link w:val="Tekstopmerking"/>
    <w:uiPriority w:val="99"/>
    <w:rsid w:val="00DB0C62"/>
    <w:rPr>
      <w:rFonts w:ascii="Verdana" w:eastAsia="DejaVu Sans" w:hAnsi="Verdana" w:cs="Lohit Hindi"/>
      <w:color w:val="000000"/>
      <w:kern w:val="0"/>
      <w:sz w:val="20"/>
      <w:szCs w:val="20"/>
      <w:lang w:eastAsia="nl-NL"/>
      <w14:ligatures w14:val="none"/>
    </w:rPr>
  </w:style>
  <w:style w:type="paragraph" w:styleId="Onderwerpvanopmerking">
    <w:name w:val="annotation subject"/>
    <w:basedOn w:val="Tekstopmerking"/>
    <w:next w:val="Tekstopmerking"/>
    <w:link w:val="OnderwerpvanopmerkingChar"/>
    <w:uiPriority w:val="99"/>
    <w:semiHidden/>
    <w:unhideWhenUsed/>
    <w:rsid w:val="00A95F6A"/>
    <w:pPr>
      <w:autoSpaceDN/>
      <w:spacing w:after="160"/>
      <w:textAlignment w:val="auto"/>
    </w:pPr>
    <w:rPr>
      <w:rFonts w:asciiTheme="minorHAnsi" w:eastAsiaTheme="minorHAnsi" w:hAnsiTheme="minorHAnsi" w:cstheme="minorBidi"/>
      <w:b/>
      <w:bCs/>
      <w:color w:val="auto"/>
      <w:kern w:val="2"/>
      <w:lang w:eastAsia="en-US"/>
      <w14:ligatures w14:val="standardContextual"/>
    </w:rPr>
  </w:style>
  <w:style w:type="character" w:customStyle="1" w:styleId="OnderwerpvanopmerkingChar">
    <w:name w:val="Onderwerp van opmerking Char"/>
    <w:basedOn w:val="TekstopmerkingChar"/>
    <w:link w:val="Onderwerpvanopmerking"/>
    <w:uiPriority w:val="99"/>
    <w:semiHidden/>
    <w:rsid w:val="00A95F6A"/>
    <w:rPr>
      <w:rFonts w:ascii="Verdana" w:eastAsia="DejaVu Sans" w:hAnsi="Verdana" w:cs="Lohit Hindi"/>
      <w:b/>
      <w:bCs/>
      <w:color w:val="000000"/>
      <w:kern w:val="0"/>
      <w:sz w:val="20"/>
      <w:szCs w:val="20"/>
      <w:lang w:eastAsia="nl-NL"/>
      <w14:ligatures w14:val="none"/>
    </w:rPr>
  </w:style>
  <w:style w:type="paragraph" w:styleId="Revisie">
    <w:name w:val="Revision"/>
    <w:hidden/>
    <w:uiPriority w:val="99"/>
    <w:semiHidden/>
    <w:rsid w:val="001422C5"/>
    <w:pPr>
      <w:spacing w:after="0" w:line="240" w:lineRule="auto"/>
    </w:pPr>
  </w:style>
  <w:style w:type="paragraph" w:styleId="Normaalweb">
    <w:name w:val="Normal (Web)"/>
    <w:basedOn w:val="Standaard"/>
    <w:uiPriority w:val="99"/>
    <w:semiHidden/>
    <w:unhideWhenUsed/>
    <w:rsid w:val="004B696A"/>
    <w:rPr>
      <w:rFonts w:ascii="Times New Roman" w:hAnsi="Times New Roman" w:cs="Times New Roman"/>
      <w:sz w:val="24"/>
      <w:szCs w:val="24"/>
    </w:rPr>
  </w:style>
  <w:style w:type="paragraph" w:styleId="Voetnoottekst">
    <w:name w:val="footnote text"/>
    <w:basedOn w:val="Standaard"/>
    <w:link w:val="VoetnoottekstChar"/>
    <w:uiPriority w:val="99"/>
    <w:semiHidden/>
    <w:unhideWhenUsed/>
    <w:rsid w:val="004B696A"/>
    <w:pPr>
      <w:spacing w:after="0" w:line="240" w:lineRule="auto"/>
    </w:pPr>
    <w:rPr>
      <w:sz w:val="20"/>
      <w:szCs w:val="20"/>
    </w:rPr>
  </w:style>
  <w:style w:type="character" w:customStyle="1" w:styleId="VoetnoottekstChar">
    <w:name w:val="Voetnoottekst Char"/>
    <w:basedOn w:val="Standaardalinea-lettertype"/>
    <w:link w:val="Voetnoottekst"/>
    <w:uiPriority w:val="99"/>
    <w:semiHidden/>
    <w:rsid w:val="004B696A"/>
    <w:rPr>
      <w:sz w:val="20"/>
      <w:szCs w:val="20"/>
    </w:rPr>
  </w:style>
  <w:style w:type="character" w:styleId="Voetnootmarkering">
    <w:name w:val="footnote reference"/>
    <w:basedOn w:val="Standaardalinea-lettertype"/>
    <w:uiPriority w:val="99"/>
    <w:semiHidden/>
    <w:unhideWhenUsed/>
    <w:rsid w:val="004B696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0467155">
      <w:bodyDiv w:val="1"/>
      <w:marLeft w:val="0"/>
      <w:marRight w:val="0"/>
      <w:marTop w:val="0"/>
      <w:marBottom w:val="0"/>
      <w:divBdr>
        <w:top w:val="none" w:sz="0" w:space="0" w:color="auto"/>
        <w:left w:val="none" w:sz="0" w:space="0" w:color="auto"/>
        <w:bottom w:val="none" w:sz="0" w:space="0" w:color="auto"/>
        <w:right w:val="none" w:sz="0" w:space="0" w:color="auto"/>
      </w:divBdr>
    </w:div>
    <w:div w:id="257836791">
      <w:bodyDiv w:val="1"/>
      <w:marLeft w:val="0"/>
      <w:marRight w:val="0"/>
      <w:marTop w:val="0"/>
      <w:marBottom w:val="0"/>
      <w:divBdr>
        <w:top w:val="none" w:sz="0" w:space="0" w:color="auto"/>
        <w:left w:val="none" w:sz="0" w:space="0" w:color="auto"/>
        <w:bottom w:val="none" w:sz="0" w:space="0" w:color="auto"/>
        <w:right w:val="none" w:sz="0" w:space="0" w:color="auto"/>
      </w:divBdr>
    </w:div>
    <w:div w:id="342324233">
      <w:bodyDiv w:val="1"/>
      <w:marLeft w:val="0"/>
      <w:marRight w:val="0"/>
      <w:marTop w:val="0"/>
      <w:marBottom w:val="0"/>
      <w:divBdr>
        <w:top w:val="none" w:sz="0" w:space="0" w:color="auto"/>
        <w:left w:val="none" w:sz="0" w:space="0" w:color="auto"/>
        <w:bottom w:val="none" w:sz="0" w:space="0" w:color="auto"/>
        <w:right w:val="none" w:sz="0" w:space="0" w:color="auto"/>
      </w:divBdr>
    </w:div>
    <w:div w:id="442700104">
      <w:bodyDiv w:val="1"/>
      <w:marLeft w:val="0"/>
      <w:marRight w:val="0"/>
      <w:marTop w:val="0"/>
      <w:marBottom w:val="0"/>
      <w:divBdr>
        <w:top w:val="none" w:sz="0" w:space="0" w:color="auto"/>
        <w:left w:val="none" w:sz="0" w:space="0" w:color="auto"/>
        <w:bottom w:val="none" w:sz="0" w:space="0" w:color="auto"/>
        <w:right w:val="none" w:sz="0" w:space="0" w:color="auto"/>
      </w:divBdr>
    </w:div>
    <w:div w:id="512378274">
      <w:bodyDiv w:val="1"/>
      <w:marLeft w:val="0"/>
      <w:marRight w:val="0"/>
      <w:marTop w:val="0"/>
      <w:marBottom w:val="0"/>
      <w:divBdr>
        <w:top w:val="none" w:sz="0" w:space="0" w:color="auto"/>
        <w:left w:val="none" w:sz="0" w:space="0" w:color="auto"/>
        <w:bottom w:val="none" w:sz="0" w:space="0" w:color="auto"/>
        <w:right w:val="none" w:sz="0" w:space="0" w:color="auto"/>
      </w:divBdr>
    </w:div>
    <w:div w:id="535430773">
      <w:bodyDiv w:val="1"/>
      <w:marLeft w:val="0"/>
      <w:marRight w:val="0"/>
      <w:marTop w:val="0"/>
      <w:marBottom w:val="0"/>
      <w:divBdr>
        <w:top w:val="none" w:sz="0" w:space="0" w:color="auto"/>
        <w:left w:val="none" w:sz="0" w:space="0" w:color="auto"/>
        <w:bottom w:val="none" w:sz="0" w:space="0" w:color="auto"/>
        <w:right w:val="none" w:sz="0" w:space="0" w:color="auto"/>
      </w:divBdr>
    </w:div>
    <w:div w:id="602954712">
      <w:bodyDiv w:val="1"/>
      <w:marLeft w:val="0"/>
      <w:marRight w:val="0"/>
      <w:marTop w:val="0"/>
      <w:marBottom w:val="0"/>
      <w:divBdr>
        <w:top w:val="none" w:sz="0" w:space="0" w:color="auto"/>
        <w:left w:val="none" w:sz="0" w:space="0" w:color="auto"/>
        <w:bottom w:val="none" w:sz="0" w:space="0" w:color="auto"/>
        <w:right w:val="none" w:sz="0" w:space="0" w:color="auto"/>
      </w:divBdr>
    </w:div>
    <w:div w:id="796990934">
      <w:bodyDiv w:val="1"/>
      <w:marLeft w:val="0"/>
      <w:marRight w:val="0"/>
      <w:marTop w:val="0"/>
      <w:marBottom w:val="0"/>
      <w:divBdr>
        <w:top w:val="none" w:sz="0" w:space="0" w:color="auto"/>
        <w:left w:val="none" w:sz="0" w:space="0" w:color="auto"/>
        <w:bottom w:val="none" w:sz="0" w:space="0" w:color="auto"/>
        <w:right w:val="none" w:sz="0" w:space="0" w:color="auto"/>
      </w:divBdr>
    </w:div>
    <w:div w:id="838236651">
      <w:bodyDiv w:val="1"/>
      <w:marLeft w:val="0"/>
      <w:marRight w:val="0"/>
      <w:marTop w:val="0"/>
      <w:marBottom w:val="0"/>
      <w:divBdr>
        <w:top w:val="none" w:sz="0" w:space="0" w:color="auto"/>
        <w:left w:val="none" w:sz="0" w:space="0" w:color="auto"/>
        <w:bottom w:val="none" w:sz="0" w:space="0" w:color="auto"/>
        <w:right w:val="none" w:sz="0" w:space="0" w:color="auto"/>
      </w:divBdr>
    </w:div>
    <w:div w:id="1296714888">
      <w:bodyDiv w:val="1"/>
      <w:marLeft w:val="0"/>
      <w:marRight w:val="0"/>
      <w:marTop w:val="0"/>
      <w:marBottom w:val="0"/>
      <w:divBdr>
        <w:top w:val="none" w:sz="0" w:space="0" w:color="auto"/>
        <w:left w:val="none" w:sz="0" w:space="0" w:color="auto"/>
        <w:bottom w:val="none" w:sz="0" w:space="0" w:color="auto"/>
        <w:right w:val="none" w:sz="0" w:space="0" w:color="auto"/>
      </w:divBdr>
    </w:div>
    <w:div w:id="1380545689">
      <w:bodyDiv w:val="1"/>
      <w:marLeft w:val="0"/>
      <w:marRight w:val="0"/>
      <w:marTop w:val="0"/>
      <w:marBottom w:val="0"/>
      <w:divBdr>
        <w:top w:val="none" w:sz="0" w:space="0" w:color="auto"/>
        <w:left w:val="none" w:sz="0" w:space="0" w:color="auto"/>
        <w:bottom w:val="none" w:sz="0" w:space="0" w:color="auto"/>
        <w:right w:val="none" w:sz="0" w:space="0" w:color="auto"/>
      </w:divBdr>
    </w:div>
    <w:div w:id="1470630311">
      <w:bodyDiv w:val="1"/>
      <w:marLeft w:val="0"/>
      <w:marRight w:val="0"/>
      <w:marTop w:val="0"/>
      <w:marBottom w:val="0"/>
      <w:divBdr>
        <w:top w:val="none" w:sz="0" w:space="0" w:color="auto"/>
        <w:left w:val="none" w:sz="0" w:space="0" w:color="auto"/>
        <w:bottom w:val="none" w:sz="0" w:space="0" w:color="auto"/>
        <w:right w:val="none" w:sz="0" w:space="0" w:color="auto"/>
      </w:divBdr>
    </w:div>
    <w:div w:id="1711145035">
      <w:bodyDiv w:val="1"/>
      <w:marLeft w:val="0"/>
      <w:marRight w:val="0"/>
      <w:marTop w:val="0"/>
      <w:marBottom w:val="0"/>
      <w:divBdr>
        <w:top w:val="none" w:sz="0" w:space="0" w:color="auto"/>
        <w:left w:val="none" w:sz="0" w:space="0" w:color="auto"/>
        <w:bottom w:val="none" w:sz="0" w:space="0" w:color="auto"/>
        <w:right w:val="none" w:sz="0" w:space="0" w:color="auto"/>
      </w:divBdr>
    </w:div>
    <w:div w:id="2046372464">
      <w:bodyDiv w:val="1"/>
      <w:marLeft w:val="0"/>
      <w:marRight w:val="0"/>
      <w:marTop w:val="0"/>
      <w:marBottom w:val="0"/>
      <w:divBdr>
        <w:top w:val="none" w:sz="0" w:space="0" w:color="auto"/>
        <w:left w:val="none" w:sz="0" w:space="0" w:color="auto"/>
        <w:bottom w:val="none" w:sz="0" w:space="0" w:color="auto"/>
        <w:right w:val="none" w:sz="0" w:space="0" w:color="auto"/>
      </w:divBdr>
    </w:div>
    <w:div w:id="20479475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fontTable" Target="fontTable.xml" Id="rId8"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webSettings" Target="webSettings.xml" Id="rId5" /><Relationship Type="http://schemas.openxmlformats.org/officeDocument/2006/relationships/settings" Target="settings.xml" Id="rId4" /><Relationship Type="http://schemas.openxmlformats.org/officeDocument/2006/relationships/theme" Target="theme/theme1.xml" Id="rId9"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3</ap:Pages>
  <ap:Words>1281</ap:Words>
  <ap:Characters>8622</ap:Characters>
  <ap:DocSecurity>0</ap:DocSecurity>
  <ap:Lines>116</ap:Lines>
  <ap:Paragraphs>20</ap:Paragraphs>
  <ap:ScaleCrop>false</ap:ScaleCrop>
  <ap:LinksUpToDate>false</ap:LinksUpToDate>
  <ap:CharactersWithSpaces>9883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2025-12-18T11:44:00.0000000Z</dcterms:created>
  <dcterms:modified xsi:type="dcterms:W3CDTF">2025-12-18T11:44:00.0000000Z</dcterms:modified>
  <version/>
  <category/>
</coreProperties>
</file>