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2025Z22544</w:t>
        <w:br/>
      </w:r>
      <w:proofErr w:type="spellEnd"/>
    </w:p>
    <w:p>
      <w:pPr>
        <w:pStyle w:val="Normal"/>
        <w:rPr>
          <w:b w:val="1"/>
          <w:bCs w:val="1"/>
        </w:rPr>
      </w:pPr>
      <w:r w:rsidR="250AE766">
        <w:rPr>
          <w:b w:val="0"/>
          <w:bCs w:val="0"/>
        </w:rPr>
        <w:t>(ingezonden 19 december 2025)</w:t>
        <w:br/>
      </w:r>
    </w:p>
    <w:p>
      <w:r>
        <w:t xml:space="preserve">Vragen van het lid Westerveld (GroenLinks-PvdA) aan de staatssecretaris van Volksgezondheid, Welzijn en Sport over problemen met de vergoeding van spraakcomputers voor mensen die zonder hulp niet of moeilijk kunnen communiceren</w:t>
      </w:r>
      <w:r>
        <w:br/>
      </w:r>
    </w:p>
    <w:p>
      <w:r>
        <w:t xml:space="preserve">Vraag 1</w:t>
      </w:r>
      <w:r>
        <w:br/>
      </w:r>
    </w:p>
    <w:p>
      <w:r>
        <w:t xml:space="preserve">Kunt u ons een inschatting geven van hoeveel personen vanaf 1 januari 2024 een aanvraag gedaan hebben bij hun zorgverzekeraar of zorgkantoor voor een spraakcomputer of andere spraakhulpmiddelen?</w:t>
      </w:r>
      <w:r>
        <w:br/>
      </w:r>
    </w:p>
    <w:p>
      <w:r>
        <w:t xml:space="preserve">Vraag 2</w:t>
      </w:r>
      <w:r>
        <w:br/>
      </w:r>
    </w:p>
    <w:p>
      <w:r>
        <w:t xml:space="preserve">Hoeveel aanvragen voor spraakcomputers of andere spraakhulpmiddelen zijn er sinds 1 januari 2024 (naar schatting) afgewezen en om welke redenen?</w:t>
      </w:r>
      <w:r>
        <w:br/>
      </w:r>
    </w:p>
    <w:p>
      <w:r>
        <w:t xml:space="preserve">Vraag 3</w:t>
      </w:r>
      <w:r>
        <w:br/>
      </w:r>
    </w:p>
    <w:p>
      <w:r>
        <w:t xml:space="preserve">Hoeveel klachten zijn er sinds 1 januari 2024 door de Stichting Klachten en Geschillen Zorgverzekeringen (SKGZ) ontvangen over de vergoedingen van spraakhulpmiddelen? Bij hoeveel van deze klachten is geoordeeld dat het besluit van de zorgverzekeraar onterecht was?</w:t>
      </w:r>
      <w:r>
        <w:br/>
      </w:r>
    </w:p>
    <w:p>
      <w:r>
        <w:t xml:space="preserve">Vraag 4</w:t>
      </w:r>
      <w:r>
        <w:br/>
      </w:r>
    </w:p>
    <w:p>
      <w:r>
        <w:t xml:space="preserve">Kunt u toelichten op welke wijze de uitspraak van de SKGZ van 5 juni 2025 van invloed is op het beleid en de praktijk omtrent het wel of niet goedkeuren van vergoedingen voor spraakhulpmiddelen? 1)</w:t>
      </w:r>
      <w:r>
        <w:br/>
      </w:r>
    </w:p>
    <w:p>
      <w:r>
        <w:t xml:space="preserve">Vraag 5</w:t>
      </w:r>
      <w:r>
        <w:br/>
      </w:r>
    </w:p>
    <w:p>
      <w:r>
        <w:t xml:space="preserve">
          Klopt het dat er momenteel nog steeds geen vergoeding mogelijk is voor (aangepaste) hardware voor spraakcomputers, ondanks de aangenomen motie Westerveld c.s. over het vergoeden van spraakcomputers en de eerder gestelde vragen over dit onderwerp? 2)
          <w:br/>
          <w:br/>
          Vraag 6
          <w:br/>
          In hoeverre is de 1,8 miljoen euro die met het amendement-Westerveld is vrijgemaakt om spraakondersteuning voor mensen die onder de Wet langdurige zorg (Wlz) vallen, uitgegeven aan dit doel? 3)
        </w:t>
      </w:r>
      <w:r>
        <w:br/>
      </w:r>
    </w:p>
    <w:p>
      <w:r>
        <w:t xml:space="preserve">Vraag 7</w:t>
      </w:r>
      <w:r>
        <w:br/>
      </w:r>
    </w:p>
    <w:p>
      <w:r>
        <w:t xml:space="preserve">Welke redenen zijn er om de vergoeding voor de hardware af te wijzen, maar de vergoeding voor de software goed te keuren?</w:t>
      </w:r>
      <w:r>
        <w:br/>
      </w:r>
    </w:p>
    <w:p>
      <w:r>
        <w:t xml:space="preserve">Vraag 8</w:t>
      </w:r>
      <w:r>
        <w:br/>
      </w:r>
    </w:p>
    <w:p>
      <w:r>
        <w:t xml:space="preserve">Bestaat er op dit moment een richtlijn voor zorgverzekeraars en zorgkantoren om te beoordelen of er sprake is van een algemeen gebruikelijke voorziening of dat aangepaste hardware nodig is?</w:t>
      </w:r>
      <w:r>
        <w:br/>
      </w:r>
    </w:p>
    <w:p>
      <w:r>
        <w:t xml:space="preserve">Vraag 9</w:t>
      </w:r>
      <w:r>
        <w:br/>
      </w:r>
    </w:p>
    <w:p>
      <w:r>
        <w:t xml:space="preserve">Klopt het dat in de praktijk momenteel spraakcomputers die niet ooggestuurd zijn, weinig tot niet worden vergoed door zorgverzekeraars? Zo ja, kunt u aangeven op basis waarvan dit wordt besloten?</w:t>
      </w:r>
      <w:r>
        <w:br/>
      </w:r>
    </w:p>
    <w:p>
      <w:r>
        <w:t xml:space="preserve">Vraag 10</w:t>
      </w:r>
      <w:r>
        <w:br/>
      </w:r>
    </w:p>
    <w:p>
      <w:r>
        <w:t xml:space="preserve">Heeft u inmiddels zicht op de groepen voor wie toegankelijkheid en beschikbaarheid van spraakhulpmiddelen een probleem is en hoe dit opgelost kan worden? Zo ja, kunt u dit nader toelichten? Zo nee, wanneer kunt u de Kamer hierover informeren?</w:t>
      </w:r>
      <w:r>
        <w:br/>
      </w:r>
    </w:p>
    <w:p>
      <w:r>
        <w:t xml:space="preserve">Vraag 11</w:t>
      </w:r>
      <w:r>
        <w:br/>
      </w:r>
    </w:p>
    <w:p>
      <w:r>
        <w:t xml:space="preserve">Klopt het dat verschillende zorgverzekeraars de richtlijnen op verschillende wijzen interpreteren en hanteren zoals dat sommige zorgverzekeraars er voor kiezen spraakcomputers met touchbediening niet meer te vergoeden?</w:t>
      </w:r>
      <w:r>
        <w:br/>
      </w:r>
    </w:p>
    <w:p>
      <w:r>
        <w:t xml:space="preserve">Vraag 12</w:t>
      </w:r>
      <w:r>
        <w:br/>
      </w:r>
    </w:p>
    <w:p>
      <w:r>
        <w:t xml:space="preserve">Kunt u aangeven welke criteria er gelden voor aanpassingen om te oordelen of een reguliere iPad dusdanig aangepast is dat het beschouwd kan worden als een geïntegreerd hulpmiddel en daarmee in aanmerking komt voor vergoeding?</w:t>
      </w:r>
      <w:r>
        <w:br/>
      </w:r>
    </w:p>
    <w:p>
      <w:r>
        <w:t xml:space="preserve">Vraag 13</w:t>
      </w:r>
      <w:r>
        <w:br/>
      </w:r>
    </w:p>
    <w:p>
      <w:r>
        <w:t xml:space="preserve">Welke mogelijkheden ziet u voor het sturen op de mogelijkheid van een vergoeding van het totaalpakket, dat wil zeggen: passing- hardware-software-aanpassingen-ondersteuning?</w:t>
      </w:r>
      <w:r>
        <w:br/>
      </w:r>
    </w:p>
    <w:p>
      <w:r>
        <w:t xml:space="preserve"> </w:t>
      </w:r>
      <w:r>
        <w:br/>
      </w:r>
    </w:p>
    <w:p>
      <w:r>
        <w:t xml:space="preserve"> </w:t>
      </w:r>
      <w:r>
        <w:br/>
      </w:r>
    </w:p>
    <w:p>
      <w:r>
        <w:t xml:space="preserve">1) Stichting Klachten en Geschillen Zorgverzekeringen, 26 september 2025, “Advies Zorginstituut Nederland, SKGZ202401701” (https://www.skgz.nl/uitspraken/8815)</w:t>
      </w:r>
      <w:r>
        <w:br/>
      </w:r>
    </w:p>
    <w:p>
      <w:r>
        <w:t xml:space="preserve">2) Kamerstuk 24170, nr. 295</w:t>
      </w:r>
      <w:r>
        <w:br/>
      </w:r>
    </w:p>
    <w:p>
      <w:r>
        <w:t xml:space="preserve">3) Kamerstuk 36410-XVI, nr. 39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