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2025Z22546</w:t>
        <w:br/>
      </w:r>
      <w:proofErr w:type="spellEnd"/>
    </w:p>
    <w:p>
      <w:pPr>
        <w:pStyle w:val="Normal"/>
        <w:rPr>
          <w:b w:val="1"/>
          <w:bCs w:val="1"/>
        </w:rPr>
      </w:pPr>
      <w:r w:rsidR="250AE766">
        <w:rPr>
          <w:b w:val="0"/>
          <w:bCs w:val="0"/>
        </w:rPr>
        <w:t>(ingezonden 19 december 2025)</w:t>
        <w:br/>
      </w:r>
    </w:p>
    <w:p>
      <w:r>
        <w:t xml:space="preserve">Vragen van de leden Heera Dijk (D66) en Tijs van den Brink (CDA) aan de staatssecretaris van Binnenlandse Zaken en Koninkrijksrelaties en de minister van Infrastructuur en Waterstaat over het SEO-rapport 'Impact PSO Bovenwindse Eilanden'</w:t>
      </w:r>
      <w:r>
        <w:br/>
      </w:r>
    </w:p>
    <w:p>
      <w:r>
        <w:t xml:space="preserve"> </w:t>
      </w:r>
      <w:r>
        <w:br/>
      </w:r>
    </w:p>
    <w:p>
      <w:r>
        <w:t xml:space="preserve">1. Deelt u de analyse uit het SEO-rapport 'Impact PSO Bovenwindse Eilanden' 1) dat de luchtverbindingen tussen Sint Maarten en Saba en Sint Eustatius een essentiële publieke functie vervullen en niet functioneren als een reguliere markt, mede gezien het ontbreken van reële alternatieven voor inwoners en ondernemers?</w:t>
      </w:r>
      <w:r>
        <w:br/>
      </w:r>
    </w:p>
    <w:p>
      <w:r>
        <w:t xml:space="preserve">2. Welke uitgangspunten hanteert de minister bij het borgen van vitale eilandverbindingen binnen Nederland, en kan de minister toelichten hoe deze uitgangspunten worden toegepast bij de bereikbaarheid van de Waddeneilanden?</w:t>
      </w:r>
      <w:r>
        <w:br/>
      </w:r>
    </w:p>
    <w:p>
      <w:r>
        <w:t xml:space="preserve">3. Welke beleidsinstrumenten zet het Rijk in om vitale eilandverbindingen binnen Europees Nederland te borgen, en in hoeverre zijn deze instrumenten toepasbaar op de situatie van Saba en Sint Eustatius, gelet op de schaal en marktstructuur van deze eilanden?</w:t>
      </w:r>
      <w:r>
        <w:br/>
      </w:r>
    </w:p>
    <w:p>
      <w:r>
        <w:t xml:space="preserve">4. Gegeven dat uit eerdere stukken blijkt dat de wetswijziging van de Luchtvaartwet BES 2) en de implementatie van een Public Service Obligation (PSO) naar verwachting circa twee jaar in beslag nemen, hoe wordt in de tussenliggende periode de bereikbaarheid van Saba en Sint Eustatius geborgd?</w:t>
      </w:r>
      <w:r>
        <w:br/>
      </w:r>
    </w:p>
    <w:p>
      <w:r>
        <w:t xml:space="preserve">5. Acht u het verantwoord dat gedurende deze tussenperiode niet alleen de toegang tot essentiële voorzieningen zoals medische zorg, onderwijs en werk, maar ook het economisch en toeristisch draagvlak van Saba en Sint Eustatius onder druk staan, terwijl bereikbaarheid hiervoor een randvoorwaarde is?</w:t>
      </w:r>
      <w:r>
        <w:br/>
      </w:r>
    </w:p>
    <w:p>
      <w:r>
        <w:t xml:space="preserve">6. Welke tijdelijke maatregelen acht u juridisch en beleidsmatig mogelijk om de beschikbaarheid en continuïteit van de luchtverbindingen met Saba en Sint Eustatius als publieke dienst te waarborgen in afwachting van de invoering van de PSO?</w:t>
      </w:r>
      <w:r>
        <w:br/>
      </w:r>
    </w:p>
    <w:p>
      <w:r>
        <w:t xml:space="preserve">7. Bent u bereid om, samen met de openbare lichamen Saba en Sint Eustatius, actief te verkennen welke mogelijkheden er zijn deze verbindingen in de tussenliggende periode tijdelijk te borgen via afspraken gericht op beschikbaarheid en exploitatie, zonder het subsidiëren van individuele reizen?</w:t>
      </w:r>
      <w:r>
        <w:br/>
      </w:r>
    </w:p>
    <w:p>
      <w:r>
        <w:t xml:space="preserve">8. Hoe borgt u dat de bereikbaarheid van Saba en Sint Eustatius in deze tussenperiode niet afhankelijk wordt van individuele draagkracht, maar als collectieve basisvoorziening kan blijven functioneren?</w:t>
      </w:r>
      <w:r>
        <w:br/>
      </w:r>
    </w:p>
    <w:p>
      <w:r>
        <w:t xml:space="preserve">9. Welke concrete scenario’s voor tijdelijke borging van de bereikbaarheid van Saba en Sint Eustatius worden momenteel verkend, en op welke termijn kan de Kamer hierover worden geïnformeerd?</w:t>
      </w:r>
      <w:r>
        <w:br/>
      </w:r>
    </w:p>
    <w:p>
      <w:r>
        <w:t xml:space="preserve"> </w:t>
      </w:r>
      <w:r>
        <w:br/>
      </w:r>
    </w:p>
    <w:p>
      <w:r>
        <w:t xml:space="preserve">1) Bijlage bij Kamerstuk 31936, nr. 1082.</w:t>
      </w:r>
      <w:r>
        <w:br/>
      </w:r>
    </w:p>
    <w:p>
      <w:r>
        <w:t xml:space="preserve">2) Kamerstuk 36862.</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