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AD0" w:rsidP="00095578" w:rsidRDefault="00614AD0" w14:paraId="0CD8A647" w14:textId="77777777"/>
    <w:p w:rsidR="00614AD0" w:rsidP="00095578" w:rsidRDefault="00614AD0" w14:paraId="6E6FB47A" w14:textId="77777777">
      <w:r>
        <w:t>Geachte Voorzitter,</w:t>
      </w:r>
      <w:r>
        <w:br/>
      </w:r>
    </w:p>
    <w:p w:rsidRPr="00266C23" w:rsidR="00614AD0" w:rsidP="00095578" w:rsidRDefault="00614AD0" w14:paraId="4E6B9F7C" w14:textId="33E6EA58">
      <w:pPr>
        <w:rPr>
          <w:szCs w:val="18"/>
        </w:rPr>
      </w:pPr>
      <w:r w:rsidRPr="00266C23">
        <w:rPr>
          <w:szCs w:val="18"/>
        </w:rPr>
        <w:t>Hierbij zend ik u de antwoorden op de vragen van het lid Oualhadj (D66) over de situatie omtrent de ingreep bij Nexperia (2025Z20421) ingezonden op 25</w:t>
      </w:r>
      <w:r w:rsidR="00095578">
        <w:rPr>
          <w:szCs w:val="18"/>
        </w:rPr>
        <w:t> </w:t>
      </w:r>
      <w:r w:rsidRPr="00266C23">
        <w:rPr>
          <w:szCs w:val="18"/>
        </w:rPr>
        <w:t xml:space="preserve">november 2025. </w:t>
      </w:r>
    </w:p>
    <w:p w:rsidR="00614AD0" w:rsidP="00095578" w:rsidRDefault="00614AD0" w14:paraId="11D238EF" w14:textId="77777777"/>
    <w:p w:rsidRPr="00BB3C1C" w:rsidR="00C92C79" w:rsidP="00095578" w:rsidRDefault="00C92C79" w14:paraId="24AB8BE1" w14:textId="77777777">
      <w:pPr>
        <w:rPr>
          <w:szCs w:val="18"/>
        </w:rPr>
      </w:pPr>
      <w:r w:rsidRPr="00BB3C1C">
        <w:rPr>
          <w:szCs w:val="18"/>
        </w:rPr>
        <w:t>De afgelopen weken is al veel gedeeld met u</w:t>
      </w:r>
      <w:r>
        <w:rPr>
          <w:szCs w:val="18"/>
        </w:rPr>
        <w:t>w</w:t>
      </w:r>
      <w:r w:rsidRPr="00BB3C1C">
        <w:rPr>
          <w:szCs w:val="18"/>
        </w:rPr>
        <w:t xml:space="preserve"> Kamer over dit </w:t>
      </w:r>
      <w:r>
        <w:rPr>
          <w:szCs w:val="18"/>
        </w:rPr>
        <w:t>onderwerp</w:t>
      </w:r>
      <w:r w:rsidRPr="00BB3C1C">
        <w:rPr>
          <w:szCs w:val="18"/>
        </w:rPr>
        <w:t xml:space="preserve"> via kamerbrieven, antwoorden op </w:t>
      </w:r>
      <w:r>
        <w:rPr>
          <w:szCs w:val="18"/>
        </w:rPr>
        <w:t xml:space="preserve">eerder gestelde </w:t>
      </w:r>
      <w:r w:rsidRPr="00BB3C1C">
        <w:rPr>
          <w:szCs w:val="18"/>
        </w:rPr>
        <w:t xml:space="preserve">Kamervragen, de </w:t>
      </w:r>
      <w:r>
        <w:rPr>
          <w:szCs w:val="18"/>
        </w:rPr>
        <w:t xml:space="preserve">besloten </w:t>
      </w:r>
      <w:r w:rsidRPr="00BB3C1C">
        <w:rPr>
          <w:szCs w:val="18"/>
        </w:rPr>
        <w:t xml:space="preserve">technische </w:t>
      </w:r>
      <w:r>
        <w:rPr>
          <w:szCs w:val="18"/>
        </w:rPr>
        <w:t xml:space="preserve">briefing </w:t>
      </w:r>
      <w:r w:rsidRPr="00BB3C1C">
        <w:rPr>
          <w:szCs w:val="18"/>
        </w:rPr>
        <w:t>en het debat op 4 december jl. In de beantwoording van meerdere vragen verwijs ik hier dan ook na</w:t>
      </w:r>
      <w:r>
        <w:rPr>
          <w:szCs w:val="18"/>
        </w:rPr>
        <w:t>ar</w:t>
      </w:r>
      <w:r w:rsidRPr="00BB3C1C">
        <w:rPr>
          <w:szCs w:val="18"/>
        </w:rPr>
        <w:t xml:space="preserve">. </w:t>
      </w:r>
    </w:p>
    <w:p w:rsidRPr="00BB3C1C" w:rsidR="00C92C79" w:rsidP="00095578" w:rsidRDefault="00C92C79" w14:paraId="6421EDBC" w14:textId="77777777">
      <w:pPr>
        <w:rPr>
          <w:szCs w:val="18"/>
        </w:rPr>
      </w:pPr>
    </w:p>
    <w:p w:rsidRPr="00BB3C1C" w:rsidR="00C92C79" w:rsidP="00095578" w:rsidRDefault="00C92C79" w14:paraId="04AA2B94" w14:textId="77777777">
      <w:pPr>
        <w:rPr>
          <w:b/>
          <w:szCs w:val="18"/>
        </w:rPr>
      </w:pPr>
    </w:p>
    <w:p w:rsidRPr="00BB3C1C" w:rsidR="00C92C79" w:rsidP="00095578" w:rsidRDefault="00C92C79" w14:paraId="0F567DEC" w14:textId="77777777">
      <w:pPr>
        <w:rPr>
          <w:szCs w:val="18"/>
        </w:rPr>
      </w:pPr>
    </w:p>
    <w:p w:rsidRPr="00BB3C1C" w:rsidR="00C92C79" w:rsidP="00095578" w:rsidRDefault="00C92C79" w14:paraId="04298035" w14:textId="77777777">
      <w:pPr>
        <w:rPr>
          <w:szCs w:val="18"/>
        </w:rPr>
      </w:pPr>
      <w:r w:rsidRPr="00BB3C1C">
        <w:rPr>
          <w:szCs w:val="18"/>
        </w:rPr>
        <w:t>Vincent Karremans</w:t>
      </w:r>
    </w:p>
    <w:p w:rsidR="00614AD0" w:rsidP="00095578" w:rsidRDefault="00C92C79" w14:paraId="5E600018" w14:textId="73C6B8FB">
      <w:pPr>
        <w:rPr>
          <w:b/>
        </w:rPr>
      </w:pPr>
      <w:r w:rsidRPr="00BB3C1C">
        <w:rPr>
          <w:szCs w:val="18"/>
        </w:rPr>
        <w:t>Minister van Economische Zaken</w:t>
      </w:r>
    </w:p>
    <w:p w:rsidR="00614AD0" w:rsidP="00095578" w:rsidRDefault="00614AD0" w14:paraId="23F072B6" w14:textId="77777777">
      <w:pPr>
        <w:rPr>
          <w:b/>
        </w:rPr>
      </w:pPr>
    </w:p>
    <w:p w:rsidR="00614AD0" w:rsidP="00095578" w:rsidRDefault="00614AD0" w14:paraId="5A6D695C" w14:textId="77777777">
      <w:pPr>
        <w:rPr>
          <w:b/>
        </w:rPr>
      </w:pPr>
      <w:r>
        <w:rPr>
          <w:b/>
        </w:rPr>
        <w:br w:type="page"/>
      </w:r>
    </w:p>
    <w:p w:rsidR="00614AD0" w:rsidP="00095578" w:rsidRDefault="00614AD0" w14:paraId="326FE5EF" w14:textId="77777777">
      <w:pPr>
        <w:rPr>
          <w:b/>
        </w:rPr>
      </w:pPr>
      <w:r w:rsidRPr="250AE766">
        <w:rPr>
          <w:b/>
        </w:rPr>
        <w:lastRenderedPageBreak/>
        <w:t>2025Z20421</w:t>
      </w:r>
    </w:p>
    <w:p w:rsidRPr="00076805" w:rsidR="002507D7" w:rsidP="002507D7" w:rsidRDefault="00614AD0" w14:paraId="1DB00D47" w14:textId="77777777">
      <w:pPr>
        <w:rPr>
          <w:b/>
        </w:rPr>
      </w:pPr>
      <w:r>
        <w:rPr>
          <w:b/>
        </w:rPr>
        <w:br/>
      </w:r>
      <w:r w:rsidRPr="006B7A36" w:rsidR="002507D7">
        <w:rPr>
          <w:rStyle w:val="Zwaar"/>
          <w:b w:val="0"/>
        </w:rPr>
        <w:t>1</w:t>
      </w:r>
      <w:r w:rsidR="002507D7">
        <w:rPr>
          <w:rStyle w:val="Zwaar"/>
        </w:rPr>
        <w:br/>
      </w:r>
      <w:r w:rsidR="002507D7">
        <w:t>Kunt u een overzicht geven van de betrokkenheid binnen het kabinet bij het besluit om de Wet beschikbaarheid goederen in te zetten bij Nexperia (wie is wanneer geïnformeerd, welke besluitvorming heeft waar plaatsgevonden)?</w:t>
      </w:r>
    </w:p>
    <w:p w:rsidR="002507D7" w:rsidP="002507D7" w:rsidRDefault="002507D7" w14:paraId="05FA1F2F" w14:textId="77777777">
      <w:pPr>
        <w:rPr>
          <w:rStyle w:val="Zwaar"/>
          <w:b w:val="0"/>
        </w:rPr>
      </w:pPr>
    </w:p>
    <w:p w:rsidRPr="00FE70DA" w:rsidR="002507D7" w:rsidP="002507D7" w:rsidRDefault="002507D7" w14:paraId="678AFF00" w14:textId="77777777">
      <w:pPr>
        <w:rPr>
          <w:b/>
        </w:rPr>
      </w:pPr>
      <w:r w:rsidRPr="006B7A36">
        <w:rPr>
          <w:rStyle w:val="Zwaar"/>
          <w:b w:val="0"/>
        </w:rPr>
        <w:t>Antwoord</w:t>
      </w:r>
    </w:p>
    <w:p w:rsidRPr="00AC426B" w:rsidR="002507D7" w:rsidP="002507D7" w:rsidRDefault="002507D7" w14:paraId="5A65944A" w14:textId="77777777">
      <w:r w:rsidRPr="002B2241">
        <w:t xml:space="preserve">Een volledig overzicht van de tijdlijn, inclusief wie op welk moment is geïnformeerd, </w:t>
      </w:r>
      <w:r>
        <w:t>is</w:t>
      </w:r>
      <w:r w:rsidRPr="002B2241">
        <w:t xml:space="preserve"> op </w:t>
      </w:r>
      <w:r>
        <w:t>2 december jl.</w:t>
      </w:r>
      <w:r>
        <w:rPr>
          <w:rStyle w:val="Voetnootmarkering"/>
        </w:rPr>
        <w:footnoteReference w:id="1"/>
      </w:r>
      <w:r w:rsidRPr="002B2241">
        <w:t xml:space="preserve"> met uw Kamer gedeeld</w:t>
      </w:r>
      <w:r w:rsidRPr="00AC426B">
        <w:t>.</w:t>
      </w:r>
      <w:r>
        <w:t xml:space="preserve"> Daarin staat vermeld dat er voorafgaande aan het bevel contact is geweest met de minister-president, de vicepremiers, de minister van Buitenlandse Zaken, de minister van Defensie en de Staatssecretaris van Buitenlandse Handel en Ontwikkelingshulp.</w:t>
      </w:r>
    </w:p>
    <w:p w:rsidR="002507D7" w:rsidP="002507D7" w:rsidRDefault="002507D7" w14:paraId="05F6CD4D" w14:textId="77777777"/>
    <w:p w:rsidR="002507D7" w:rsidP="002507D7" w:rsidRDefault="002507D7" w14:paraId="682EC475" w14:textId="77777777">
      <w:r>
        <w:t>2</w:t>
      </w:r>
    </w:p>
    <w:p w:rsidR="002507D7" w:rsidP="002507D7" w:rsidRDefault="002507D7" w14:paraId="6533B343" w14:textId="77777777">
      <w:r>
        <w:t>Kunt u een overzicht geven van de vraag welke landen en Europese instellingen wanneer betrokken zijn geweest bij dit dossier en op welke wijze?</w:t>
      </w:r>
    </w:p>
    <w:p w:rsidR="002507D7" w:rsidP="002507D7" w:rsidRDefault="002507D7" w14:paraId="0B710DB9" w14:textId="77777777"/>
    <w:p w:rsidR="002507D7" w:rsidP="002507D7" w:rsidRDefault="002507D7" w14:paraId="0B2839C4" w14:textId="77777777">
      <w:r>
        <w:t>Antwoord</w:t>
      </w:r>
    </w:p>
    <w:p w:rsidR="002507D7" w:rsidP="002507D7" w:rsidRDefault="002507D7" w14:paraId="213CD997" w14:textId="20618D50">
      <w:r>
        <w:t xml:space="preserve">Vanwege de gevoeligheid van de casus is er aanvankelijk voor gekozen om de kring van betrokkenen zo klein mogelijk te houden. </w:t>
      </w:r>
      <w:r w:rsidRPr="00B94BCD">
        <w:t>Dit is gebruikelijk</w:t>
      </w:r>
      <w:r>
        <w:t xml:space="preserve"> in dit soort gevallen</w:t>
      </w:r>
      <w:r w:rsidRPr="00B94BCD">
        <w:t xml:space="preserve">. Er was </w:t>
      </w:r>
      <w:r>
        <w:t xml:space="preserve">namelijk </w:t>
      </w:r>
      <w:r w:rsidRPr="00B94BCD">
        <w:t>sprake van acute dreigingen en hoe breder de cirkel</w:t>
      </w:r>
      <w:r>
        <w:t xml:space="preserve"> van vooraf </w:t>
      </w:r>
      <w:r w:rsidR="00502859">
        <w:t>geïnformeerden</w:t>
      </w:r>
      <w:r>
        <w:t>,</w:t>
      </w:r>
      <w:r w:rsidRPr="00B94BCD">
        <w:t xml:space="preserve"> hoe groter de kans dat de risico’s zich daadwerkelijk zouden manifesteren.</w:t>
      </w:r>
      <w:r>
        <w:t xml:space="preserve"> </w:t>
      </w:r>
    </w:p>
    <w:p w:rsidR="002507D7" w:rsidP="002507D7" w:rsidRDefault="002507D7" w14:paraId="367430FA" w14:textId="77777777"/>
    <w:p w:rsidR="002507D7" w:rsidP="002507D7" w:rsidRDefault="002507D7" w14:paraId="2287A65D" w14:textId="77777777">
      <w:r>
        <w:t xml:space="preserve">Er is zeer vroegtijdig contact geweest met Duitsland en het Verenigd Koninkrijk, omdat zich daar belangrijke productielocaties van Nexperia bevinden. Contact met deze landen zag daardoor o.a. op het realiseren van adequaat toezicht in deze landen op naleving van mijn bevel. De Europese Commissie is spoedig daarna geïnformeerd. Het was aanvankelijk niet de bedoeling de kwestie veel breder te trekken, of om nadrukkelijk de publiciteit te zoeken gezien de bedrijfsgevoelige aard van deze zaak. Echter, de wereldwijde gevolgen van de exportcontrolemaatregelen en het besluit van Wingtech om de kwestie wereldkundig te maken, leidden ertoe dat de casus in de openbaarheid kwam. </w:t>
      </w:r>
    </w:p>
    <w:p w:rsidR="002507D7" w:rsidP="002507D7" w:rsidRDefault="002507D7" w14:paraId="4905F276" w14:textId="77777777">
      <w:pPr>
        <w:rPr>
          <w:szCs w:val="18"/>
        </w:rPr>
      </w:pPr>
    </w:p>
    <w:p w:rsidRPr="00B94BCD" w:rsidR="002507D7" w:rsidP="002507D7" w:rsidRDefault="002507D7" w14:paraId="043366F2" w14:textId="77777777">
      <w:r w:rsidRPr="00B94BCD">
        <w:t xml:space="preserve">Een volledig overzicht van de tijdlijn, inclusief wie op welk moment is geïnformeerd, </w:t>
      </w:r>
      <w:r>
        <w:t>is</w:t>
      </w:r>
      <w:r w:rsidRPr="00B94BCD">
        <w:t xml:space="preserve"> op 2 december jl. met u</w:t>
      </w:r>
      <w:r>
        <w:t>w</w:t>
      </w:r>
      <w:r w:rsidRPr="00B94BCD">
        <w:t xml:space="preserve"> Kamer gedeeld.</w:t>
      </w:r>
    </w:p>
    <w:p w:rsidR="002507D7" w:rsidP="002507D7" w:rsidRDefault="002507D7" w14:paraId="43010FBB" w14:textId="77777777"/>
    <w:p w:rsidR="002507D7" w:rsidP="002507D7" w:rsidRDefault="002507D7" w14:paraId="1AC54D28" w14:textId="77777777">
      <w:r>
        <w:t>3</w:t>
      </w:r>
    </w:p>
    <w:p w:rsidR="002507D7" w:rsidP="002507D7" w:rsidRDefault="002507D7" w14:paraId="1E2DB14E" w14:textId="77777777">
      <w:r>
        <w:t>Kunt u uiteenzetten welke objectieve criteria en signaleringsindicatoren u heeft gehanteerd om te bepalen dat sprake was van omstandigheden “ter verzekering van het beschikbaar blijven van goederen ter voorbereiding op noodsituaties”, zoals bedoeld in artikel 2, eerste lid, Wet beschikbaarheid goederen?</w:t>
      </w:r>
    </w:p>
    <w:p w:rsidR="002507D7" w:rsidP="002507D7" w:rsidRDefault="002507D7" w14:paraId="59F7B289" w14:textId="77777777"/>
    <w:p w:rsidR="002507D7" w:rsidP="002507D7" w:rsidRDefault="002507D7" w14:paraId="0E890A43" w14:textId="77777777"/>
    <w:p w:rsidR="002507D7" w:rsidP="002507D7" w:rsidRDefault="002507D7" w14:paraId="3A5B73AC" w14:textId="77777777"/>
    <w:p w:rsidR="002507D7" w:rsidP="002507D7" w:rsidRDefault="002507D7" w14:paraId="61716453" w14:textId="77777777">
      <w:r>
        <w:lastRenderedPageBreak/>
        <w:t>Antwoord</w:t>
      </w:r>
    </w:p>
    <w:p w:rsidR="002507D7" w:rsidP="002507D7" w:rsidRDefault="002507D7" w14:paraId="5622B1FF" w14:textId="77777777">
      <w:pPr>
        <w:rPr>
          <w:color w:val="000000" w:themeColor="text1"/>
        </w:rPr>
      </w:pPr>
      <w:r>
        <w:rPr>
          <w:color w:val="000000" w:themeColor="text1"/>
        </w:rPr>
        <w:t>Het</w:t>
      </w:r>
      <w:r w:rsidRPr="194E050F">
        <w:rPr>
          <w:color w:val="000000" w:themeColor="text1"/>
        </w:rPr>
        <w:t xml:space="preserve"> ministerie</w:t>
      </w:r>
      <w:r>
        <w:rPr>
          <w:color w:val="000000" w:themeColor="text1"/>
        </w:rPr>
        <w:t xml:space="preserve"> van Economische Zaken</w:t>
      </w:r>
      <w:r w:rsidRPr="194E050F">
        <w:rPr>
          <w:color w:val="000000" w:themeColor="text1"/>
        </w:rPr>
        <w:t xml:space="preserve"> ontving concrete aanwijzingen van handelingen van de CEO, die een direct risico vormden voor de productie, kennis en intellectueel eigendom</w:t>
      </w:r>
      <w:r>
        <w:rPr>
          <w:color w:val="000000" w:themeColor="text1"/>
        </w:rPr>
        <w:t xml:space="preserve"> in Europa</w:t>
      </w:r>
      <w:r w:rsidRPr="194E050F">
        <w:rPr>
          <w:color w:val="000000" w:themeColor="text1"/>
        </w:rPr>
        <w:t>. Het betreft hier het verplaatsen van productie</w:t>
      </w:r>
      <w:r>
        <w:rPr>
          <w:color w:val="000000" w:themeColor="text1"/>
        </w:rPr>
        <w:t xml:space="preserve"> en</w:t>
      </w:r>
      <w:r w:rsidRPr="194E050F">
        <w:rPr>
          <w:color w:val="000000" w:themeColor="text1"/>
        </w:rPr>
        <w:t xml:space="preserve"> geld naar een buitenlandse partij buiten de Nexperia</w:t>
      </w:r>
      <w:r>
        <w:rPr>
          <w:color w:val="000000" w:themeColor="text1"/>
        </w:rPr>
        <w:t xml:space="preserve"> groep</w:t>
      </w:r>
      <w:r w:rsidRPr="194E050F">
        <w:rPr>
          <w:color w:val="000000" w:themeColor="text1"/>
        </w:rPr>
        <w:t xml:space="preserve">. Door de ernst van deze concrete aanwijzingen ontstond een direct risico voor de Europese productiecapaciteit en de beschikbaarheid van cruciale chips, waardoor het noodzakelijk was om in te grijpen. </w:t>
      </w:r>
    </w:p>
    <w:p w:rsidR="002507D7" w:rsidP="002507D7" w:rsidRDefault="002507D7" w14:paraId="0C13686B" w14:textId="77777777"/>
    <w:p w:rsidR="002507D7" w:rsidP="002507D7" w:rsidRDefault="002507D7" w14:paraId="5F99901C" w14:textId="77777777">
      <w:r>
        <w:t>4</w:t>
      </w:r>
    </w:p>
    <w:p w:rsidR="002507D7" w:rsidP="002507D7" w:rsidRDefault="002507D7" w14:paraId="213A67B4" w14:textId="77777777">
      <w:r>
        <w:t>Kon u vooraf bevestigen dat de juridische handhaafbaarheid van het bevel onzeker was en aanvullende rechterlijke inmenging nodig zou zijn om naleving te garanderen, en waarom is desondanks voor dit instrument gekozen?</w:t>
      </w:r>
    </w:p>
    <w:p w:rsidR="002507D7" w:rsidP="002507D7" w:rsidRDefault="002507D7" w14:paraId="58A91C96" w14:textId="77777777"/>
    <w:p w:rsidR="002507D7" w:rsidP="002507D7" w:rsidRDefault="002507D7" w14:paraId="6ABA892C" w14:textId="77777777">
      <w:r>
        <w:t>Antwoord</w:t>
      </w:r>
    </w:p>
    <w:p w:rsidR="002507D7" w:rsidP="002507D7" w:rsidRDefault="002507D7" w14:paraId="112D3F4B" w14:textId="5FDF586E">
      <w:r>
        <w:t xml:space="preserve">Het is onjuist dat vooraf bekend was dat aanvullende rechterlijke inmenging vereist was om de naleving van het bevel te garanderen. </w:t>
      </w:r>
      <w:r w:rsidRPr="63D765A1">
        <w:rPr>
          <w:color w:val="000000" w:themeColor="text1"/>
        </w:rPr>
        <w:t xml:space="preserve">De Wet beschikbaarheid goederen en het uitgevaardigde bevel kan in vergaande mate de beschikbaarheid van productiemiddelen </w:t>
      </w:r>
      <w:r w:rsidRPr="50D91C7F">
        <w:rPr>
          <w:color w:val="000000" w:themeColor="text1"/>
        </w:rPr>
        <w:t xml:space="preserve">veiligstellen, ook als deze buiten de EU gelegen zijn. </w:t>
      </w:r>
      <w:r>
        <w:t>De effectiviteit van het bevel werkt via de zeggenschap die het hoofdkantoor (Nexperia Holding B.V.) heeft over de dochtermaatschappijen en vestigingen van Nexperia in binnen- en buitenland. Medewerking van het bestuur van Nexperia is daarbij van groot belang. De onmiddellijke voorzieningen van de Ondernemingskamer maakten die medewerking waarschijnlijker, omdat de CEO</w:t>
      </w:r>
      <w:r w:rsidR="00BA7C4A">
        <w:t xml:space="preserve">, </w:t>
      </w:r>
      <w:r w:rsidRPr="00BA7C4A" w:rsidR="00BA7C4A">
        <w:t>wiens handelen de dreiging vormde voor de leveringszekerheid</w:t>
      </w:r>
      <w:r w:rsidR="00BA7C4A">
        <w:t>,</w:t>
      </w:r>
      <w:r>
        <w:t xml:space="preserve"> mogelijk zou worden geschorst. Dat zou ondersteunend zijn aan de werking van het bevel. Ook vanuit die gedachte heeft de Staat zich als belanghebbende in de enquêteprocedure gemeld en de verzoeken van de bestuurders ondersteund.</w:t>
      </w:r>
      <w:r w:rsidR="00BA7C4A">
        <w:t xml:space="preserve"> </w:t>
      </w:r>
      <w:r w:rsidRPr="00BA7C4A" w:rsidR="00BA7C4A">
        <w:t>Dit heb ik ook in het debat in de Kamer op 4 december jl. zo uiteengezet</w:t>
      </w:r>
      <w:r w:rsidR="00BA7C4A">
        <w:t>.</w:t>
      </w:r>
      <w:r>
        <w:t xml:space="preserve"> </w:t>
      </w:r>
    </w:p>
    <w:p w:rsidR="002507D7" w:rsidP="002507D7" w:rsidRDefault="002507D7" w14:paraId="0FE1DFB7" w14:textId="77777777"/>
    <w:p w:rsidR="002507D7" w:rsidP="002507D7" w:rsidRDefault="002507D7" w14:paraId="67501D2F" w14:textId="77777777">
      <w:pPr>
        <w:rPr>
          <w:color w:val="000000" w:themeColor="text1"/>
        </w:rPr>
      </w:pPr>
      <w:r>
        <w:rPr>
          <w:color w:val="000000" w:themeColor="text1"/>
        </w:rPr>
        <w:t>5</w:t>
      </w:r>
    </w:p>
    <w:p w:rsidR="002507D7" w:rsidP="002507D7" w:rsidRDefault="002507D7" w14:paraId="077C8CA3" w14:textId="77777777">
      <w:r>
        <w:t>Welke andere instrumenten of interventies zijn overwogen om de risico’s bij Nexperia te beperken, en op welke gronden zijn deze niet ingezet?</w:t>
      </w:r>
    </w:p>
    <w:p w:rsidR="002507D7" w:rsidP="002507D7" w:rsidRDefault="002507D7" w14:paraId="502C06A8" w14:textId="77777777"/>
    <w:p w:rsidR="002507D7" w:rsidP="002507D7" w:rsidRDefault="002507D7" w14:paraId="440832C6" w14:textId="77777777">
      <w:r>
        <w:t>Antwoord</w:t>
      </w:r>
    </w:p>
    <w:p w:rsidR="002507D7" w:rsidP="002507D7" w:rsidRDefault="002507D7" w14:paraId="0990A44F" w14:textId="77777777">
      <w:r w:rsidRPr="00B94BCD">
        <w:t xml:space="preserve">Vanzelfsprekend zijn er verschillende </w:t>
      </w:r>
      <w:r>
        <w:t>mogelijkheden</w:t>
      </w:r>
      <w:r w:rsidRPr="00B94BCD">
        <w:t xml:space="preserve"> onderzocht en</w:t>
      </w:r>
      <w:r>
        <w:t xml:space="preserve"> gewogen </w:t>
      </w:r>
      <w:r w:rsidRPr="00B94BCD">
        <w:t xml:space="preserve">op </w:t>
      </w:r>
      <w:r>
        <w:t xml:space="preserve">onder andere </w:t>
      </w:r>
      <w:r w:rsidRPr="00B94BCD">
        <w:t xml:space="preserve">geschiktheid, inzetbaarheid en effectiviteit. Doel was een geschikte maatregel te kunnen nemen die de risico's verbonden aan het optreden van de CEO voor de beschikbaarheid in Nederland en Europa van de productie- en R&amp;D faciliteiten, de </w:t>
      </w:r>
      <w:r w:rsidRPr="00CF4E16">
        <w:rPr>
          <w:i/>
          <w:iCs/>
        </w:rPr>
        <w:t>know-how</w:t>
      </w:r>
      <w:r w:rsidRPr="00B94BCD">
        <w:t xml:space="preserve"> en de intellectuele eigendomsrechten van de onderneming (de productiemiddelen) konden </w:t>
      </w:r>
      <w:r>
        <w:t>mitigeren op een manier die bedrijfsprocessen zo min mogelijk zou verstoren</w:t>
      </w:r>
      <w:r w:rsidRPr="00B94BCD">
        <w:t>. Van de onderzochte maatregelen is de inzet van de Wet beschikbaarheid goederen de enige geschikte en proportionele maatregel.</w:t>
      </w:r>
    </w:p>
    <w:p w:rsidR="002507D7" w:rsidP="002507D7" w:rsidRDefault="002507D7" w14:paraId="0CFC1E07" w14:textId="77777777"/>
    <w:p w:rsidR="002507D7" w:rsidP="002507D7" w:rsidRDefault="002507D7" w14:paraId="3F18B647" w14:textId="77777777">
      <w:r>
        <w:t>6</w:t>
      </w:r>
    </w:p>
    <w:p w:rsidR="002507D7" w:rsidP="002507D7" w:rsidRDefault="002507D7" w14:paraId="3215A36D" w14:textId="77777777">
      <w:r>
        <w:t xml:space="preserve">Welke beoordeling heeft u vooraf gemaakt van het risico dat China het bevel op grond van de Wet beschikbaarheid goederen zou aanmerken als de facto </w:t>
      </w:r>
      <w:r>
        <w:lastRenderedPageBreak/>
        <w:t>nationalisatie van een Chinees bedrijf en als aanleiding zou zien voor exportmaatregelen?</w:t>
      </w:r>
    </w:p>
    <w:p w:rsidR="002507D7" w:rsidP="002507D7" w:rsidRDefault="002507D7" w14:paraId="032B5A14" w14:textId="77777777"/>
    <w:p w:rsidR="002507D7" w:rsidP="002507D7" w:rsidRDefault="002507D7" w14:paraId="312B5DB3" w14:textId="77777777">
      <w:pPr>
        <w:rPr>
          <w:color w:val="000000" w:themeColor="text1"/>
        </w:rPr>
      </w:pPr>
      <w:r>
        <w:rPr>
          <w:color w:val="000000" w:themeColor="text1"/>
        </w:rPr>
        <w:t>Antwoord</w:t>
      </w:r>
    </w:p>
    <w:p w:rsidRPr="00B94BCD" w:rsidR="002507D7" w:rsidP="002507D7" w:rsidRDefault="002507D7" w14:paraId="67B66ADA" w14:textId="77777777">
      <w:r>
        <w:t xml:space="preserve">De gevoeligheid van het bevel in de relatie met China is van tevoren onderkend. Daarom zijn de Chinese autoriteiten zo spoedig mogelijk geïnformeerd over mijn bevel, waarin benadrukt werd dat de maatregel gebaseerd was op het nemen van een geschikte </w:t>
      </w:r>
      <w:r w:rsidRPr="006909A6">
        <w:t>maatregel die de risico's verbonden aan het optreden van de CEO</w:t>
      </w:r>
      <w:r>
        <w:t xml:space="preserve"> mitigeert</w:t>
      </w:r>
      <w:r w:rsidDel="00B94126">
        <w:t xml:space="preserve"> </w:t>
      </w:r>
      <w:r>
        <w:t xml:space="preserve">en niet tegen is China gericht. </w:t>
      </w:r>
    </w:p>
    <w:p w:rsidR="002507D7" w:rsidP="002507D7" w:rsidRDefault="002507D7" w14:paraId="5C2E2155" w14:textId="77777777">
      <w:pPr>
        <w:rPr>
          <w:color w:val="000000" w:themeColor="text1"/>
        </w:rPr>
      </w:pPr>
    </w:p>
    <w:p w:rsidR="002507D7" w:rsidP="002507D7" w:rsidRDefault="002507D7" w14:paraId="70C1A88C" w14:textId="77777777">
      <w:pPr>
        <w:rPr>
          <w:color w:val="000000" w:themeColor="text1"/>
        </w:rPr>
      </w:pPr>
      <w:r>
        <w:rPr>
          <w:color w:val="000000" w:themeColor="text1"/>
        </w:rPr>
        <w:t>7</w:t>
      </w:r>
    </w:p>
    <w:p w:rsidR="002507D7" w:rsidP="002507D7" w:rsidRDefault="002507D7" w14:paraId="506BE790" w14:textId="77777777">
      <w:r>
        <w:t>Welke onderbouwing hanteert u voor de proportionaliteit van het Wet beschikbaarheid goederen bevel, gezien de diplomatieke en economische gevolgen, waaronder verstoringen in de levering van halfgeleiders?</w:t>
      </w:r>
    </w:p>
    <w:p w:rsidR="002507D7" w:rsidP="002507D7" w:rsidRDefault="002507D7" w14:paraId="569F5DF2" w14:textId="77777777">
      <w:pPr>
        <w:rPr>
          <w:color w:val="000000" w:themeColor="text1"/>
        </w:rPr>
      </w:pPr>
    </w:p>
    <w:p w:rsidR="002507D7" w:rsidP="002507D7" w:rsidRDefault="002507D7" w14:paraId="3AE3F690" w14:textId="77777777">
      <w:pPr>
        <w:rPr>
          <w:color w:val="000000" w:themeColor="text1"/>
        </w:rPr>
      </w:pPr>
      <w:r>
        <w:rPr>
          <w:color w:val="000000" w:themeColor="text1"/>
        </w:rPr>
        <w:t>Antwoord</w:t>
      </w:r>
    </w:p>
    <w:p w:rsidR="002507D7" w:rsidP="002507D7" w:rsidRDefault="002507D7" w14:paraId="5676D07F" w14:textId="77777777">
      <w:r>
        <w:t>Het ministerie van Economische Zaken ontving zeer concrete aanwijzingen van handelingen van de CEO,</w:t>
      </w:r>
      <w:r w:rsidRPr="001C0A3C">
        <w:t xml:space="preserve"> </w:t>
      </w:r>
      <w:r>
        <w:t>daarin gesteund door de aandeelhouder, die een direct risico vormden voor de productie, kennis en intellectueel eigendom in Europa. Het betreft hier het verplaatsen van productie en geld naar een buitenlandse partij buiten de Nexperia groep. Door de ernst van deze concrete aanwijzingen ontstond een direct risico voor de Europese productiecapaciteit en de beschikbaarheid van cruciale chips, waardoor het noodzakelijk was om in te grijpen. Dit was een weloverwogen en onderbouwd besluit waarbij voorafgaand uiteraard verschillende mogelijke scenario’s zijn doorgenomen evenals de kans dat deze zich voor zouden doen.</w:t>
      </w:r>
    </w:p>
    <w:p w:rsidR="002507D7" w:rsidP="002507D7" w:rsidRDefault="002507D7" w14:paraId="27297E57" w14:textId="77777777">
      <w:pPr>
        <w:rPr>
          <w:color w:val="000000" w:themeColor="text1"/>
        </w:rPr>
      </w:pPr>
    </w:p>
    <w:p w:rsidR="002507D7" w:rsidP="002507D7" w:rsidRDefault="002507D7" w14:paraId="7DE0A026" w14:textId="77777777">
      <w:pPr>
        <w:rPr>
          <w:color w:val="000000" w:themeColor="text1"/>
        </w:rPr>
      </w:pPr>
      <w:r>
        <w:rPr>
          <w:color w:val="000000" w:themeColor="text1"/>
        </w:rPr>
        <w:t>8</w:t>
      </w:r>
    </w:p>
    <w:p w:rsidR="002507D7" w:rsidP="002507D7" w:rsidRDefault="002507D7" w14:paraId="2D6CDC20" w14:textId="77777777">
      <w:r>
        <w:t>Waarom is het Wet beschikbaarheid goederen bevel nog zo lang gehandhaafd, nadat de Ondernemingskamer had ingegrepen, de CEO was geschorst en de continuïteit van de onderneming was geborgd?</w:t>
      </w:r>
    </w:p>
    <w:p w:rsidR="002507D7" w:rsidP="002507D7" w:rsidRDefault="002507D7" w14:paraId="44457717" w14:textId="77777777"/>
    <w:p w:rsidR="002507D7" w:rsidP="002507D7" w:rsidRDefault="002507D7" w14:paraId="37F6816D" w14:textId="77777777">
      <w:r>
        <w:t>Antwoord</w:t>
      </w:r>
    </w:p>
    <w:p w:rsidRPr="002B2241" w:rsidR="002507D7" w:rsidP="002507D7" w:rsidRDefault="002507D7" w14:paraId="06D004CC" w14:textId="235B558D">
      <w:r>
        <w:t>Bij een enquêteprocedure en de tijdelijke onmiddellijke voorzieningen en – na onderzoek - eindmaatregelen die gelast kunnen worden, staat het belang van de onderneming voorop. De door de Ondernemingskamer in de eerste fase te beantwoorden hoofdvraag is of sprake is van gegronde redenen om te twijfelen aan een juist beleid en een juiste gang van zaken bij de onderneming. Ook de tijdelijke onmiddellijke voorzieningen en de eindmaatregelen worden vanuit het ondernemingsbelang ingegeven. Het bevel krachtens de Wet beschikbaarheid goederen beoogt daarentegen iets anders: het veiligstellen van de productiemiddelen van de onderneming voor de productie van chips in en voor Nederland en Europa. Daarmee ziet het bevel op een publiek belang.</w:t>
      </w:r>
      <w:r w:rsidR="00BA7C4A">
        <w:t xml:space="preserve"> </w:t>
      </w:r>
      <w:r w:rsidRPr="00BA7C4A" w:rsidR="00BA7C4A">
        <w:t>Dat is iets anders dan het belang van de onderneming</w:t>
      </w:r>
      <w:r w:rsidR="00BA7C4A">
        <w:t>.</w:t>
      </w:r>
      <w:r>
        <w:t xml:space="preserve"> Het belang van de onderneming en het publieke belangen hoeven niet samen te vallen. </w:t>
      </w:r>
      <w:r w:rsidRPr="002B2241">
        <w:t>Daarom hou</w:t>
      </w:r>
      <w:r>
        <w:t>dt</w:t>
      </w:r>
      <w:r w:rsidRPr="002B2241">
        <w:t xml:space="preserve"> </w:t>
      </w:r>
      <w:r>
        <w:t>het kabinet</w:t>
      </w:r>
      <w:r w:rsidRPr="002B2241">
        <w:t xml:space="preserve"> het bevel achter de hand, zodat </w:t>
      </w:r>
      <w:r>
        <w:t>het</w:t>
      </w:r>
      <w:r w:rsidRPr="002B2241">
        <w:t xml:space="preserve"> uiteindelijke doel, namelijk het behouden van zeer strategische capaciteit op legacy chips, ook op de lange termijn verwezenlijkt kan worden.</w:t>
      </w:r>
    </w:p>
    <w:p w:rsidR="002507D7" w:rsidP="002507D7" w:rsidRDefault="002507D7" w14:paraId="7554C38C" w14:textId="77777777">
      <w:pPr>
        <w:rPr>
          <w:color w:val="000000" w:themeColor="text1"/>
        </w:rPr>
      </w:pPr>
    </w:p>
    <w:p w:rsidR="002507D7" w:rsidP="002507D7" w:rsidRDefault="002507D7" w14:paraId="4FDECFF7" w14:textId="77777777">
      <w:pPr>
        <w:rPr>
          <w:color w:val="000000" w:themeColor="text1"/>
        </w:rPr>
      </w:pPr>
      <w:r>
        <w:rPr>
          <w:color w:val="000000" w:themeColor="text1"/>
        </w:rPr>
        <w:lastRenderedPageBreak/>
        <w:t>9</w:t>
      </w:r>
    </w:p>
    <w:p w:rsidR="002507D7" w:rsidP="002507D7" w:rsidRDefault="002507D7" w14:paraId="31DD052E" w14:textId="77777777">
      <w:r>
        <w:t>Welke toetsings- en afwegingskaders worden structureel toegepast om te bepalen of en wanneer de Wet beschikbaarheid goederen ook moet worden overwogen bij andere ondernemingen in Nederland die van strategisch belang zijn voor de economische veiligheid?</w:t>
      </w:r>
    </w:p>
    <w:p w:rsidR="002507D7" w:rsidP="002507D7" w:rsidRDefault="002507D7" w14:paraId="071C965F" w14:textId="77777777">
      <w:pPr>
        <w:rPr>
          <w:color w:val="000000" w:themeColor="text1"/>
        </w:rPr>
      </w:pPr>
    </w:p>
    <w:p w:rsidR="002507D7" w:rsidP="002507D7" w:rsidRDefault="002507D7" w14:paraId="6EC17A20" w14:textId="77777777">
      <w:pPr>
        <w:rPr>
          <w:color w:val="000000" w:themeColor="text1"/>
        </w:rPr>
      </w:pPr>
      <w:r>
        <w:rPr>
          <w:color w:val="000000" w:themeColor="text1"/>
        </w:rPr>
        <w:t>10</w:t>
      </w:r>
    </w:p>
    <w:p w:rsidR="002507D7" w:rsidP="002507D7" w:rsidRDefault="002507D7" w14:paraId="0F76FFA2" w14:textId="77777777">
      <w:r>
        <w:t>Hoe zorgt u ervoor dat er geen precedent is ontstaan voor de inzet van de Wet beschikbaarheid goederen, maar dat de toepassing van deze wet voorspelbaar, zorgvuldig en uitzonderlijk blijft, zodat de bijdrage van buitenlandse investeringen aan innovatie en strategisch vermogen in Nederland niet wordt ontmoedigd?</w:t>
      </w:r>
    </w:p>
    <w:p w:rsidR="002507D7" w:rsidP="002507D7" w:rsidRDefault="002507D7" w14:paraId="6339B3CE" w14:textId="77777777"/>
    <w:p w:rsidR="002507D7" w:rsidP="002507D7" w:rsidRDefault="002507D7" w14:paraId="37B3CA64" w14:textId="77777777">
      <w:r>
        <w:t>Antwoord 9-10</w:t>
      </w:r>
    </w:p>
    <w:p w:rsidR="002507D7" w:rsidP="002507D7" w:rsidRDefault="002507D7" w14:paraId="07682F08" w14:textId="77777777">
      <w:pPr>
        <w:rPr>
          <w:color w:val="000000" w:themeColor="text1"/>
        </w:rPr>
      </w:pPr>
      <w:r w:rsidRPr="18C8A83C">
        <w:rPr>
          <w:color w:val="000000" w:themeColor="text1"/>
        </w:rPr>
        <w:t>De Wbg is en blijft een uitzonderlijk instrument</w:t>
      </w:r>
      <w:r>
        <w:rPr>
          <w:color w:val="000000" w:themeColor="text1"/>
        </w:rPr>
        <w:t xml:space="preserve"> bedoeld voor zeer uitzonderlijke omstandigheden</w:t>
      </w:r>
      <w:r w:rsidRPr="18C8A83C">
        <w:rPr>
          <w:color w:val="000000" w:themeColor="text1"/>
        </w:rPr>
        <w:t xml:space="preserve">. Het wordt alleen ingezet wanneer andere juridische middelen onvoldoende zijn om de Nederlandse en Europese belangen — </w:t>
      </w:r>
      <w:r>
        <w:rPr>
          <w:color w:val="000000" w:themeColor="text1"/>
        </w:rPr>
        <w:t>zoals bijvoorbeeld</w:t>
      </w:r>
      <w:r w:rsidRPr="18C8A83C">
        <w:rPr>
          <w:color w:val="000000" w:themeColor="text1"/>
        </w:rPr>
        <w:t xml:space="preserve"> de leveringszekerheid van cruciale chips — te beschermen.</w:t>
      </w:r>
    </w:p>
    <w:p w:rsidR="002507D7" w:rsidP="002507D7" w:rsidRDefault="002507D7" w14:paraId="42E0EB12" w14:textId="77777777">
      <w:pPr>
        <w:rPr>
          <w:color w:val="000000" w:themeColor="text1"/>
        </w:rPr>
      </w:pPr>
    </w:p>
    <w:p w:rsidR="002507D7" w:rsidP="002507D7" w:rsidRDefault="002507D7" w14:paraId="49A6EEF9" w14:textId="77777777">
      <w:pPr>
        <w:rPr>
          <w:color w:val="000000" w:themeColor="text1"/>
        </w:rPr>
      </w:pPr>
      <w:r>
        <w:rPr>
          <w:color w:val="000000" w:themeColor="text1"/>
        </w:rPr>
        <w:t>11</w:t>
      </w:r>
    </w:p>
    <w:p w:rsidR="002507D7" w:rsidP="002507D7" w:rsidRDefault="002507D7" w14:paraId="242AB3B4" w14:textId="77777777">
      <w:r>
        <w:t>Welke criteria hanteert u om te beoordelen of her inzet van het bevel noodzakelijk is bij eventuele nieuwe risico’s of gedragingen?</w:t>
      </w:r>
    </w:p>
    <w:p w:rsidR="002507D7" w:rsidP="002507D7" w:rsidRDefault="002507D7" w14:paraId="153CD3CA" w14:textId="77777777"/>
    <w:p w:rsidR="002507D7" w:rsidP="002507D7" w:rsidRDefault="002507D7" w14:paraId="5995A63A" w14:textId="77777777">
      <w:r>
        <w:t>Antwoord</w:t>
      </w:r>
    </w:p>
    <w:p w:rsidR="002507D7" w:rsidP="002507D7" w:rsidRDefault="002507D7" w14:paraId="5D16E199" w14:textId="77777777">
      <w:r w:rsidRPr="003B07A2">
        <w:t>Het</w:t>
      </w:r>
      <w:r>
        <w:t xml:space="preserve"> bevel </w:t>
      </w:r>
      <w:r w:rsidRPr="003B07A2">
        <w:t xml:space="preserve">wordt echt alleen ingezet wanneer andere juridische middelen onvoldoende zijn om de Nederlandse en Europese belangen te waarborgen, </w:t>
      </w:r>
      <w:r>
        <w:t>zoals bijvoorbeeld</w:t>
      </w:r>
      <w:r w:rsidRPr="003B07A2">
        <w:t xml:space="preserve"> de leveringszekerheid van cruciale chips. Als die leveringszekerheid opnieuw in het geding komt, dan zal </w:t>
      </w:r>
      <w:r>
        <w:t>het kabinet</w:t>
      </w:r>
      <w:r w:rsidRPr="003B07A2">
        <w:t xml:space="preserve"> opnieuw beoordelen of de inzet van dit instrument of van andere instrumenten noodzakelijk en</w:t>
      </w:r>
      <w:r>
        <w:t>/of</w:t>
      </w:r>
      <w:r w:rsidRPr="003B07A2">
        <w:t xml:space="preserve"> proportioneel zijn</w:t>
      </w:r>
      <w:r>
        <w:t xml:space="preserve">. </w:t>
      </w:r>
    </w:p>
    <w:p w:rsidR="002507D7" w:rsidP="002507D7" w:rsidRDefault="002507D7" w14:paraId="51D9A550" w14:textId="77777777"/>
    <w:p w:rsidR="002507D7" w:rsidP="002507D7" w:rsidRDefault="002507D7" w14:paraId="25A7DC22" w14:textId="77777777">
      <w:r>
        <w:t>12</w:t>
      </w:r>
    </w:p>
    <w:p w:rsidR="002507D7" w:rsidP="002507D7" w:rsidRDefault="002507D7" w14:paraId="33B4D7AC" w14:textId="77777777">
      <w:r>
        <w:t>Kunt u toelichten in welke mate Europese partners voorafgaand aan uw besluit formeel zijn betrokken bij de risicoanalyse, de weging van mogelijke maatregelen en de uiteindelijke besluitvorming over het bevel?</w:t>
      </w:r>
    </w:p>
    <w:p w:rsidR="002507D7" w:rsidP="002507D7" w:rsidRDefault="002507D7" w14:paraId="3BC2BAB9" w14:textId="77777777"/>
    <w:p w:rsidR="002507D7" w:rsidP="002507D7" w:rsidRDefault="002507D7" w14:paraId="388231DC" w14:textId="77777777">
      <w:r>
        <w:t>Antwoord</w:t>
      </w:r>
    </w:p>
    <w:p w:rsidR="002507D7" w:rsidP="002507D7" w:rsidRDefault="002507D7" w14:paraId="75BF98EA" w14:textId="194F53AF">
      <w:r>
        <w:t>Bij dit soort besluiten is het wenselijk en gebruikelijk om de kring</w:t>
      </w:r>
      <w:r w:rsidR="00BA7C4A">
        <w:t xml:space="preserve"> </w:t>
      </w:r>
      <w:r w:rsidRPr="00BA7C4A" w:rsidR="00BA7C4A">
        <w:t xml:space="preserve">van </w:t>
      </w:r>
      <w:r w:rsidRPr="00BA7C4A" w:rsidR="00502859">
        <w:t>geïnformeerde</w:t>
      </w:r>
      <w:r w:rsidR="00502859">
        <w:t>n</w:t>
      </w:r>
      <w:r>
        <w:t xml:space="preserve"> zo klein mogelijk te houden. Het eventueel naar buiten komen van het voornemen tot dit besluit kon grote nadelige gevolgen hebben. </w:t>
      </w:r>
    </w:p>
    <w:p w:rsidR="002507D7" w:rsidP="002507D7" w:rsidRDefault="002507D7" w14:paraId="525A3A99" w14:textId="77777777"/>
    <w:p w:rsidR="002507D7" w:rsidP="002507D7" w:rsidRDefault="002507D7" w14:paraId="6A86E781" w14:textId="77777777">
      <w:r>
        <w:t>Het is dan ook niet gebruikelijk dat landen in dergelijke tijdsgevoelige en bedrijfsvertrouwelijke gevallen elkaar van tevoren op de hoogte stellen</w:t>
      </w:r>
      <w:r w:rsidRPr="001C0A3C">
        <w:t xml:space="preserve"> </w:t>
      </w:r>
      <w:r>
        <w:t xml:space="preserve">en elkaar meenemen in analyses en afwegingen. </w:t>
      </w:r>
    </w:p>
    <w:p w:rsidR="002507D7" w:rsidP="002507D7" w:rsidRDefault="002507D7" w14:paraId="546C3D98" w14:textId="77777777">
      <w:r>
        <w:t xml:space="preserve"> </w:t>
      </w:r>
    </w:p>
    <w:p w:rsidR="002507D7" w:rsidP="002507D7" w:rsidRDefault="002507D7" w14:paraId="5783C21D" w14:textId="77777777">
      <w:r>
        <w:t xml:space="preserve">Wel zijn direct na het uitvaardigen van het bevel onze meest betrokken partners op de hoogte gesteld, nog ruim voordat dit in de openbaarheid kwam. De Europese Commissie is ook spoedig geïnformeerd. Het had, ook na het nemen van het bevel, nadrukkelijk niet de voorkeur van het kabinet dat deze casus in de </w:t>
      </w:r>
      <w:r>
        <w:lastRenderedPageBreak/>
        <w:t xml:space="preserve">openbaarheid zou komen; mede om dat te voorkomen is de kring zo klein mogelijk gehouden.  </w:t>
      </w:r>
    </w:p>
    <w:p w:rsidR="002507D7" w:rsidP="002507D7" w:rsidRDefault="002507D7" w14:paraId="3B846D3E" w14:textId="77777777"/>
    <w:p w:rsidR="002507D7" w:rsidP="002507D7" w:rsidRDefault="002507D7" w14:paraId="625FB079" w14:textId="77777777">
      <w:r>
        <w:t>13</w:t>
      </w:r>
    </w:p>
    <w:p w:rsidR="002507D7" w:rsidP="002507D7" w:rsidRDefault="002507D7" w14:paraId="0C0200B4" w14:textId="77777777">
      <w:r>
        <w:t>Hoe is de structurele coördinatie van diplomatieke acties en strategische communicatie met andere EU-lidstaten en de Europese Commissie richting China ingericht gedurende en na de inzet van de Wet beschikbaarheid goederen?</w:t>
      </w:r>
    </w:p>
    <w:p w:rsidR="002507D7" w:rsidP="002507D7" w:rsidRDefault="002507D7" w14:paraId="43E1BEB3" w14:textId="77777777"/>
    <w:p w:rsidR="002507D7" w:rsidP="002507D7" w:rsidRDefault="002507D7" w14:paraId="465DB38A" w14:textId="77777777">
      <w:r>
        <w:t>Antwoord</w:t>
      </w:r>
    </w:p>
    <w:p w:rsidRPr="00BB3C1C" w:rsidR="002507D7" w:rsidP="002507D7" w:rsidRDefault="002507D7" w14:paraId="13BD9F29" w14:textId="2B38F5C9">
      <w:pPr>
        <w:rPr>
          <w:szCs w:val="18"/>
        </w:rPr>
      </w:pPr>
      <w:r w:rsidRPr="00F053E8">
        <w:rPr>
          <w:szCs w:val="18"/>
        </w:rPr>
        <w:t>Op 2 december jl. is een tijdlijn gedeeld met uw</w:t>
      </w:r>
      <w:r>
        <w:rPr>
          <w:szCs w:val="18"/>
        </w:rPr>
        <w:t xml:space="preserve"> Kamer</w:t>
      </w:r>
      <w:r w:rsidR="00607393">
        <w:rPr>
          <w:szCs w:val="18"/>
        </w:rPr>
        <w:t>.</w:t>
      </w:r>
      <w:r w:rsidRPr="00B951B4">
        <w:rPr>
          <w:szCs w:val="18"/>
        </w:rPr>
        <w:t xml:space="preserve"> </w:t>
      </w:r>
      <w:r w:rsidRPr="00BB3C1C">
        <w:rPr>
          <w:szCs w:val="18"/>
        </w:rPr>
        <w:t xml:space="preserve">Hierin is opgenomen welke informatie beschikbaar was op het moment dat bepaalde keuzes werden gemaakt, wie daarbij betrokken was en hoe </w:t>
      </w:r>
      <w:r>
        <w:rPr>
          <w:szCs w:val="18"/>
        </w:rPr>
        <w:t xml:space="preserve">er </w:t>
      </w:r>
      <w:r w:rsidRPr="00BB3C1C">
        <w:rPr>
          <w:szCs w:val="18"/>
        </w:rPr>
        <w:t xml:space="preserve">is afgestemd met buitenlandse partners. </w:t>
      </w:r>
    </w:p>
    <w:p w:rsidR="002507D7" w:rsidP="002507D7" w:rsidRDefault="002507D7" w14:paraId="6C8F9C31" w14:textId="77777777"/>
    <w:p w:rsidR="002507D7" w:rsidP="002507D7" w:rsidRDefault="002507D7" w14:paraId="5C67FBC2" w14:textId="77777777">
      <w:r>
        <w:t>14</w:t>
      </w:r>
    </w:p>
    <w:p w:rsidR="002507D7" w:rsidP="002507D7" w:rsidRDefault="002507D7" w14:paraId="1C323A57" w14:textId="77777777">
      <w:r>
        <w:t>Welke afspraken zijn inmiddels gemaakt binnen de EU om te voorkomen dat nationale maatregelen ter bevordering van Europese strategische autonomie in de toekomst opnieuw kunnen leiden tot acute risico’s voor de leveringszekerheid van cruciale technologieën?</w:t>
      </w:r>
    </w:p>
    <w:p w:rsidR="002507D7" w:rsidP="002507D7" w:rsidRDefault="002507D7" w14:paraId="4DF4CE8E" w14:textId="77777777"/>
    <w:p w:rsidR="002507D7" w:rsidP="002507D7" w:rsidRDefault="002507D7" w14:paraId="43A50B35" w14:textId="77777777">
      <w:r>
        <w:t>Antwoord</w:t>
      </w:r>
    </w:p>
    <w:p w:rsidRPr="00B819B9" w:rsidR="002507D7" w:rsidP="002507D7" w:rsidRDefault="002507D7" w14:paraId="2DABC021" w14:textId="77777777">
      <w:r w:rsidRPr="00B819B9">
        <w:t>Zoals aangeven in de brief aan uw Kamer op 19 november jl.</w:t>
      </w:r>
      <w:r w:rsidRPr="00B819B9">
        <w:rPr>
          <w:rStyle w:val="Voetnootmarkering"/>
        </w:rPr>
        <w:footnoteReference w:id="2"/>
      </w:r>
      <w:r w:rsidRPr="00B819B9">
        <w:t xml:space="preserve"> was mijn ingrijpen erop gericht verplaatsing ten aanzien van de productiemiddelen van de Nexperia groep te voorkomen. Op basis van het bevelschrift kunnen beslissingen tegengehouden worden indien deze (potentieel) schadelijk zijn voor de productiecapaciteit, kennispositie of continuïteit van het bedrijf. Wat het bevelschrift niet doet, is het in de weg staan van het reguliere productieproces van Nexperia. Het bevelschrift is zo ontworpen dat de reguliere productie in alle fabrieken wereldwijd en dat alle export door Nexperia gewoon doorgang kan en zelfs moet vinden. Het bevel leidde tot een tegenreactie van China, in de vorm van een exportmaategel, </w:t>
      </w:r>
      <w:r>
        <w:t xml:space="preserve">die </w:t>
      </w:r>
      <w:r w:rsidRPr="00B819B9">
        <w:t>heeft geleid tot wereldwijde problemen in de toeleveringsketens.</w:t>
      </w:r>
    </w:p>
    <w:p w:rsidRPr="00B819B9" w:rsidR="002507D7" w:rsidP="002507D7" w:rsidRDefault="002507D7" w14:paraId="30F67D98" w14:textId="77777777"/>
    <w:p w:rsidR="002507D7" w:rsidP="002507D7" w:rsidRDefault="002507D7" w14:paraId="7B3CEE42" w14:textId="77777777">
      <w:r w:rsidRPr="00B819B9">
        <w:t xml:space="preserve">Als het kabinet niet had ingegrepen was de laatste capaciteit, kennis en kunde die er in Europa is voor dit type chips (die van Nexperia) geheel verdwenen. Een deel van deze capaciteit en </w:t>
      </w:r>
      <w:r w:rsidRPr="00B819B9">
        <w:rPr>
          <w:i/>
          <w:iCs/>
        </w:rPr>
        <w:t>know</w:t>
      </w:r>
      <w:r>
        <w:rPr>
          <w:i/>
          <w:iCs/>
        </w:rPr>
        <w:t>-</w:t>
      </w:r>
      <w:r w:rsidRPr="00B819B9">
        <w:rPr>
          <w:i/>
          <w:iCs/>
        </w:rPr>
        <w:t>how</w:t>
      </w:r>
      <w:r w:rsidRPr="00B819B9">
        <w:t xml:space="preserve"> (in het bijzonder de front end) is nu in Europa aanwezig. Deze wederzijdse afhankelijkheid (front end in Europa en back end in Azië) is </w:t>
      </w:r>
      <w:r>
        <w:t>cruciaal</w:t>
      </w:r>
      <w:r w:rsidRPr="00B819B9">
        <w:t xml:space="preserve"> voor de voorzienings- en leveringszekerheid. Pas als deze wederzijdse afhankelijkheid omslaat in eenzijdige Europese afhankelijkheid, neemt het risico voor de voorzienings- en leveringszekerheid van dit type chips sterk toe. Dat wil het kabinet voorkomen.</w:t>
      </w:r>
    </w:p>
    <w:p w:rsidR="002507D7" w:rsidP="002507D7" w:rsidRDefault="002507D7" w14:paraId="6B8D4319" w14:textId="77777777"/>
    <w:p w:rsidR="002507D7" w:rsidP="002507D7" w:rsidRDefault="002507D7" w14:paraId="2554104B" w14:textId="77777777">
      <w:r>
        <w:t>15</w:t>
      </w:r>
    </w:p>
    <w:p w:rsidR="002507D7" w:rsidP="002507D7" w:rsidRDefault="002507D7" w14:paraId="2501CA9D" w14:textId="77777777">
      <w:r>
        <w:t>Hoe legt u uit dat de inzet van de Wet beschikbaarheid goederen bedoeld is om leveringszekerheid te beschermen, maar op korte termijn heeft geleid tot nieuwe kwetsbaarheden in de waardeketen van halfgeleiders?</w:t>
      </w:r>
    </w:p>
    <w:p w:rsidR="002507D7" w:rsidP="002507D7" w:rsidRDefault="002507D7" w14:paraId="50C6B9CF" w14:textId="77777777">
      <w:pPr>
        <w:ind w:left="360"/>
      </w:pPr>
    </w:p>
    <w:p w:rsidR="002507D7" w:rsidP="002507D7" w:rsidRDefault="002507D7" w14:paraId="72D30CB1" w14:textId="77777777"/>
    <w:p w:rsidR="002507D7" w:rsidP="002507D7" w:rsidRDefault="002507D7" w14:paraId="259AE1FB" w14:textId="77777777"/>
    <w:p w:rsidR="002507D7" w:rsidP="002507D7" w:rsidRDefault="002507D7" w14:paraId="41DC2171" w14:textId="77777777">
      <w:r>
        <w:t>Antwoord</w:t>
      </w:r>
    </w:p>
    <w:p w:rsidRPr="00BB3C1C" w:rsidR="002507D7" w:rsidP="002507D7" w:rsidRDefault="002507D7" w14:paraId="34FBBBED" w14:textId="77777777">
      <w:pPr>
        <w:rPr>
          <w:szCs w:val="18"/>
        </w:rPr>
      </w:pPr>
      <w:r w:rsidRPr="00BB3C1C">
        <w:rPr>
          <w:szCs w:val="18"/>
        </w:rPr>
        <w:t xml:space="preserve">Het is duidelijk dat deze situatie de kwetsbaarheden in de waardeketen van halfgeleiders </w:t>
      </w:r>
      <w:r w:rsidRPr="000568BA">
        <w:rPr>
          <w:szCs w:val="18"/>
        </w:rPr>
        <w:t>heeft blootgelegd voor het brede publiek. Kwetsbaarheden die bovendien groter waren geworden als ik niet had ingegrepen op basis van de W</w:t>
      </w:r>
      <w:r>
        <w:rPr>
          <w:szCs w:val="18"/>
        </w:rPr>
        <w:t>bg</w:t>
      </w:r>
      <w:r w:rsidRPr="00BB3C1C">
        <w:rPr>
          <w:szCs w:val="18"/>
        </w:rPr>
        <w:t xml:space="preserve">. Waar het </w:t>
      </w:r>
      <w:r>
        <w:rPr>
          <w:szCs w:val="18"/>
        </w:rPr>
        <w:t xml:space="preserve">namelijk </w:t>
      </w:r>
      <w:r w:rsidRPr="00BB3C1C">
        <w:rPr>
          <w:szCs w:val="18"/>
        </w:rPr>
        <w:t>om gaat is dat Europa de capaciteit moet behouden om dit type chips</w:t>
      </w:r>
      <w:r>
        <w:rPr>
          <w:szCs w:val="18"/>
        </w:rPr>
        <w:t xml:space="preserve"> te kunnen blijven</w:t>
      </w:r>
      <w:r w:rsidRPr="00BB3C1C">
        <w:rPr>
          <w:szCs w:val="18"/>
        </w:rPr>
        <w:t xml:space="preserve"> produceren</w:t>
      </w:r>
      <w:r>
        <w:rPr>
          <w:szCs w:val="18"/>
        </w:rPr>
        <w:t>, ook in de toekomst.</w:t>
      </w:r>
      <w:r w:rsidRPr="00BB3C1C">
        <w:rPr>
          <w:szCs w:val="18"/>
        </w:rPr>
        <w:t xml:space="preserve">  </w:t>
      </w:r>
    </w:p>
    <w:p w:rsidR="002507D7" w:rsidP="002507D7" w:rsidRDefault="002507D7" w14:paraId="38653EB3" w14:textId="77777777"/>
    <w:p w:rsidR="002507D7" w:rsidP="002507D7" w:rsidRDefault="002507D7" w14:paraId="1F233D6F" w14:textId="77777777">
      <w:r>
        <w:t>16</w:t>
      </w:r>
    </w:p>
    <w:p w:rsidR="002507D7" w:rsidP="002507D7" w:rsidRDefault="002507D7" w14:paraId="25F88E16" w14:textId="77777777">
      <w:r>
        <w:t>Wat zijn de economische gevolgen voor Nederland als gevolg van deze ingreep? Wat zijn de langere-termijngevolgen van dit dossier voor het versterken van de Europese strategische autonomie?</w:t>
      </w:r>
    </w:p>
    <w:p w:rsidR="002507D7" w:rsidP="002507D7" w:rsidRDefault="002507D7" w14:paraId="4B6FB5C3" w14:textId="77777777"/>
    <w:p w:rsidR="002507D7" w:rsidP="002507D7" w:rsidRDefault="002507D7" w14:paraId="179CD687" w14:textId="77777777">
      <w:r>
        <w:t>Antwoord</w:t>
      </w:r>
    </w:p>
    <w:p w:rsidR="002507D7" w:rsidP="002507D7" w:rsidRDefault="002507D7" w14:paraId="76DEC6F7" w14:textId="77777777">
      <w:r w:rsidRPr="004E6840">
        <w:t>De genomen maatregel is uitzonderlijk en is weloverwogen toegepast. Met het opgelegde bevel is het weglekken van cruciale technologische kennis en verlies van essentiële productiecapaciteit voor Europa een halt toegeroepen. Als deze risico’s zich hadden verwezenlijkt, had dat tot het verlies van productiecapaciteit voor cruciale chips gezorgd en daarmee tot een strategische afhankelijkheid geleid. Dat zou grote negatieve gevolgen voor de economie en daarmee het vestigingsklimaat hebben ge</w:t>
      </w:r>
      <w:r>
        <w:t>had</w:t>
      </w:r>
      <w:r w:rsidRPr="004E6840">
        <w:t>.</w:t>
      </w:r>
    </w:p>
    <w:p w:rsidR="002507D7" w:rsidP="002507D7" w:rsidRDefault="002507D7" w14:paraId="5B83EE56" w14:textId="77777777"/>
    <w:p w:rsidR="002507D7" w:rsidP="002507D7" w:rsidRDefault="002507D7" w14:paraId="6F5B35C7" w14:textId="77777777">
      <w:r>
        <w:t>17</w:t>
      </w:r>
    </w:p>
    <w:p w:rsidR="002507D7" w:rsidP="002507D7" w:rsidRDefault="002507D7" w14:paraId="192AF9A6" w14:textId="77777777">
      <w:r>
        <w:t>Welke beleidsmatige lessen trekt u uit dit dossier om toekomstige ingrepen effectiever, voorspelbaarder en diplomatiek minder riskant te maken?</w:t>
      </w:r>
    </w:p>
    <w:p w:rsidR="002507D7" w:rsidP="002507D7" w:rsidRDefault="002507D7" w14:paraId="20B80D94" w14:textId="77777777"/>
    <w:p w:rsidR="002507D7" w:rsidP="002507D7" w:rsidRDefault="002507D7" w14:paraId="4FEDAA0D" w14:textId="77777777">
      <w:r>
        <w:t>Antwoord</w:t>
      </w:r>
    </w:p>
    <w:p w:rsidR="002507D7" w:rsidP="002507D7" w:rsidRDefault="002507D7" w14:paraId="6BA192E8" w14:textId="77777777">
      <w:r>
        <w:t xml:space="preserve">Deze casus zal zeker waardevolle lessen bieden die ons helpen toekomstige besluiten verder te verbeteren. Het kabinet acht het van belang dat deze casus, zodra deze in rustiger vaarwater terecht is gekomen, goed geëvalueerd zal worden. Daarbij geldt in algemene zin dat het verhogen van de weerbaarheid van onze economie te allen tijde gepaard zal gaan met kosten, van financieel-economische en/of diplomatieke aard. </w:t>
      </w:r>
    </w:p>
    <w:p w:rsidR="002507D7" w:rsidP="002507D7" w:rsidRDefault="002507D7" w14:paraId="308DB47C" w14:textId="77777777"/>
    <w:p w:rsidR="002507D7" w:rsidP="002507D7" w:rsidRDefault="002507D7" w14:paraId="4751C998" w14:textId="77777777">
      <w:r>
        <w:t>18</w:t>
      </w:r>
    </w:p>
    <w:p w:rsidR="002507D7" w:rsidP="002507D7" w:rsidRDefault="002507D7" w14:paraId="27AFB02D" w14:textId="77777777">
      <w:r>
        <w:t>Beschikt het ministerie over een structureel beoordelingskader om continu mogelijke risico’s te monitoren op het gebied van (i) cruciale technologie en productiecapaciteit, (ii) strategische afhankelijkheden en (iii) verplaatsing van kennis, intellectueel eigendom of bedrijfsvestigingen uit Nederland of Europa?</w:t>
      </w:r>
    </w:p>
    <w:p w:rsidR="002507D7" w:rsidP="002507D7" w:rsidRDefault="002507D7" w14:paraId="1A066DAA" w14:textId="77777777"/>
    <w:p w:rsidR="002507D7" w:rsidP="002507D7" w:rsidRDefault="002507D7" w14:paraId="03A9D8E5" w14:textId="77777777">
      <w:r>
        <w:t>Antwoord</w:t>
      </w:r>
    </w:p>
    <w:p w:rsidR="002507D7" w:rsidP="002507D7" w:rsidRDefault="002507D7" w14:paraId="25F27D45" w14:textId="77777777">
      <w:pPr>
        <w:rPr>
          <w:rFonts w:eastAsia="Verdana" w:cs="Verdana"/>
        </w:rPr>
      </w:pPr>
      <w:r w:rsidRPr="14AB3C47">
        <w:rPr>
          <w:rFonts w:eastAsia="Verdana" w:cs="Verdana"/>
        </w:rPr>
        <w:t xml:space="preserve">Technologieën en mogelijke risicovolle strategische afhankelijkheden ontwikkelen zich in hoog tempo. Ontwikkelingen op technologiegebied worden daarom continu gemonitord. Op basis daarvan wordt bezien of het bestaande instrumentarium moet worden aangepast aan nieuwe omstandigheden, zoals eerder is gebeurd met </w:t>
      </w:r>
      <w:r w:rsidRPr="14AB3C47">
        <w:rPr>
          <w:rFonts w:eastAsia="Verdana" w:cs="Verdana"/>
        </w:rPr>
        <w:lastRenderedPageBreak/>
        <w:t xml:space="preserve">de AMvB bij de Wet </w:t>
      </w:r>
      <w:r w:rsidRPr="429937C0">
        <w:rPr>
          <w:rFonts w:eastAsia="Verdana" w:cs="Verdana"/>
        </w:rPr>
        <w:t>vifo.</w:t>
      </w:r>
      <w:r w:rsidRPr="14AB3C47">
        <w:rPr>
          <w:rFonts w:eastAsia="Verdana" w:cs="Verdana"/>
        </w:rPr>
        <w:t xml:space="preserve"> Zoals aangegeven in de Kamerbrief</w:t>
      </w:r>
      <w:r w:rsidRPr="14AB3C47">
        <w:rPr>
          <w:rStyle w:val="Voetnootmarkering"/>
          <w:rFonts w:eastAsia="Verdana" w:cs="Verdana"/>
        </w:rPr>
        <w:footnoteReference w:id="3"/>
      </w:r>
      <w:r w:rsidRPr="14AB3C47">
        <w:rPr>
          <w:rFonts w:eastAsia="Verdana" w:cs="Verdana"/>
        </w:rPr>
        <w:t xml:space="preserve"> over de voortgang van de kabinetsaanpak op strategische afhankelijkheden, richt het kabinetsbeleid zich op het in kaart brengen van risicovolle strategische afhankelijkheden en het inventariseren van mogelijke mitigatieopties. Een afhankelijkheid is risicovol en strategisch, als het betreffende product, de dienst of de technologie cruciaal is voor het borgen van onze publieke belangen, en als het risico van leveringsonderbrekingen hoog is. </w:t>
      </w:r>
      <w:r w:rsidRPr="429937C0">
        <w:rPr>
          <w:rFonts w:eastAsia="Verdana" w:cs="Verdana"/>
        </w:rPr>
        <w:t xml:space="preserve">Het beoordelingskader strategische afhankelijkheden is 29-05-2024 nader toegelicht in de technische briefing over dit onderwerp.  </w:t>
      </w:r>
    </w:p>
    <w:p w:rsidR="002507D7" w:rsidP="002507D7" w:rsidRDefault="002507D7" w14:paraId="62BC7CC2" w14:textId="77777777">
      <w:r>
        <w:t xml:space="preserve"> </w:t>
      </w:r>
    </w:p>
    <w:p w:rsidR="002507D7" w:rsidP="002507D7" w:rsidRDefault="002507D7" w14:paraId="740AFD42" w14:textId="77777777">
      <w:r>
        <w:t>19</w:t>
      </w:r>
    </w:p>
    <w:p w:rsidR="002507D7" w:rsidP="002507D7" w:rsidRDefault="002507D7" w14:paraId="64A2C48F" w14:textId="77777777">
      <w:r>
        <w:t>Welke interdepartementale, internationale en Europese samenwerkingsstructuren worden hierbij gebruikt om dergelijke risico’s tijdig te signaleren en gezamenlijk te adresseren?</w:t>
      </w:r>
    </w:p>
    <w:p w:rsidR="002507D7" w:rsidP="002507D7" w:rsidRDefault="002507D7" w14:paraId="535B9E41" w14:textId="77777777"/>
    <w:p w:rsidR="002507D7" w:rsidP="002507D7" w:rsidRDefault="002507D7" w14:paraId="7CD30A90" w14:textId="77777777">
      <w:r>
        <w:t>Antwoord</w:t>
      </w:r>
    </w:p>
    <w:p w:rsidR="002507D7" w:rsidP="002507D7" w:rsidRDefault="002507D7" w14:paraId="4749262E" w14:textId="77777777">
      <w:r w:rsidRPr="00AF5093">
        <w:t>Zoals aan</w:t>
      </w:r>
      <w:r>
        <w:t>ge</w:t>
      </w:r>
      <w:r w:rsidRPr="00AF5093">
        <w:t xml:space="preserve">geven in de Kamerbrief </w:t>
      </w:r>
      <w:r w:rsidRPr="00AF5093">
        <w:rPr>
          <w:i/>
        </w:rPr>
        <w:t>Voortgang Kabinetsaanpak Economische Veiligheid</w:t>
      </w:r>
      <w:r w:rsidRPr="00AF5093">
        <w:t xml:space="preserve"> van 1 juli 2025</w:t>
      </w:r>
      <w:r>
        <w:rPr>
          <w:rStyle w:val="Voetnootmarkering"/>
        </w:rPr>
        <w:footnoteReference w:id="4"/>
      </w:r>
      <w:r w:rsidRPr="00AF5093">
        <w:t xml:space="preserve">, kent de kabinetsaanpak economische veiligheid verschillende uitgangspunten. Het instrumentarium bevindt zich primair op nationaal niveau, waarbij coördinatie en samenwerking in Europees en internationaal verband de inzet versterkt. Het kabinet streeft daarom bij maatregelen op het gebied van economische veiligheid (en kennisveiligheid) naar samenhang op EU- en internationaal niveau. Dit komt de effectiviteit van maatregelen ten goede en is belangrijk voor een gelijk speelveld. Het beleid is landenneutraal, conform internationale principes, rechtsbeginselen en verplichtingen zoals het non-discriminatiebeginsel. </w:t>
      </w:r>
    </w:p>
    <w:p w:rsidRPr="00AF5093" w:rsidR="002507D7" w:rsidP="002507D7" w:rsidRDefault="002507D7" w14:paraId="5C4A93E4" w14:textId="77777777"/>
    <w:p w:rsidR="002507D7" w:rsidP="002507D7" w:rsidRDefault="002507D7" w14:paraId="34188239" w14:textId="77777777">
      <w:r w:rsidRPr="00AF5093">
        <w:t>Naar analogie van het EU-kader vereist het realiseren van de doelstellingen een geïntegreerde aanpak langs drie sporen: protect (beschermen), promote (versterken) en partner (samenwerken), die worden versterkt door actieve ondersteuning van het bedrijfsleven en kennisopbouw op dit thema.</w:t>
      </w:r>
    </w:p>
    <w:p w:rsidR="002507D7" w:rsidP="002507D7" w:rsidRDefault="002507D7" w14:paraId="2B4889DE" w14:textId="77777777"/>
    <w:p w:rsidR="002507D7" w:rsidP="002507D7" w:rsidRDefault="002507D7" w14:paraId="18DDD63A" w14:textId="77777777">
      <w:r>
        <w:t>20</w:t>
      </w:r>
    </w:p>
    <w:p w:rsidR="002507D7" w:rsidP="002507D7" w:rsidRDefault="002507D7" w14:paraId="11703AFA" w14:textId="77777777">
      <w:r>
        <w:t>Bent u bereid het genoemde beoordelingskader, inclusief de gehanteerde criteria voor interventie, publiekelijk of ten minste vertrouwelijk met de Kamer te delen, om de voorspelbaarheid en democratische controle op toekomstige afwegingen onder de Wet beschikbaarheid goederen te vergroten?</w:t>
      </w:r>
    </w:p>
    <w:p w:rsidR="002507D7" w:rsidP="002507D7" w:rsidRDefault="002507D7" w14:paraId="19933C60" w14:textId="77777777"/>
    <w:p w:rsidRPr="00B819B9" w:rsidR="002507D7" w:rsidP="002507D7" w:rsidRDefault="002507D7" w14:paraId="407FE127" w14:textId="77777777">
      <w:r w:rsidRPr="00B819B9">
        <w:t>Antwoord</w:t>
      </w:r>
    </w:p>
    <w:p w:rsidRPr="00B819B9" w:rsidR="002507D7" w:rsidP="002507D7" w:rsidRDefault="002507D7" w14:paraId="04ED6A71" w14:textId="77777777">
      <w:r w:rsidRPr="00B819B9">
        <w:t>Zoals aangegeven in de beantwoording Kamervragen over Nexperia van 11</w:t>
      </w:r>
      <w:r>
        <w:t> </w:t>
      </w:r>
      <w:r w:rsidRPr="00B819B9">
        <w:t>november jl.</w:t>
      </w:r>
      <w:r w:rsidRPr="00B819B9">
        <w:rPr>
          <w:rStyle w:val="Voetnootmarkering"/>
        </w:rPr>
        <w:footnoteReference w:id="5"/>
      </w:r>
      <w:r w:rsidRPr="00B819B9">
        <w:t xml:space="preserve"> zijn het huidige kabinet en uw Kamer, evenals vele voorgangers, al enkele jaren bezig met het vraagstuk rondom open strategische autonomie, ook wel een weerbare economie genoemd. </w:t>
      </w:r>
    </w:p>
    <w:p w:rsidRPr="00B819B9" w:rsidR="002507D7" w:rsidP="002507D7" w:rsidRDefault="002507D7" w14:paraId="2319194A" w14:textId="77777777"/>
    <w:p w:rsidRPr="00B819B9" w:rsidR="002507D7" w:rsidP="002507D7" w:rsidRDefault="002507D7" w14:paraId="14EBF41E" w14:textId="77777777">
      <w:r>
        <w:lastRenderedPageBreak/>
        <w:t>Het beleid op dit onderwerp wordt uiteengezet in een aantal Kamerbrieven;</w:t>
      </w:r>
      <w:r w:rsidRPr="00B819B9">
        <w:t xml:space="preserve"> Kamerbrief </w:t>
      </w:r>
      <w:r w:rsidRPr="00B819B9">
        <w:rPr>
          <w:i/>
          <w:iCs/>
        </w:rPr>
        <w:t>Visie op de toekomst van de Nederlandse industrie,</w:t>
      </w:r>
      <w:r w:rsidRPr="00B819B9">
        <w:rPr>
          <w:rStyle w:val="Voetnootmarkering"/>
          <w:i/>
          <w:iCs/>
        </w:rPr>
        <w:footnoteReference w:id="6"/>
      </w:r>
      <w:r>
        <w:rPr>
          <w:i/>
          <w:iCs/>
        </w:rPr>
        <w:t xml:space="preserve"> </w:t>
      </w:r>
      <w:r w:rsidRPr="00B819B9">
        <w:rPr>
          <w:i/>
          <w:iCs/>
        </w:rPr>
        <w:t>Kamerbrief Open Strategische Autonomie</w:t>
      </w:r>
      <w:r w:rsidRPr="00B819B9">
        <w:rPr>
          <w:rStyle w:val="Voetnootmarkering"/>
          <w:i/>
          <w:iCs/>
        </w:rPr>
        <w:footnoteReference w:id="7"/>
      </w:r>
      <w:r w:rsidRPr="00B819B9">
        <w:t xml:space="preserve"> en </w:t>
      </w:r>
      <w:r w:rsidRPr="00B819B9">
        <w:rPr>
          <w:i/>
          <w:iCs/>
        </w:rPr>
        <w:t>Voortgang kabinetsaanpak risicovolle strategische afhankelijkheden</w:t>
      </w:r>
      <w:r w:rsidRPr="00B819B9">
        <w:t>.</w:t>
      </w:r>
      <w:r w:rsidRPr="00B819B9">
        <w:rPr>
          <w:rStyle w:val="Voetnootmarkering"/>
        </w:rPr>
        <w:footnoteReference w:id="8"/>
      </w:r>
    </w:p>
    <w:p w:rsidRPr="00B819B9" w:rsidR="002507D7" w:rsidP="002507D7" w:rsidRDefault="002507D7" w14:paraId="3B00DA45" w14:textId="77777777"/>
    <w:p w:rsidR="002507D7" w:rsidP="002507D7" w:rsidRDefault="002507D7" w14:paraId="2AC26BD3" w14:textId="77777777">
      <w:r w:rsidRPr="00B819B9">
        <w:t xml:space="preserve">In deze brieven wordt ook regelmatig verwezen naar welke capaciteiten er belangrijk zijn voor Nederland en Europa, waarbij om bijvoorbeeld bedrijfsvertrouwelijke redenen niet altijd alles openbaar wordt gemaakt. Centraal uitgangspunt van </w:t>
      </w:r>
      <w:r>
        <w:t>het beleid</w:t>
      </w:r>
      <w:r w:rsidRPr="00B819B9">
        <w:t xml:space="preserve"> en de daarin genoemde voorstellen, zijn gericht op het beschermen van productiecapaciteiten, kennisposities of continuïteit van bedrijven. U kunt hierbij denken aan de Wet veiligheidstoets investeringen, fusies en overnames (Vifo). Aan de hand van </w:t>
      </w:r>
      <w:r>
        <w:t>het beleid</w:t>
      </w:r>
      <w:r w:rsidRPr="00B819B9">
        <w:t xml:space="preserve"> en ontwikkelde strategieën is er ook nauwer contact met bedrijven en kennisinstellingen die in de voor Nederland belangrijk geachte industrieën opereren. Met uw Kamer is hiermee dus al gedeeld op welke manier het kabinet haar afwegingen maakt ten aanzien van open strategische autonomie.</w:t>
      </w:r>
    </w:p>
    <w:p w:rsidRPr="00AB1C1F" w:rsidR="002507D7" w:rsidP="002507D7" w:rsidRDefault="002507D7" w14:paraId="7FAF408F" w14:textId="77777777"/>
    <w:p w:rsidRPr="00AB1C1F" w:rsidR="002507D7" w:rsidP="002507D7" w:rsidRDefault="002507D7" w14:paraId="014CB606" w14:textId="77777777"/>
    <w:p w:rsidRPr="00AB1C1F" w:rsidR="002507D7" w:rsidP="002507D7" w:rsidRDefault="002507D7" w14:paraId="76EFB242" w14:textId="77777777"/>
    <w:p w:rsidRPr="00AB1C1F" w:rsidR="002507D7" w:rsidP="002507D7" w:rsidRDefault="002507D7" w14:paraId="64968304" w14:textId="77777777"/>
    <w:p w:rsidRPr="00AB1C1F" w:rsidR="002507D7" w:rsidP="002507D7" w:rsidRDefault="002507D7" w14:paraId="7D2D0B30" w14:textId="77777777"/>
    <w:p w:rsidRPr="00AB1C1F" w:rsidR="002507D7" w:rsidP="002507D7" w:rsidRDefault="002507D7" w14:paraId="44132F5E" w14:textId="77777777"/>
    <w:p w:rsidRPr="00AB1C1F" w:rsidR="002507D7" w:rsidP="002507D7" w:rsidRDefault="002507D7" w14:paraId="2F0CF79A" w14:textId="77777777"/>
    <w:p w:rsidRPr="00AB1C1F" w:rsidR="002507D7" w:rsidP="002507D7" w:rsidRDefault="002507D7" w14:paraId="1F83893E" w14:textId="77777777"/>
    <w:p w:rsidR="002507D7" w:rsidP="002507D7" w:rsidRDefault="002507D7" w14:paraId="1434CF24" w14:textId="77777777"/>
    <w:p w:rsidRPr="00AB1C1F" w:rsidR="002507D7" w:rsidP="002507D7" w:rsidRDefault="002507D7" w14:paraId="48FB53B9" w14:textId="77777777">
      <w:pPr>
        <w:tabs>
          <w:tab w:val="left" w:pos="1545"/>
        </w:tabs>
      </w:pPr>
      <w:r>
        <w:tab/>
      </w:r>
    </w:p>
    <w:p w:rsidR="00614AD0" w:rsidP="002507D7" w:rsidRDefault="00614AD0" w14:paraId="7033D1EB" w14:textId="6CC7AA29"/>
    <w:sectPr w:rsidR="00614AD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B4A75" w14:textId="77777777" w:rsidR="00F01DBB" w:rsidRDefault="00F01DBB">
      <w:r>
        <w:separator/>
      </w:r>
    </w:p>
    <w:p w14:paraId="74A44936" w14:textId="77777777" w:rsidR="00F01DBB" w:rsidRDefault="00F01DBB"/>
  </w:endnote>
  <w:endnote w:type="continuationSeparator" w:id="0">
    <w:p w14:paraId="66CC10EF" w14:textId="77777777" w:rsidR="00F01DBB" w:rsidRDefault="00F01DBB">
      <w:r>
        <w:continuationSeparator/>
      </w:r>
    </w:p>
    <w:p w14:paraId="3DB28E5F" w14:textId="77777777" w:rsidR="00F01DBB" w:rsidRDefault="00F01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DB6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5B72" w14:paraId="660E7A5A" w14:textId="77777777" w:rsidTr="00CA6A25">
      <w:trPr>
        <w:trHeight w:hRule="exact" w:val="240"/>
      </w:trPr>
      <w:tc>
        <w:tcPr>
          <w:tcW w:w="7601" w:type="dxa"/>
        </w:tcPr>
        <w:p w14:paraId="5756CBC6" w14:textId="77777777" w:rsidR="00527BD4" w:rsidRDefault="00527BD4" w:rsidP="003F1F6B">
          <w:pPr>
            <w:pStyle w:val="Huisstijl-Rubricering"/>
          </w:pPr>
        </w:p>
      </w:tc>
      <w:tc>
        <w:tcPr>
          <w:tcW w:w="2156" w:type="dxa"/>
        </w:tcPr>
        <w:p w14:paraId="37D44958" w14:textId="01DBB193" w:rsidR="00527BD4" w:rsidRPr="00645414" w:rsidRDefault="004450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4068E5">
              <w:t>9</w:t>
            </w:r>
          </w:fldSimple>
        </w:p>
      </w:tc>
    </w:tr>
  </w:tbl>
  <w:p w14:paraId="5478B0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5B72" w14:paraId="4471D467" w14:textId="77777777" w:rsidTr="00CA6A25">
      <w:trPr>
        <w:trHeight w:hRule="exact" w:val="240"/>
      </w:trPr>
      <w:tc>
        <w:tcPr>
          <w:tcW w:w="7601" w:type="dxa"/>
        </w:tcPr>
        <w:p w14:paraId="086E91C9" w14:textId="77777777" w:rsidR="00527BD4" w:rsidRDefault="00527BD4" w:rsidP="008C356D">
          <w:pPr>
            <w:pStyle w:val="Huisstijl-Rubricering"/>
          </w:pPr>
        </w:p>
      </w:tc>
      <w:tc>
        <w:tcPr>
          <w:tcW w:w="2170" w:type="dxa"/>
        </w:tcPr>
        <w:p w14:paraId="14DB845E" w14:textId="60693ED9" w:rsidR="00527BD4" w:rsidRPr="00ED539E" w:rsidRDefault="0044508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4068E5">
              <w:t>9</w:t>
            </w:r>
          </w:fldSimple>
        </w:p>
      </w:tc>
    </w:tr>
  </w:tbl>
  <w:p w14:paraId="5DEE4D7B" w14:textId="77777777" w:rsidR="00527BD4" w:rsidRPr="00BC3B53" w:rsidRDefault="00527BD4" w:rsidP="008C356D">
    <w:pPr>
      <w:pStyle w:val="Voettekst"/>
      <w:spacing w:line="240" w:lineRule="auto"/>
      <w:rPr>
        <w:sz w:val="2"/>
        <w:szCs w:val="2"/>
      </w:rPr>
    </w:pPr>
  </w:p>
  <w:p w14:paraId="1A1F4E4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D7E0" w14:textId="77777777" w:rsidR="00F01DBB" w:rsidRDefault="00F01DBB">
      <w:r>
        <w:separator/>
      </w:r>
    </w:p>
    <w:p w14:paraId="68A4A036" w14:textId="77777777" w:rsidR="00F01DBB" w:rsidRDefault="00F01DBB"/>
  </w:footnote>
  <w:footnote w:type="continuationSeparator" w:id="0">
    <w:p w14:paraId="2593111F" w14:textId="77777777" w:rsidR="00F01DBB" w:rsidRDefault="00F01DBB">
      <w:r>
        <w:continuationSeparator/>
      </w:r>
    </w:p>
    <w:p w14:paraId="1604890A" w14:textId="77777777" w:rsidR="00F01DBB" w:rsidRDefault="00F01DBB"/>
  </w:footnote>
  <w:footnote w:id="1">
    <w:p w14:paraId="42D7CB73" w14:textId="77777777" w:rsidR="002507D7" w:rsidRDefault="002507D7" w:rsidP="002507D7">
      <w:pPr>
        <w:pStyle w:val="Voetnoottekst"/>
      </w:pPr>
      <w:r>
        <w:rPr>
          <w:rStyle w:val="Voetnootmarkering"/>
        </w:rPr>
        <w:footnoteRef/>
      </w:r>
      <w:r>
        <w:t xml:space="preserve"> Kamerstuk </w:t>
      </w:r>
      <w:r w:rsidRPr="009E3FA3">
        <w:t>32637</w:t>
      </w:r>
      <w:r>
        <w:t xml:space="preserve">, nr. </w:t>
      </w:r>
      <w:r w:rsidRPr="009E3FA3">
        <w:t>720</w:t>
      </w:r>
      <w:r>
        <w:t xml:space="preserve"> </w:t>
      </w:r>
      <w:r w:rsidRPr="004F2885">
        <w:t>tijdslijn omtrent Nexperia</w:t>
      </w:r>
      <w:r>
        <w:t xml:space="preserve">, </w:t>
      </w:r>
      <w:r w:rsidRPr="003D023D">
        <w:t>2 december 2025</w:t>
      </w:r>
    </w:p>
  </w:footnote>
  <w:footnote w:id="2">
    <w:p w14:paraId="6BA4CB9F" w14:textId="77777777" w:rsidR="002507D7" w:rsidRDefault="002507D7" w:rsidP="002507D7">
      <w:pPr>
        <w:pStyle w:val="Voetnoottekst"/>
      </w:pPr>
      <w:r>
        <w:rPr>
          <w:rStyle w:val="Voetnootmarkering"/>
        </w:rPr>
        <w:footnoteRef/>
      </w:r>
      <w:r>
        <w:t xml:space="preserve"> </w:t>
      </w:r>
      <w:r w:rsidRPr="000D5963">
        <w:t>Kamerstuk 32 637, nr. 717 Ontwikkelingen Nexperia, 19 november 2025</w:t>
      </w:r>
    </w:p>
  </w:footnote>
  <w:footnote w:id="3">
    <w:p w14:paraId="2C249297" w14:textId="77777777" w:rsidR="002507D7" w:rsidRDefault="002507D7" w:rsidP="002507D7">
      <w:pPr>
        <w:pStyle w:val="Voetnoottekst"/>
      </w:pPr>
      <w:r w:rsidRPr="7452788E">
        <w:rPr>
          <w:rStyle w:val="Voetnootmarkering"/>
        </w:rPr>
        <w:footnoteRef/>
      </w:r>
      <w:r>
        <w:t xml:space="preserve"> </w:t>
      </w:r>
      <w:r w:rsidRPr="00511663">
        <w:t>Kamerstuk 30 821, nr. 244, Voortgang kabinetsaanpak risicovolle strategische afhankelijkheden, 31 oktober 2024</w:t>
      </w:r>
      <w:r>
        <w:t xml:space="preserve"> </w:t>
      </w:r>
    </w:p>
  </w:footnote>
  <w:footnote w:id="4">
    <w:p w14:paraId="12188034" w14:textId="77777777" w:rsidR="002507D7" w:rsidRDefault="002507D7" w:rsidP="002507D7">
      <w:pPr>
        <w:pStyle w:val="Voetnoottekst"/>
      </w:pPr>
      <w:r>
        <w:rPr>
          <w:rStyle w:val="Voetnootmarkering"/>
        </w:rPr>
        <w:footnoteRef/>
      </w:r>
      <w:r>
        <w:t xml:space="preserve"> Kamerstuk </w:t>
      </w:r>
      <w:r w:rsidRPr="00763455">
        <w:t>30</w:t>
      </w:r>
      <w:r>
        <w:t xml:space="preserve"> </w:t>
      </w:r>
      <w:r w:rsidRPr="00763455">
        <w:t>821</w:t>
      </w:r>
      <w:r>
        <w:t xml:space="preserve">, nr. </w:t>
      </w:r>
      <w:r w:rsidRPr="00763455">
        <w:t>302</w:t>
      </w:r>
      <w:r>
        <w:t xml:space="preserve"> </w:t>
      </w:r>
      <w:r w:rsidRPr="00965B35">
        <w:t>Voortgang kabinetsaanpak economische veiligheid</w:t>
      </w:r>
      <w:r>
        <w:t xml:space="preserve">, </w:t>
      </w:r>
      <w:r w:rsidRPr="00AE6ED3">
        <w:t>1 juli 2025</w:t>
      </w:r>
    </w:p>
  </w:footnote>
  <w:footnote w:id="5">
    <w:p w14:paraId="50FAFA18" w14:textId="77777777" w:rsidR="002507D7" w:rsidRDefault="002507D7" w:rsidP="002507D7">
      <w:pPr>
        <w:pStyle w:val="Voetnoottekst"/>
      </w:pPr>
      <w:r>
        <w:rPr>
          <w:rStyle w:val="Voetnootmarkering"/>
        </w:rPr>
        <w:footnoteRef/>
      </w:r>
      <w:r>
        <w:t xml:space="preserve"> Kamerstuk </w:t>
      </w:r>
      <w:r w:rsidRPr="00BC6B23">
        <w:t>2025</w:t>
      </w:r>
      <w:r>
        <w:t xml:space="preserve"> </w:t>
      </w:r>
      <w:r w:rsidRPr="00BC6B23">
        <w:t>Z19665</w:t>
      </w:r>
      <w:r>
        <w:t xml:space="preserve">, </w:t>
      </w:r>
      <w:r w:rsidRPr="00BC6B23">
        <w:t>Antwoord op vragen van het lid Thijssen over Nexperia</w:t>
      </w:r>
      <w:r>
        <w:t>, 2 december 2025</w:t>
      </w:r>
    </w:p>
  </w:footnote>
  <w:footnote w:id="6">
    <w:p w14:paraId="47595531" w14:textId="77777777" w:rsidR="002507D7" w:rsidRDefault="002507D7" w:rsidP="002507D7">
      <w:pPr>
        <w:pStyle w:val="Voetnoottekst"/>
      </w:pPr>
      <w:r>
        <w:rPr>
          <w:rStyle w:val="Voetnootmarkering"/>
        </w:rPr>
        <w:footnoteRef/>
      </w:r>
      <w:r>
        <w:t xml:space="preserve"> </w:t>
      </w:r>
      <w:r w:rsidRPr="00511663">
        <w:t>Kamerstuk 29 826, nr. 124, Visie op de toekomst van de industrie in Nederland, 30 oktober 2020</w:t>
      </w:r>
    </w:p>
  </w:footnote>
  <w:footnote w:id="7">
    <w:p w14:paraId="492616E9" w14:textId="77777777" w:rsidR="002507D7" w:rsidRDefault="002507D7" w:rsidP="002507D7">
      <w:pPr>
        <w:pStyle w:val="Voetnoottekst"/>
      </w:pPr>
      <w:r>
        <w:rPr>
          <w:rStyle w:val="Voetnootmarkering"/>
        </w:rPr>
        <w:footnoteRef/>
      </w:r>
      <w:r>
        <w:t xml:space="preserve"> </w:t>
      </w:r>
      <w:r w:rsidRPr="00511663">
        <w:t>Kamerstuk 35 982, nr. 9, Open Strategische Autonomie, 8 november 2022</w:t>
      </w:r>
    </w:p>
  </w:footnote>
  <w:footnote w:id="8">
    <w:p w14:paraId="5549C7E1" w14:textId="77777777" w:rsidR="002507D7" w:rsidRDefault="002507D7" w:rsidP="002507D7">
      <w:pPr>
        <w:pStyle w:val="Voetnoottekst"/>
      </w:pPr>
      <w:r>
        <w:rPr>
          <w:rStyle w:val="Voetnootmarkering"/>
        </w:rPr>
        <w:footnoteRef/>
      </w:r>
      <w:r>
        <w:t xml:space="preserve"> </w:t>
      </w:r>
      <w:r w:rsidRPr="00511663">
        <w:t>Kamerstuk 30 821, nr. 244, Voortgang kabinetsaanpak risicovolle strategische afhankelijkheden, 31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5B72" w14:paraId="12FB674A" w14:textId="77777777" w:rsidTr="00A50CF6">
      <w:tc>
        <w:tcPr>
          <w:tcW w:w="2156" w:type="dxa"/>
        </w:tcPr>
        <w:p w14:paraId="4BB5A803" w14:textId="77777777" w:rsidR="00527BD4" w:rsidRPr="005819CE" w:rsidRDefault="0044508B" w:rsidP="00A50CF6">
          <w:pPr>
            <w:pStyle w:val="Huisstijl-Adres"/>
            <w:rPr>
              <w:b/>
            </w:rPr>
          </w:pPr>
          <w:r>
            <w:rPr>
              <w:b/>
            </w:rPr>
            <w:t>Directoraat-generaal Bedrijfsleven &amp; Innovatie</w:t>
          </w:r>
          <w:r w:rsidRPr="005819CE">
            <w:rPr>
              <w:b/>
            </w:rPr>
            <w:br/>
          </w:r>
          <w:r>
            <w:t>Directie Topsectoren en Industriebeleid</w:t>
          </w:r>
        </w:p>
      </w:tc>
    </w:tr>
    <w:tr w:rsidR="003B5B72" w14:paraId="57D348F4" w14:textId="77777777" w:rsidTr="00A50CF6">
      <w:trPr>
        <w:trHeight w:hRule="exact" w:val="200"/>
      </w:trPr>
      <w:tc>
        <w:tcPr>
          <w:tcW w:w="2156" w:type="dxa"/>
        </w:tcPr>
        <w:p w14:paraId="51B64072" w14:textId="77777777" w:rsidR="00527BD4" w:rsidRPr="005819CE" w:rsidRDefault="00527BD4" w:rsidP="00A50CF6"/>
      </w:tc>
    </w:tr>
    <w:tr w:rsidR="003B5B72" w14:paraId="4DE19967" w14:textId="77777777" w:rsidTr="00502512">
      <w:trPr>
        <w:trHeight w:hRule="exact" w:val="774"/>
      </w:trPr>
      <w:tc>
        <w:tcPr>
          <w:tcW w:w="2156" w:type="dxa"/>
        </w:tcPr>
        <w:p w14:paraId="5FA295ED" w14:textId="77777777" w:rsidR="00527BD4" w:rsidRDefault="0044508B" w:rsidP="003A5290">
          <w:pPr>
            <w:pStyle w:val="Huisstijl-Kopje"/>
          </w:pPr>
          <w:r>
            <w:t>Ons kenmerk</w:t>
          </w:r>
        </w:p>
        <w:p w14:paraId="7B5E8467" w14:textId="55DED2FD" w:rsidR="00502512" w:rsidRPr="00502512" w:rsidRDefault="0044508B"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095578" w:rsidRPr="00095578">
                <w:rPr>
                  <w:b w:val="0"/>
                  <w:bCs/>
                </w:rPr>
                <w:t>103063201</w:t>
              </w:r>
            </w:sdtContent>
          </w:sdt>
        </w:p>
        <w:p w14:paraId="740A656A" w14:textId="77777777" w:rsidR="00527BD4" w:rsidRPr="005819CE" w:rsidRDefault="00527BD4" w:rsidP="00361A56">
          <w:pPr>
            <w:pStyle w:val="Huisstijl-Kopje"/>
          </w:pPr>
        </w:p>
      </w:tc>
    </w:tr>
  </w:tbl>
  <w:p w14:paraId="62C6F509" w14:textId="77777777" w:rsidR="00527BD4" w:rsidRDefault="00527BD4" w:rsidP="008C356D">
    <w:pPr>
      <w:pStyle w:val="Koptekst"/>
      <w:rPr>
        <w:rFonts w:cs="Verdana-Bold"/>
        <w:b/>
        <w:bCs/>
        <w:smallCaps/>
        <w:szCs w:val="18"/>
      </w:rPr>
    </w:pPr>
  </w:p>
  <w:p w14:paraId="05B33456" w14:textId="77777777" w:rsidR="00527BD4" w:rsidRDefault="00527BD4" w:rsidP="008C356D"/>
  <w:p w14:paraId="46EB8775" w14:textId="77777777" w:rsidR="00527BD4" w:rsidRPr="00740712" w:rsidRDefault="00527BD4" w:rsidP="008C356D"/>
  <w:p w14:paraId="54B86087" w14:textId="77777777" w:rsidR="00527BD4" w:rsidRPr="00217880" w:rsidRDefault="00527BD4" w:rsidP="008C356D">
    <w:pPr>
      <w:spacing w:line="0" w:lineRule="atLeast"/>
      <w:rPr>
        <w:sz w:val="2"/>
        <w:szCs w:val="2"/>
      </w:rPr>
    </w:pPr>
  </w:p>
  <w:p w14:paraId="405C10C1" w14:textId="77777777" w:rsidR="00527BD4" w:rsidRDefault="00527BD4" w:rsidP="004F44C2">
    <w:pPr>
      <w:pStyle w:val="Koptekst"/>
      <w:rPr>
        <w:rFonts w:cs="Verdana-Bold"/>
        <w:b/>
        <w:bCs/>
        <w:smallCaps/>
        <w:szCs w:val="18"/>
      </w:rPr>
    </w:pPr>
  </w:p>
  <w:p w14:paraId="26FBA3AB" w14:textId="77777777" w:rsidR="00527BD4" w:rsidRDefault="00527BD4" w:rsidP="004F44C2"/>
  <w:p w14:paraId="1EC28BA6" w14:textId="77777777" w:rsidR="00527BD4" w:rsidRPr="00740712" w:rsidRDefault="00527BD4" w:rsidP="004F44C2"/>
  <w:p w14:paraId="28741F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5B72" w14:paraId="5BB1404B" w14:textId="77777777" w:rsidTr="00751A6A">
      <w:trPr>
        <w:trHeight w:val="2636"/>
      </w:trPr>
      <w:tc>
        <w:tcPr>
          <w:tcW w:w="737" w:type="dxa"/>
        </w:tcPr>
        <w:p w14:paraId="1843364A" w14:textId="77777777" w:rsidR="00527BD4" w:rsidRDefault="00527BD4" w:rsidP="00D0609E">
          <w:pPr>
            <w:framePr w:w="6340" w:h="2750" w:hRule="exact" w:hSpace="180" w:wrap="around" w:vAnchor="page" w:hAnchor="text" w:x="3873" w:y="-140"/>
            <w:spacing w:line="240" w:lineRule="auto"/>
          </w:pPr>
        </w:p>
      </w:tc>
      <w:tc>
        <w:tcPr>
          <w:tcW w:w="5156" w:type="dxa"/>
        </w:tcPr>
        <w:p w14:paraId="658682F5" w14:textId="77777777" w:rsidR="00527BD4" w:rsidRDefault="0044508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E1975B0" wp14:editId="71C4BBD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45AD52E" w14:textId="77777777" w:rsidR="00F4553F" w:rsidRDefault="00F4553F" w:rsidP="00651CEE">
          <w:pPr>
            <w:framePr w:w="6340" w:h="2750" w:hRule="exact" w:hSpace="180" w:wrap="around" w:vAnchor="page" w:hAnchor="text" w:x="3873" w:y="-140"/>
            <w:spacing w:line="240" w:lineRule="auto"/>
          </w:pPr>
        </w:p>
      </w:tc>
    </w:tr>
  </w:tbl>
  <w:p w14:paraId="39FC5D61" w14:textId="77777777" w:rsidR="00527BD4" w:rsidRDefault="00527BD4" w:rsidP="00D0609E">
    <w:pPr>
      <w:framePr w:w="6340" w:h="2750" w:hRule="exact" w:hSpace="180" w:wrap="around" w:vAnchor="page" w:hAnchor="text" w:x="3873" w:y="-140"/>
    </w:pPr>
  </w:p>
  <w:p w14:paraId="21972D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5B72" w:rsidRPr="003F18B3" w14:paraId="03D7294A" w14:textId="77777777" w:rsidTr="00A50CF6">
      <w:tc>
        <w:tcPr>
          <w:tcW w:w="2160" w:type="dxa"/>
        </w:tcPr>
        <w:p w14:paraId="3FC4E9F7" w14:textId="77777777" w:rsidR="00527BD4" w:rsidRPr="005819CE" w:rsidRDefault="0044508B" w:rsidP="00A50CF6">
          <w:pPr>
            <w:pStyle w:val="Huisstijl-Adres"/>
            <w:rPr>
              <w:b/>
            </w:rPr>
          </w:pPr>
          <w:r>
            <w:rPr>
              <w:b/>
            </w:rPr>
            <w:t>Directoraat-generaal Bedrijfsleven &amp; Innovatie</w:t>
          </w:r>
          <w:r w:rsidRPr="005819CE">
            <w:rPr>
              <w:b/>
            </w:rPr>
            <w:br/>
          </w:r>
          <w:r>
            <w:t>Directie Topsectoren en Industriebeleid</w:t>
          </w:r>
        </w:p>
        <w:p w14:paraId="00507011" w14:textId="77777777" w:rsidR="00527BD4" w:rsidRPr="00BE5ED9" w:rsidRDefault="0044508B" w:rsidP="00A50CF6">
          <w:pPr>
            <w:pStyle w:val="Huisstijl-Adres"/>
          </w:pPr>
          <w:r>
            <w:rPr>
              <w:b/>
            </w:rPr>
            <w:t>Bezoekadres</w:t>
          </w:r>
          <w:r>
            <w:rPr>
              <w:b/>
            </w:rPr>
            <w:br/>
          </w:r>
          <w:r>
            <w:t>Bezuidenhoutseweg 73</w:t>
          </w:r>
          <w:r w:rsidRPr="005819CE">
            <w:br/>
          </w:r>
          <w:r>
            <w:t>2594 AC Den Haag</w:t>
          </w:r>
        </w:p>
        <w:p w14:paraId="28E7ECA8" w14:textId="77777777" w:rsidR="00EF495B" w:rsidRDefault="0044508B" w:rsidP="0098788A">
          <w:pPr>
            <w:pStyle w:val="Huisstijl-Adres"/>
          </w:pPr>
          <w:r>
            <w:rPr>
              <w:b/>
            </w:rPr>
            <w:t>Postadres</w:t>
          </w:r>
          <w:r>
            <w:rPr>
              <w:b/>
            </w:rPr>
            <w:br/>
          </w:r>
          <w:r>
            <w:t>Postbus 20401</w:t>
          </w:r>
          <w:r w:rsidRPr="005819CE">
            <w:br/>
            <w:t>2500 E</w:t>
          </w:r>
          <w:r>
            <w:t>K</w:t>
          </w:r>
          <w:r w:rsidRPr="005819CE">
            <w:t xml:space="preserve"> Den Haag</w:t>
          </w:r>
        </w:p>
        <w:p w14:paraId="646EB083" w14:textId="77777777" w:rsidR="00EF495B" w:rsidRPr="005B3814" w:rsidRDefault="0044508B" w:rsidP="0098788A">
          <w:pPr>
            <w:pStyle w:val="Huisstijl-Adres"/>
          </w:pPr>
          <w:r>
            <w:rPr>
              <w:b/>
            </w:rPr>
            <w:t>Overheidsidentificatienr</w:t>
          </w:r>
          <w:r>
            <w:rPr>
              <w:b/>
            </w:rPr>
            <w:br/>
          </w:r>
          <w:r w:rsidRPr="005B3814">
            <w:t>00000001003214369000</w:t>
          </w:r>
        </w:p>
        <w:p w14:paraId="7328EB48" w14:textId="3BB110D0" w:rsidR="00527BD4" w:rsidRPr="00095578" w:rsidRDefault="0044508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B5B72" w:rsidRPr="003F18B3" w14:paraId="6CB047F5" w14:textId="77777777" w:rsidTr="00A50CF6">
      <w:trPr>
        <w:trHeight w:hRule="exact" w:val="200"/>
      </w:trPr>
      <w:tc>
        <w:tcPr>
          <w:tcW w:w="2160" w:type="dxa"/>
        </w:tcPr>
        <w:p w14:paraId="7057A05F" w14:textId="77777777" w:rsidR="00527BD4" w:rsidRPr="00EC58C6" w:rsidRDefault="00527BD4" w:rsidP="00A50CF6"/>
      </w:tc>
    </w:tr>
    <w:tr w:rsidR="003B5B72" w14:paraId="621DE8EE" w14:textId="77777777" w:rsidTr="00A50CF6">
      <w:tc>
        <w:tcPr>
          <w:tcW w:w="2160" w:type="dxa"/>
        </w:tcPr>
        <w:p w14:paraId="41C56E20" w14:textId="77777777" w:rsidR="000C0163" w:rsidRPr="005819CE" w:rsidRDefault="0044508B" w:rsidP="000C0163">
          <w:pPr>
            <w:pStyle w:val="Huisstijl-Kopje"/>
          </w:pPr>
          <w:r>
            <w:t>Ons kenmerk</w:t>
          </w:r>
          <w:r w:rsidRPr="005819CE">
            <w:t xml:space="preserve"> </w:t>
          </w:r>
        </w:p>
        <w:p w14:paraId="4E1E9FA9" w14:textId="5F0FE15A" w:rsidR="000C0163" w:rsidRPr="005819CE" w:rsidRDefault="0044508B" w:rsidP="000C0163">
          <w:pPr>
            <w:pStyle w:val="Huisstijl-Gegeven"/>
          </w:pPr>
          <w:r>
            <w:t>DGBI-TOP</w:t>
          </w:r>
          <w:r w:rsidR="00926AE2">
            <w:t xml:space="preserve"> / </w:t>
          </w:r>
          <w:r w:rsidR="00095578" w:rsidRPr="00095578">
            <w:t>103063201</w:t>
          </w:r>
        </w:p>
        <w:p w14:paraId="07DFEEAA" w14:textId="77777777" w:rsidR="00527BD4" w:rsidRPr="005819CE" w:rsidRDefault="0044508B" w:rsidP="00A50CF6">
          <w:pPr>
            <w:pStyle w:val="Huisstijl-Kopje"/>
          </w:pPr>
          <w:r>
            <w:t>Uw kenmerk</w:t>
          </w:r>
        </w:p>
        <w:p w14:paraId="34D3A230" w14:textId="77777777" w:rsidR="00527BD4" w:rsidRPr="005819CE" w:rsidRDefault="0044508B" w:rsidP="00A50CF6">
          <w:pPr>
            <w:pStyle w:val="Huisstijl-Gegeven"/>
          </w:pPr>
          <w:r>
            <w:t>2025Z20421</w:t>
          </w:r>
        </w:p>
        <w:p w14:paraId="7D6D3883" w14:textId="77777777" w:rsidR="00527BD4" w:rsidRPr="005819CE" w:rsidRDefault="00527BD4" w:rsidP="00095578">
          <w:pPr>
            <w:pStyle w:val="Huisstijl-Kopje"/>
          </w:pPr>
        </w:p>
      </w:tc>
    </w:tr>
  </w:tbl>
  <w:p w14:paraId="307DEF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5B72" w14:paraId="08B50ABA" w14:textId="77777777" w:rsidTr="007610AA">
      <w:trPr>
        <w:trHeight w:val="400"/>
      </w:trPr>
      <w:tc>
        <w:tcPr>
          <w:tcW w:w="7520" w:type="dxa"/>
          <w:gridSpan w:val="2"/>
        </w:tcPr>
        <w:p w14:paraId="6A603A9A" w14:textId="77777777" w:rsidR="00527BD4" w:rsidRPr="00BC3B53" w:rsidRDefault="0044508B" w:rsidP="00A50CF6">
          <w:pPr>
            <w:pStyle w:val="Huisstijl-Retouradres"/>
          </w:pPr>
          <w:r>
            <w:t>&gt; Retouradres Postbus 20401 2500 EK Den Haag</w:t>
          </w:r>
        </w:p>
      </w:tc>
    </w:tr>
    <w:tr w:rsidR="003B5B72" w14:paraId="74E82AB9" w14:textId="77777777" w:rsidTr="007610AA">
      <w:tc>
        <w:tcPr>
          <w:tcW w:w="7520" w:type="dxa"/>
          <w:gridSpan w:val="2"/>
        </w:tcPr>
        <w:p w14:paraId="246940D0" w14:textId="77777777" w:rsidR="00527BD4" w:rsidRPr="00983E8F" w:rsidRDefault="00527BD4" w:rsidP="00A50CF6">
          <w:pPr>
            <w:pStyle w:val="Huisstijl-Rubricering"/>
          </w:pPr>
        </w:p>
      </w:tc>
    </w:tr>
    <w:tr w:rsidR="003B5B72" w14:paraId="56C16F12" w14:textId="77777777" w:rsidTr="007610AA">
      <w:trPr>
        <w:trHeight w:hRule="exact" w:val="2440"/>
      </w:trPr>
      <w:tc>
        <w:tcPr>
          <w:tcW w:w="7520" w:type="dxa"/>
          <w:gridSpan w:val="2"/>
        </w:tcPr>
        <w:p w14:paraId="09BC0022" w14:textId="77777777" w:rsidR="00527BD4" w:rsidRDefault="0044508B" w:rsidP="00A50CF6">
          <w:pPr>
            <w:pStyle w:val="Huisstijl-NAW"/>
          </w:pPr>
          <w:r>
            <w:t xml:space="preserve">De Voorzitter van de Tweede Kamer </w:t>
          </w:r>
        </w:p>
        <w:p w14:paraId="0C5DD4D2" w14:textId="77777777" w:rsidR="00D87195" w:rsidRDefault="0044508B" w:rsidP="00D87195">
          <w:pPr>
            <w:pStyle w:val="Huisstijl-NAW"/>
          </w:pPr>
          <w:r>
            <w:t>der Staten-Generaal</w:t>
          </w:r>
        </w:p>
        <w:p w14:paraId="06BA462C" w14:textId="77777777" w:rsidR="00EA0F13" w:rsidRDefault="0044508B" w:rsidP="00EA0F13">
          <w:pPr>
            <w:rPr>
              <w:szCs w:val="18"/>
            </w:rPr>
          </w:pPr>
          <w:r>
            <w:rPr>
              <w:szCs w:val="18"/>
            </w:rPr>
            <w:t>Prinses Irenestraat 6</w:t>
          </w:r>
        </w:p>
        <w:p w14:paraId="3322BD35" w14:textId="10C93031" w:rsidR="00985E56" w:rsidRDefault="0044508B" w:rsidP="00EA0F13">
          <w:r>
            <w:rPr>
              <w:szCs w:val="18"/>
            </w:rPr>
            <w:t>2595 BD </w:t>
          </w:r>
          <w:r w:rsidR="00095578">
            <w:rPr>
              <w:szCs w:val="18"/>
            </w:rPr>
            <w:t xml:space="preserve"> </w:t>
          </w:r>
          <w:r>
            <w:rPr>
              <w:szCs w:val="18"/>
            </w:rPr>
            <w:t>DEN HAAG</w:t>
          </w:r>
        </w:p>
      </w:tc>
    </w:tr>
    <w:tr w:rsidR="003B5B72" w14:paraId="7FE8B50A" w14:textId="77777777" w:rsidTr="007610AA">
      <w:trPr>
        <w:trHeight w:hRule="exact" w:val="400"/>
      </w:trPr>
      <w:tc>
        <w:tcPr>
          <w:tcW w:w="7520" w:type="dxa"/>
          <w:gridSpan w:val="2"/>
        </w:tcPr>
        <w:p w14:paraId="55CEF7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5B72" w14:paraId="4D456C5D" w14:textId="77777777" w:rsidTr="007610AA">
      <w:trPr>
        <w:trHeight w:val="240"/>
      </w:trPr>
      <w:tc>
        <w:tcPr>
          <w:tcW w:w="900" w:type="dxa"/>
        </w:tcPr>
        <w:p w14:paraId="1D76427C" w14:textId="77777777" w:rsidR="00527BD4" w:rsidRPr="007709EF" w:rsidRDefault="0044508B" w:rsidP="00A50CF6">
          <w:pPr>
            <w:rPr>
              <w:szCs w:val="18"/>
            </w:rPr>
          </w:pPr>
          <w:r>
            <w:rPr>
              <w:szCs w:val="18"/>
            </w:rPr>
            <w:t>Datum</w:t>
          </w:r>
        </w:p>
      </w:tc>
      <w:tc>
        <w:tcPr>
          <w:tcW w:w="6620" w:type="dxa"/>
        </w:tcPr>
        <w:p w14:paraId="5CE160A4" w14:textId="480C3531" w:rsidR="00527BD4" w:rsidRPr="007709EF" w:rsidRDefault="00DC4EF7" w:rsidP="00A50CF6">
          <w:r>
            <w:t>19 december 2025</w:t>
          </w:r>
        </w:p>
      </w:tc>
    </w:tr>
    <w:tr w:rsidR="003B5B72" w14:paraId="2251BA96" w14:textId="77777777" w:rsidTr="007610AA">
      <w:trPr>
        <w:trHeight w:val="240"/>
      </w:trPr>
      <w:tc>
        <w:tcPr>
          <w:tcW w:w="900" w:type="dxa"/>
        </w:tcPr>
        <w:p w14:paraId="7B5AFE21" w14:textId="77777777" w:rsidR="00527BD4" w:rsidRPr="007709EF" w:rsidRDefault="0044508B" w:rsidP="00A50CF6">
          <w:pPr>
            <w:rPr>
              <w:szCs w:val="18"/>
            </w:rPr>
          </w:pPr>
          <w:r>
            <w:rPr>
              <w:szCs w:val="18"/>
            </w:rPr>
            <w:t>Betreft</w:t>
          </w:r>
        </w:p>
      </w:tc>
      <w:tc>
        <w:tcPr>
          <w:tcW w:w="6620" w:type="dxa"/>
        </w:tcPr>
        <w:p w14:paraId="6CD429BA" w14:textId="744B6F46" w:rsidR="00527BD4" w:rsidRPr="007709EF" w:rsidRDefault="0044508B" w:rsidP="00A50CF6">
          <w:r>
            <w:t>Beantwoording vragen over de situatie omtrent de ingreep bij Nexperia</w:t>
          </w:r>
        </w:p>
      </w:tc>
    </w:tr>
  </w:tbl>
  <w:p w14:paraId="346FC34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39115A"/>
    <w:multiLevelType w:val="multilevel"/>
    <w:tmpl w:val="CEB44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A4120A4"/>
    <w:multiLevelType w:val="hybridMultilevel"/>
    <w:tmpl w:val="1D8E1FCE"/>
    <w:lvl w:ilvl="0" w:tplc="198A4BBE">
      <w:start w:val="1"/>
      <w:numFmt w:val="bullet"/>
      <w:pStyle w:val="Lijstopsomteken"/>
      <w:lvlText w:val="•"/>
      <w:lvlJc w:val="left"/>
      <w:pPr>
        <w:tabs>
          <w:tab w:val="num" w:pos="227"/>
        </w:tabs>
        <w:ind w:left="227" w:hanging="227"/>
      </w:pPr>
      <w:rPr>
        <w:rFonts w:ascii="Verdana" w:hAnsi="Verdana" w:hint="default"/>
        <w:sz w:val="18"/>
        <w:szCs w:val="18"/>
      </w:rPr>
    </w:lvl>
    <w:lvl w:ilvl="1" w:tplc="13E206DC" w:tentative="1">
      <w:start w:val="1"/>
      <w:numFmt w:val="bullet"/>
      <w:lvlText w:val="o"/>
      <w:lvlJc w:val="left"/>
      <w:pPr>
        <w:tabs>
          <w:tab w:val="num" w:pos="1440"/>
        </w:tabs>
        <w:ind w:left="1440" w:hanging="360"/>
      </w:pPr>
      <w:rPr>
        <w:rFonts w:ascii="Courier New" w:hAnsi="Courier New" w:cs="Courier New" w:hint="default"/>
      </w:rPr>
    </w:lvl>
    <w:lvl w:ilvl="2" w:tplc="780AA7B0" w:tentative="1">
      <w:start w:val="1"/>
      <w:numFmt w:val="bullet"/>
      <w:lvlText w:val=""/>
      <w:lvlJc w:val="left"/>
      <w:pPr>
        <w:tabs>
          <w:tab w:val="num" w:pos="2160"/>
        </w:tabs>
        <w:ind w:left="2160" w:hanging="360"/>
      </w:pPr>
      <w:rPr>
        <w:rFonts w:ascii="Wingdings" w:hAnsi="Wingdings" w:hint="default"/>
      </w:rPr>
    </w:lvl>
    <w:lvl w:ilvl="3" w:tplc="747293AC" w:tentative="1">
      <w:start w:val="1"/>
      <w:numFmt w:val="bullet"/>
      <w:lvlText w:val=""/>
      <w:lvlJc w:val="left"/>
      <w:pPr>
        <w:tabs>
          <w:tab w:val="num" w:pos="2880"/>
        </w:tabs>
        <w:ind w:left="2880" w:hanging="360"/>
      </w:pPr>
      <w:rPr>
        <w:rFonts w:ascii="Symbol" w:hAnsi="Symbol" w:hint="default"/>
      </w:rPr>
    </w:lvl>
    <w:lvl w:ilvl="4" w:tplc="B052B180" w:tentative="1">
      <w:start w:val="1"/>
      <w:numFmt w:val="bullet"/>
      <w:lvlText w:val="o"/>
      <w:lvlJc w:val="left"/>
      <w:pPr>
        <w:tabs>
          <w:tab w:val="num" w:pos="3600"/>
        </w:tabs>
        <w:ind w:left="3600" w:hanging="360"/>
      </w:pPr>
      <w:rPr>
        <w:rFonts w:ascii="Courier New" w:hAnsi="Courier New" w:cs="Courier New" w:hint="default"/>
      </w:rPr>
    </w:lvl>
    <w:lvl w:ilvl="5" w:tplc="1DD61574" w:tentative="1">
      <w:start w:val="1"/>
      <w:numFmt w:val="bullet"/>
      <w:lvlText w:val=""/>
      <w:lvlJc w:val="left"/>
      <w:pPr>
        <w:tabs>
          <w:tab w:val="num" w:pos="4320"/>
        </w:tabs>
        <w:ind w:left="4320" w:hanging="360"/>
      </w:pPr>
      <w:rPr>
        <w:rFonts w:ascii="Wingdings" w:hAnsi="Wingdings" w:hint="default"/>
      </w:rPr>
    </w:lvl>
    <w:lvl w:ilvl="6" w:tplc="7CC629B4" w:tentative="1">
      <w:start w:val="1"/>
      <w:numFmt w:val="bullet"/>
      <w:lvlText w:val=""/>
      <w:lvlJc w:val="left"/>
      <w:pPr>
        <w:tabs>
          <w:tab w:val="num" w:pos="5040"/>
        </w:tabs>
        <w:ind w:left="5040" w:hanging="360"/>
      </w:pPr>
      <w:rPr>
        <w:rFonts w:ascii="Symbol" w:hAnsi="Symbol" w:hint="default"/>
      </w:rPr>
    </w:lvl>
    <w:lvl w:ilvl="7" w:tplc="28F83E7E" w:tentative="1">
      <w:start w:val="1"/>
      <w:numFmt w:val="bullet"/>
      <w:lvlText w:val="o"/>
      <w:lvlJc w:val="left"/>
      <w:pPr>
        <w:tabs>
          <w:tab w:val="num" w:pos="5760"/>
        </w:tabs>
        <w:ind w:left="5760" w:hanging="360"/>
      </w:pPr>
      <w:rPr>
        <w:rFonts w:ascii="Courier New" w:hAnsi="Courier New" w:cs="Courier New" w:hint="default"/>
      </w:rPr>
    </w:lvl>
    <w:lvl w:ilvl="8" w:tplc="F1526E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82EDFD8">
      <w:start w:val="1"/>
      <w:numFmt w:val="bullet"/>
      <w:pStyle w:val="Lijstopsomteken2"/>
      <w:lvlText w:val="–"/>
      <w:lvlJc w:val="left"/>
      <w:pPr>
        <w:tabs>
          <w:tab w:val="num" w:pos="227"/>
        </w:tabs>
        <w:ind w:left="227" w:firstLine="0"/>
      </w:pPr>
      <w:rPr>
        <w:rFonts w:ascii="Verdana" w:hAnsi="Verdana" w:hint="default"/>
      </w:rPr>
    </w:lvl>
    <w:lvl w:ilvl="1" w:tplc="DE2CCF54" w:tentative="1">
      <w:start w:val="1"/>
      <w:numFmt w:val="bullet"/>
      <w:lvlText w:val="o"/>
      <w:lvlJc w:val="left"/>
      <w:pPr>
        <w:tabs>
          <w:tab w:val="num" w:pos="1440"/>
        </w:tabs>
        <w:ind w:left="1440" w:hanging="360"/>
      </w:pPr>
      <w:rPr>
        <w:rFonts w:ascii="Courier New" w:hAnsi="Courier New" w:cs="Courier New" w:hint="default"/>
      </w:rPr>
    </w:lvl>
    <w:lvl w:ilvl="2" w:tplc="4BA2F5C6" w:tentative="1">
      <w:start w:val="1"/>
      <w:numFmt w:val="bullet"/>
      <w:lvlText w:val=""/>
      <w:lvlJc w:val="left"/>
      <w:pPr>
        <w:tabs>
          <w:tab w:val="num" w:pos="2160"/>
        </w:tabs>
        <w:ind w:left="2160" w:hanging="360"/>
      </w:pPr>
      <w:rPr>
        <w:rFonts w:ascii="Wingdings" w:hAnsi="Wingdings" w:hint="default"/>
      </w:rPr>
    </w:lvl>
    <w:lvl w:ilvl="3" w:tplc="5FE65DBA" w:tentative="1">
      <w:start w:val="1"/>
      <w:numFmt w:val="bullet"/>
      <w:lvlText w:val=""/>
      <w:lvlJc w:val="left"/>
      <w:pPr>
        <w:tabs>
          <w:tab w:val="num" w:pos="2880"/>
        </w:tabs>
        <w:ind w:left="2880" w:hanging="360"/>
      </w:pPr>
      <w:rPr>
        <w:rFonts w:ascii="Symbol" w:hAnsi="Symbol" w:hint="default"/>
      </w:rPr>
    </w:lvl>
    <w:lvl w:ilvl="4" w:tplc="2C9E334E" w:tentative="1">
      <w:start w:val="1"/>
      <w:numFmt w:val="bullet"/>
      <w:lvlText w:val="o"/>
      <w:lvlJc w:val="left"/>
      <w:pPr>
        <w:tabs>
          <w:tab w:val="num" w:pos="3600"/>
        </w:tabs>
        <w:ind w:left="3600" w:hanging="360"/>
      </w:pPr>
      <w:rPr>
        <w:rFonts w:ascii="Courier New" w:hAnsi="Courier New" w:cs="Courier New" w:hint="default"/>
      </w:rPr>
    </w:lvl>
    <w:lvl w:ilvl="5" w:tplc="9B42BBF2" w:tentative="1">
      <w:start w:val="1"/>
      <w:numFmt w:val="bullet"/>
      <w:lvlText w:val=""/>
      <w:lvlJc w:val="left"/>
      <w:pPr>
        <w:tabs>
          <w:tab w:val="num" w:pos="4320"/>
        </w:tabs>
        <w:ind w:left="4320" w:hanging="360"/>
      </w:pPr>
      <w:rPr>
        <w:rFonts w:ascii="Wingdings" w:hAnsi="Wingdings" w:hint="default"/>
      </w:rPr>
    </w:lvl>
    <w:lvl w:ilvl="6" w:tplc="E872E8F6" w:tentative="1">
      <w:start w:val="1"/>
      <w:numFmt w:val="bullet"/>
      <w:lvlText w:val=""/>
      <w:lvlJc w:val="left"/>
      <w:pPr>
        <w:tabs>
          <w:tab w:val="num" w:pos="5040"/>
        </w:tabs>
        <w:ind w:left="5040" w:hanging="360"/>
      </w:pPr>
      <w:rPr>
        <w:rFonts w:ascii="Symbol" w:hAnsi="Symbol" w:hint="default"/>
      </w:rPr>
    </w:lvl>
    <w:lvl w:ilvl="7" w:tplc="D6AC2484" w:tentative="1">
      <w:start w:val="1"/>
      <w:numFmt w:val="bullet"/>
      <w:lvlText w:val="o"/>
      <w:lvlJc w:val="left"/>
      <w:pPr>
        <w:tabs>
          <w:tab w:val="num" w:pos="5760"/>
        </w:tabs>
        <w:ind w:left="5760" w:hanging="360"/>
      </w:pPr>
      <w:rPr>
        <w:rFonts w:ascii="Courier New" w:hAnsi="Courier New" w:cs="Courier New" w:hint="default"/>
      </w:rPr>
    </w:lvl>
    <w:lvl w:ilvl="8" w:tplc="3B06BE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6268479">
    <w:abstractNumId w:val="11"/>
  </w:num>
  <w:num w:numId="2" w16cid:durableId="1279486200">
    <w:abstractNumId w:val="7"/>
  </w:num>
  <w:num w:numId="3" w16cid:durableId="314801143">
    <w:abstractNumId w:val="6"/>
  </w:num>
  <w:num w:numId="4" w16cid:durableId="1925841820">
    <w:abstractNumId w:val="5"/>
  </w:num>
  <w:num w:numId="5" w16cid:durableId="1652560377">
    <w:abstractNumId w:val="4"/>
  </w:num>
  <w:num w:numId="6" w16cid:durableId="1954088061">
    <w:abstractNumId w:val="8"/>
  </w:num>
  <w:num w:numId="7" w16cid:durableId="521357052">
    <w:abstractNumId w:val="3"/>
  </w:num>
  <w:num w:numId="8" w16cid:durableId="569391239">
    <w:abstractNumId w:val="2"/>
  </w:num>
  <w:num w:numId="9" w16cid:durableId="1566181881">
    <w:abstractNumId w:val="1"/>
  </w:num>
  <w:num w:numId="10" w16cid:durableId="1700349885">
    <w:abstractNumId w:val="0"/>
  </w:num>
  <w:num w:numId="11" w16cid:durableId="1470367046">
    <w:abstractNumId w:val="9"/>
  </w:num>
  <w:num w:numId="12" w16cid:durableId="1312951861">
    <w:abstractNumId w:val="12"/>
  </w:num>
  <w:num w:numId="13" w16cid:durableId="681275743">
    <w:abstractNumId w:val="14"/>
  </w:num>
  <w:num w:numId="14" w16cid:durableId="1450389424">
    <w:abstractNumId w:val="13"/>
  </w:num>
  <w:num w:numId="15" w16cid:durableId="67777706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153"/>
    <w:rsid w:val="00013862"/>
    <w:rsid w:val="00016012"/>
    <w:rsid w:val="00020189"/>
    <w:rsid w:val="00020EE4"/>
    <w:rsid w:val="00022AD5"/>
    <w:rsid w:val="00023E9A"/>
    <w:rsid w:val="00030668"/>
    <w:rsid w:val="00033CDD"/>
    <w:rsid w:val="00034A84"/>
    <w:rsid w:val="00035E67"/>
    <w:rsid w:val="000366F3"/>
    <w:rsid w:val="00042A5B"/>
    <w:rsid w:val="00046282"/>
    <w:rsid w:val="00055377"/>
    <w:rsid w:val="00056704"/>
    <w:rsid w:val="0006003E"/>
    <w:rsid w:val="0006024D"/>
    <w:rsid w:val="00065E45"/>
    <w:rsid w:val="00065F7C"/>
    <w:rsid w:val="00071F28"/>
    <w:rsid w:val="00074079"/>
    <w:rsid w:val="00076805"/>
    <w:rsid w:val="00077708"/>
    <w:rsid w:val="00085703"/>
    <w:rsid w:val="0008610F"/>
    <w:rsid w:val="00092799"/>
    <w:rsid w:val="00092C5F"/>
    <w:rsid w:val="00095578"/>
    <w:rsid w:val="00096680"/>
    <w:rsid w:val="000A099B"/>
    <w:rsid w:val="000A0F36"/>
    <w:rsid w:val="000A174A"/>
    <w:rsid w:val="000A3E0A"/>
    <w:rsid w:val="000A5014"/>
    <w:rsid w:val="000A65AC"/>
    <w:rsid w:val="000A7159"/>
    <w:rsid w:val="000B7281"/>
    <w:rsid w:val="000B7FAB"/>
    <w:rsid w:val="000C0163"/>
    <w:rsid w:val="000C1BA1"/>
    <w:rsid w:val="000C344A"/>
    <w:rsid w:val="000C3EA9"/>
    <w:rsid w:val="000D0225"/>
    <w:rsid w:val="000D695C"/>
    <w:rsid w:val="000E7895"/>
    <w:rsid w:val="000F161D"/>
    <w:rsid w:val="000F3CAA"/>
    <w:rsid w:val="00100DC5"/>
    <w:rsid w:val="00102ABB"/>
    <w:rsid w:val="00107BC8"/>
    <w:rsid w:val="0011476A"/>
    <w:rsid w:val="00120E8C"/>
    <w:rsid w:val="00121BF0"/>
    <w:rsid w:val="00123704"/>
    <w:rsid w:val="001267EE"/>
    <w:rsid w:val="001270C7"/>
    <w:rsid w:val="00132540"/>
    <w:rsid w:val="001330A0"/>
    <w:rsid w:val="00133F0F"/>
    <w:rsid w:val="0013494A"/>
    <w:rsid w:val="00140C1A"/>
    <w:rsid w:val="0014786A"/>
    <w:rsid w:val="001513F9"/>
    <w:rsid w:val="001516A4"/>
    <w:rsid w:val="00151E5F"/>
    <w:rsid w:val="00153E28"/>
    <w:rsid w:val="001569AB"/>
    <w:rsid w:val="00164D63"/>
    <w:rsid w:val="0016725C"/>
    <w:rsid w:val="001726F3"/>
    <w:rsid w:val="00173C51"/>
    <w:rsid w:val="00174CC2"/>
    <w:rsid w:val="00176CC6"/>
    <w:rsid w:val="00181BE4"/>
    <w:rsid w:val="00185576"/>
    <w:rsid w:val="00185951"/>
    <w:rsid w:val="00191593"/>
    <w:rsid w:val="001923BB"/>
    <w:rsid w:val="00196B8B"/>
    <w:rsid w:val="00197DC6"/>
    <w:rsid w:val="001A0F2E"/>
    <w:rsid w:val="001A2BEA"/>
    <w:rsid w:val="001A368F"/>
    <w:rsid w:val="001A417E"/>
    <w:rsid w:val="001A6D93"/>
    <w:rsid w:val="001A7B53"/>
    <w:rsid w:val="001C32EC"/>
    <w:rsid w:val="001C38BD"/>
    <w:rsid w:val="001C4D5A"/>
    <w:rsid w:val="001D65E9"/>
    <w:rsid w:val="001E34C6"/>
    <w:rsid w:val="001E5581"/>
    <w:rsid w:val="001F0E0E"/>
    <w:rsid w:val="001F3C70"/>
    <w:rsid w:val="001F5928"/>
    <w:rsid w:val="00200040"/>
    <w:rsid w:val="002002B2"/>
    <w:rsid w:val="00200D88"/>
    <w:rsid w:val="002012D4"/>
    <w:rsid w:val="00201F68"/>
    <w:rsid w:val="00212F2A"/>
    <w:rsid w:val="00214F2B"/>
    <w:rsid w:val="00217880"/>
    <w:rsid w:val="00222D66"/>
    <w:rsid w:val="00224A8A"/>
    <w:rsid w:val="00225675"/>
    <w:rsid w:val="002309A8"/>
    <w:rsid w:val="00230AA0"/>
    <w:rsid w:val="00231747"/>
    <w:rsid w:val="00235BD6"/>
    <w:rsid w:val="00236CFE"/>
    <w:rsid w:val="002428E3"/>
    <w:rsid w:val="00243031"/>
    <w:rsid w:val="00245386"/>
    <w:rsid w:val="0025042A"/>
    <w:rsid w:val="002507D7"/>
    <w:rsid w:val="00252923"/>
    <w:rsid w:val="0025486E"/>
    <w:rsid w:val="00260BAF"/>
    <w:rsid w:val="00264075"/>
    <w:rsid w:val="002650F7"/>
    <w:rsid w:val="00266C23"/>
    <w:rsid w:val="00273F3B"/>
    <w:rsid w:val="00274DB7"/>
    <w:rsid w:val="00275984"/>
    <w:rsid w:val="00280F74"/>
    <w:rsid w:val="002822CA"/>
    <w:rsid w:val="00284CF0"/>
    <w:rsid w:val="00286998"/>
    <w:rsid w:val="0029019C"/>
    <w:rsid w:val="00291AB7"/>
    <w:rsid w:val="00292EB2"/>
    <w:rsid w:val="0029422B"/>
    <w:rsid w:val="002953BA"/>
    <w:rsid w:val="002A0938"/>
    <w:rsid w:val="002A4811"/>
    <w:rsid w:val="002A4B46"/>
    <w:rsid w:val="002A4CF3"/>
    <w:rsid w:val="002B012A"/>
    <w:rsid w:val="002B153C"/>
    <w:rsid w:val="002B52FC"/>
    <w:rsid w:val="002B6CEE"/>
    <w:rsid w:val="002C2830"/>
    <w:rsid w:val="002C51BE"/>
    <w:rsid w:val="002D001A"/>
    <w:rsid w:val="002D28E2"/>
    <w:rsid w:val="002D317B"/>
    <w:rsid w:val="002D3587"/>
    <w:rsid w:val="002D502D"/>
    <w:rsid w:val="002E0F69"/>
    <w:rsid w:val="002F5147"/>
    <w:rsid w:val="002F7ABD"/>
    <w:rsid w:val="00312597"/>
    <w:rsid w:val="003167CE"/>
    <w:rsid w:val="00327BA5"/>
    <w:rsid w:val="0033237F"/>
    <w:rsid w:val="0033326F"/>
    <w:rsid w:val="00334154"/>
    <w:rsid w:val="00336F4E"/>
    <w:rsid w:val="003372C4"/>
    <w:rsid w:val="00340ECA"/>
    <w:rsid w:val="00341FA0"/>
    <w:rsid w:val="00344F3D"/>
    <w:rsid w:val="00345299"/>
    <w:rsid w:val="00347836"/>
    <w:rsid w:val="00351A8D"/>
    <w:rsid w:val="003526BB"/>
    <w:rsid w:val="00352BCF"/>
    <w:rsid w:val="00352DFB"/>
    <w:rsid w:val="00353932"/>
    <w:rsid w:val="0035464B"/>
    <w:rsid w:val="0035696B"/>
    <w:rsid w:val="00357994"/>
    <w:rsid w:val="00360A9E"/>
    <w:rsid w:val="00361A56"/>
    <w:rsid w:val="0036252A"/>
    <w:rsid w:val="00364C69"/>
    <w:rsid w:val="00364D9D"/>
    <w:rsid w:val="00367067"/>
    <w:rsid w:val="00370103"/>
    <w:rsid w:val="00371048"/>
    <w:rsid w:val="0037396C"/>
    <w:rsid w:val="0037421D"/>
    <w:rsid w:val="00375B86"/>
    <w:rsid w:val="00376093"/>
    <w:rsid w:val="00376EF3"/>
    <w:rsid w:val="003775D8"/>
    <w:rsid w:val="00383DA1"/>
    <w:rsid w:val="00385F30"/>
    <w:rsid w:val="003862C6"/>
    <w:rsid w:val="00393696"/>
    <w:rsid w:val="00393963"/>
    <w:rsid w:val="0039491E"/>
    <w:rsid w:val="00395575"/>
    <w:rsid w:val="00395672"/>
    <w:rsid w:val="003A06C8"/>
    <w:rsid w:val="003A0D7C"/>
    <w:rsid w:val="003A5290"/>
    <w:rsid w:val="003B0155"/>
    <w:rsid w:val="003B07A2"/>
    <w:rsid w:val="003B5B72"/>
    <w:rsid w:val="003B7EE7"/>
    <w:rsid w:val="003C015D"/>
    <w:rsid w:val="003C2CCB"/>
    <w:rsid w:val="003D39EC"/>
    <w:rsid w:val="003D5DED"/>
    <w:rsid w:val="003E3DD5"/>
    <w:rsid w:val="003F07C6"/>
    <w:rsid w:val="003F18B3"/>
    <w:rsid w:val="003F1F6B"/>
    <w:rsid w:val="003F3757"/>
    <w:rsid w:val="003F38BD"/>
    <w:rsid w:val="003F44B7"/>
    <w:rsid w:val="004008E9"/>
    <w:rsid w:val="00402E85"/>
    <w:rsid w:val="004068E5"/>
    <w:rsid w:val="004105DB"/>
    <w:rsid w:val="004106A4"/>
    <w:rsid w:val="00413D48"/>
    <w:rsid w:val="00423A19"/>
    <w:rsid w:val="00423B6B"/>
    <w:rsid w:val="00441AC2"/>
    <w:rsid w:val="0044249B"/>
    <w:rsid w:val="0044508B"/>
    <w:rsid w:val="0045023C"/>
    <w:rsid w:val="00451A5B"/>
    <w:rsid w:val="00452BCD"/>
    <w:rsid w:val="00452CEA"/>
    <w:rsid w:val="00456C45"/>
    <w:rsid w:val="00464B18"/>
    <w:rsid w:val="00465B52"/>
    <w:rsid w:val="0046708E"/>
    <w:rsid w:val="00472A65"/>
    <w:rsid w:val="00474463"/>
    <w:rsid w:val="00474B75"/>
    <w:rsid w:val="00483F0B"/>
    <w:rsid w:val="00496319"/>
    <w:rsid w:val="00497279"/>
    <w:rsid w:val="004A163B"/>
    <w:rsid w:val="004A1E8F"/>
    <w:rsid w:val="004A670A"/>
    <w:rsid w:val="004B2F0C"/>
    <w:rsid w:val="004B5465"/>
    <w:rsid w:val="004B70F0"/>
    <w:rsid w:val="004C21A8"/>
    <w:rsid w:val="004D1E2E"/>
    <w:rsid w:val="004D505E"/>
    <w:rsid w:val="004D554C"/>
    <w:rsid w:val="004D72CA"/>
    <w:rsid w:val="004E2242"/>
    <w:rsid w:val="004E6601"/>
    <w:rsid w:val="004E6840"/>
    <w:rsid w:val="004F42FF"/>
    <w:rsid w:val="004F44C2"/>
    <w:rsid w:val="00502512"/>
    <w:rsid w:val="00502859"/>
    <w:rsid w:val="00503FD2"/>
    <w:rsid w:val="00505262"/>
    <w:rsid w:val="005069E8"/>
    <w:rsid w:val="00513E10"/>
    <w:rsid w:val="00516022"/>
    <w:rsid w:val="00521CEE"/>
    <w:rsid w:val="00526F40"/>
    <w:rsid w:val="00527BD4"/>
    <w:rsid w:val="00537095"/>
    <w:rsid w:val="005403C8"/>
    <w:rsid w:val="005429DC"/>
    <w:rsid w:val="005565F9"/>
    <w:rsid w:val="005624F2"/>
    <w:rsid w:val="00573041"/>
    <w:rsid w:val="0057388D"/>
    <w:rsid w:val="00574C4D"/>
    <w:rsid w:val="00575B80"/>
    <w:rsid w:val="0057620F"/>
    <w:rsid w:val="005819CE"/>
    <w:rsid w:val="0058298D"/>
    <w:rsid w:val="00584C1A"/>
    <w:rsid w:val="00590AB0"/>
    <w:rsid w:val="00591FC3"/>
    <w:rsid w:val="00593C2B"/>
    <w:rsid w:val="005949EB"/>
    <w:rsid w:val="00595231"/>
    <w:rsid w:val="00596166"/>
    <w:rsid w:val="00597F64"/>
    <w:rsid w:val="005A207F"/>
    <w:rsid w:val="005A2F35"/>
    <w:rsid w:val="005B3814"/>
    <w:rsid w:val="005B463E"/>
    <w:rsid w:val="005C34E1"/>
    <w:rsid w:val="005C3FE0"/>
    <w:rsid w:val="005C740C"/>
    <w:rsid w:val="005D2DB2"/>
    <w:rsid w:val="005D3B50"/>
    <w:rsid w:val="005D5036"/>
    <w:rsid w:val="005D625B"/>
    <w:rsid w:val="005D7EF8"/>
    <w:rsid w:val="005E6FDA"/>
    <w:rsid w:val="005F0D54"/>
    <w:rsid w:val="005F62D3"/>
    <w:rsid w:val="005F67C7"/>
    <w:rsid w:val="005F6D11"/>
    <w:rsid w:val="00600CF0"/>
    <w:rsid w:val="006048F4"/>
    <w:rsid w:val="0060660A"/>
    <w:rsid w:val="00607393"/>
    <w:rsid w:val="006077D9"/>
    <w:rsid w:val="00610761"/>
    <w:rsid w:val="00613B1D"/>
    <w:rsid w:val="00614AD0"/>
    <w:rsid w:val="00617A44"/>
    <w:rsid w:val="006202B6"/>
    <w:rsid w:val="00625CD0"/>
    <w:rsid w:val="0062627D"/>
    <w:rsid w:val="00627432"/>
    <w:rsid w:val="00632FBB"/>
    <w:rsid w:val="00637A35"/>
    <w:rsid w:val="006448E4"/>
    <w:rsid w:val="00645414"/>
    <w:rsid w:val="00651CEE"/>
    <w:rsid w:val="00653606"/>
    <w:rsid w:val="0066019B"/>
    <w:rsid w:val="006610E9"/>
    <w:rsid w:val="00661591"/>
    <w:rsid w:val="00662BB9"/>
    <w:rsid w:val="00664678"/>
    <w:rsid w:val="006657A3"/>
    <w:rsid w:val="0066632F"/>
    <w:rsid w:val="00674A89"/>
    <w:rsid w:val="00674F3D"/>
    <w:rsid w:val="00683E38"/>
    <w:rsid w:val="00685545"/>
    <w:rsid w:val="006864B3"/>
    <w:rsid w:val="00692D64"/>
    <w:rsid w:val="006A10F8"/>
    <w:rsid w:val="006A2100"/>
    <w:rsid w:val="006A368F"/>
    <w:rsid w:val="006A5C3B"/>
    <w:rsid w:val="006A72E0"/>
    <w:rsid w:val="006B0BF3"/>
    <w:rsid w:val="006B775E"/>
    <w:rsid w:val="006B7A36"/>
    <w:rsid w:val="006B7BC7"/>
    <w:rsid w:val="006C2535"/>
    <w:rsid w:val="006C441E"/>
    <w:rsid w:val="006C4B90"/>
    <w:rsid w:val="006C5CC0"/>
    <w:rsid w:val="006D1016"/>
    <w:rsid w:val="006D17F2"/>
    <w:rsid w:val="006D2689"/>
    <w:rsid w:val="006D6DCC"/>
    <w:rsid w:val="006E0E5E"/>
    <w:rsid w:val="006E1B2E"/>
    <w:rsid w:val="006E3546"/>
    <w:rsid w:val="006E3FA9"/>
    <w:rsid w:val="006E5302"/>
    <w:rsid w:val="006E7D82"/>
    <w:rsid w:val="006F038F"/>
    <w:rsid w:val="006F0AB6"/>
    <w:rsid w:val="006F0F93"/>
    <w:rsid w:val="006F31F2"/>
    <w:rsid w:val="006F5194"/>
    <w:rsid w:val="006F7494"/>
    <w:rsid w:val="006F751F"/>
    <w:rsid w:val="00714DC5"/>
    <w:rsid w:val="00715237"/>
    <w:rsid w:val="00721AE1"/>
    <w:rsid w:val="00721EBE"/>
    <w:rsid w:val="007254A5"/>
    <w:rsid w:val="00725748"/>
    <w:rsid w:val="00735D88"/>
    <w:rsid w:val="0073720D"/>
    <w:rsid w:val="00737507"/>
    <w:rsid w:val="00740712"/>
    <w:rsid w:val="00742AB9"/>
    <w:rsid w:val="00747885"/>
    <w:rsid w:val="00751A6A"/>
    <w:rsid w:val="00754FBF"/>
    <w:rsid w:val="007610AA"/>
    <w:rsid w:val="00763455"/>
    <w:rsid w:val="007709EF"/>
    <w:rsid w:val="007714CE"/>
    <w:rsid w:val="007825CC"/>
    <w:rsid w:val="00782701"/>
    <w:rsid w:val="00783559"/>
    <w:rsid w:val="007853DE"/>
    <w:rsid w:val="007908CD"/>
    <w:rsid w:val="007950DC"/>
    <w:rsid w:val="0079551B"/>
    <w:rsid w:val="00797AA5"/>
    <w:rsid w:val="007A26BD"/>
    <w:rsid w:val="007A4105"/>
    <w:rsid w:val="007B4503"/>
    <w:rsid w:val="007C406E"/>
    <w:rsid w:val="007C5183"/>
    <w:rsid w:val="007C7573"/>
    <w:rsid w:val="007D1B57"/>
    <w:rsid w:val="007E2B20"/>
    <w:rsid w:val="007F18F8"/>
    <w:rsid w:val="007F3645"/>
    <w:rsid w:val="007F3AC9"/>
    <w:rsid w:val="007F439C"/>
    <w:rsid w:val="007F5331"/>
    <w:rsid w:val="00800CCA"/>
    <w:rsid w:val="00803C4B"/>
    <w:rsid w:val="00804393"/>
    <w:rsid w:val="00806120"/>
    <w:rsid w:val="0080649B"/>
    <w:rsid w:val="00806F63"/>
    <w:rsid w:val="00810C93"/>
    <w:rsid w:val="00812028"/>
    <w:rsid w:val="00812DD8"/>
    <w:rsid w:val="00813082"/>
    <w:rsid w:val="00814D03"/>
    <w:rsid w:val="008154BD"/>
    <w:rsid w:val="00815A89"/>
    <w:rsid w:val="00820371"/>
    <w:rsid w:val="00821FC1"/>
    <w:rsid w:val="00823AE2"/>
    <w:rsid w:val="00824AA5"/>
    <w:rsid w:val="0083178B"/>
    <w:rsid w:val="00831EE4"/>
    <w:rsid w:val="00833695"/>
    <w:rsid w:val="008336B7"/>
    <w:rsid w:val="00833A8E"/>
    <w:rsid w:val="00836ACA"/>
    <w:rsid w:val="00837A7A"/>
    <w:rsid w:val="00842CD8"/>
    <w:rsid w:val="008431FA"/>
    <w:rsid w:val="00847444"/>
    <w:rsid w:val="008508FD"/>
    <w:rsid w:val="008517C6"/>
    <w:rsid w:val="008520A1"/>
    <w:rsid w:val="008547BA"/>
    <w:rsid w:val="008553C7"/>
    <w:rsid w:val="00857FEB"/>
    <w:rsid w:val="008601AF"/>
    <w:rsid w:val="0087004F"/>
    <w:rsid w:val="00872271"/>
    <w:rsid w:val="00883137"/>
    <w:rsid w:val="008844EF"/>
    <w:rsid w:val="00892EA5"/>
    <w:rsid w:val="00894A3B"/>
    <w:rsid w:val="008A1F5D"/>
    <w:rsid w:val="008A28F5"/>
    <w:rsid w:val="008A5C77"/>
    <w:rsid w:val="008B1198"/>
    <w:rsid w:val="008B3471"/>
    <w:rsid w:val="008B3929"/>
    <w:rsid w:val="008B4125"/>
    <w:rsid w:val="008B4CB3"/>
    <w:rsid w:val="008B5411"/>
    <w:rsid w:val="008B567B"/>
    <w:rsid w:val="008B7B24"/>
    <w:rsid w:val="008C356D"/>
    <w:rsid w:val="008D01F0"/>
    <w:rsid w:val="008D43B5"/>
    <w:rsid w:val="008D4D47"/>
    <w:rsid w:val="008E0B3F"/>
    <w:rsid w:val="008E0C81"/>
    <w:rsid w:val="008E49AD"/>
    <w:rsid w:val="008E698E"/>
    <w:rsid w:val="008F127A"/>
    <w:rsid w:val="008F2584"/>
    <w:rsid w:val="008F3246"/>
    <w:rsid w:val="008F3C1B"/>
    <w:rsid w:val="008F508C"/>
    <w:rsid w:val="008F5657"/>
    <w:rsid w:val="00901BE9"/>
    <w:rsid w:val="0090271B"/>
    <w:rsid w:val="00910642"/>
    <w:rsid w:val="00910DDF"/>
    <w:rsid w:val="00910E95"/>
    <w:rsid w:val="009173F5"/>
    <w:rsid w:val="00920B04"/>
    <w:rsid w:val="00923CBD"/>
    <w:rsid w:val="00926AE2"/>
    <w:rsid w:val="00930B13"/>
    <w:rsid w:val="009311C8"/>
    <w:rsid w:val="00931541"/>
    <w:rsid w:val="00933376"/>
    <w:rsid w:val="00933A2F"/>
    <w:rsid w:val="00943CD4"/>
    <w:rsid w:val="00951E7A"/>
    <w:rsid w:val="00962C44"/>
    <w:rsid w:val="00965B35"/>
    <w:rsid w:val="009716D8"/>
    <w:rsid w:val="009718F9"/>
    <w:rsid w:val="00971F42"/>
    <w:rsid w:val="00972FB9"/>
    <w:rsid w:val="00975112"/>
    <w:rsid w:val="00981768"/>
    <w:rsid w:val="00983E8F"/>
    <w:rsid w:val="00985E56"/>
    <w:rsid w:val="0098788A"/>
    <w:rsid w:val="00987BF5"/>
    <w:rsid w:val="00994FDA"/>
    <w:rsid w:val="009A31BF"/>
    <w:rsid w:val="009A3B71"/>
    <w:rsid w:val="009A3BEA"/>
    <w:rsid w:val="009A61BC"/>
    <w:rsid w:val="009B0138"/>
    <w:rsid w:val="009B0FE9"/>
    <w:rsid w:val="009B173A"/>
    <w:rsid w:val="009B315F"/>
    <w:rsid w:val="009B5F8A"/>
    <w:rsid w:val="009C16E5"/>
    <w:rsid w:val="009C3F20"/>
    <w:rsid w:val="009C52FE"/>
    <w:rsid w:val="009C7CA1"/>
    <w:rsid w:val="009D043D"/>
    <w:rsid w:val="009F3259"/>
    <w:rsid w:val="00A037D5"/>
    <w:rsid w:val="00A056DE"/>
    <w:rsid w:val="00A06A64"/>
    <w:rsid w:val="00A107D6"/>
    <w:rsid w:val="00A10B56"/>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56A9"/>
    <w:rsid w:val="00A77F6F"/>
    <w:rsid w:val="00A831FD"/>
    <w:rsid w:val="00A83352"/>
    <w:rsid w:val="00A850A2"/>
    <w:rsid w:val="00A91FA3"/>
    <w:rsid w:val="00A927D3"/>
    <w:rsid w:val="00AA0C1B"/>
    <w:rsid w:val="00AA7FC9"/>
    <w:rsid w:val="00AB02BA"/>
    <w:rsid w:val="00AB0EED"/>
    <w:rsid w:val="00AB237D"/>
    <w:rsid w:val="00AB4EE2"/>
    <w:rsid w:val="00AB5933"/>
    <w:rsid w:val="00AC426B"/>
    <w:rsid w:val="00AE013D"/>
    <w:rsid w:val="00AE11B7"/>
    <w:rsid w:val="00AE6550"/>
    <w:rsid w:val="00AE6ED3"/>
    <w:rsid w:val="00AE7F68"/>
    <w:rsid w:val="00AF2321"/>
    <w:rsid w:val="00AF5093"/>
    <w:rsid w:val="00AF52F6"/>
    <w:rsid w:val="00AF52FD"/>
    <w:rsid w:val="00AF54A8"/>
    <w:rsid w:val="00AF7237"/>
    <w:rsid w:val="00B0043A"/>
    <w:rsid w:val="00B00D75"/>
    <w:rsid w:val="00B0327F"/>
    <w:rsid w:val="00B070CB"/>
    <w:rsid w:val="00B12456"/>
    <w:rsid w:val="00B145F0"/>
    <w:rsid w:val="00B172E8"/>
    <w:rsid w:val="00B259C8"/>
    <w:rsid w:val="00B26CCF"/>
    <w:rsid w:val="00B30573"/>
    <w:rsid w:val="00B30FC2"/>
    <w:rsid w:val="00B331A2"/>
    <w:rsid w:val="00B402F4"/>
    <w:rsid w:val="00B425F0"/>
    <w:rsid w:val="00B42DFA"/>
    <w:rsid w:val="00B531DD"/>
    <w:rsid w:val="00B55014"/>
    <w:rsid w:val="00B55136"/>
    <w:rsid w:val="00B62232"/>
    <w:rsid w:val="00B70BF3"/>
    <w:rsid w:val="00B71DC2"/>
    <w:rsid w:val="00B80726"/>
    <w:rsid w:val="00B819B9"/>
    <w:rsid w:val="00B81E80"/>
    <w:rsid w:val="00B83C17"/>
    <w:rsid w:val="00B849F5"/>
    <w:rsid w:val="00B91CFC"/>
    <w:rsid w:val="00B93893"/>
    <w:rsid w:val="00B956A1"/>
    <w:rsid w:val="00BA1397"/>
    <w:rsid w:val="00BA51E1"/>
    <w:rsid w:val="00BA7C4A"/>
    <w:rsid w:val="00BA7E0A"/>
    <w:rsid w:val="00BB5346"/>
    <w:rsid w:val="00BC2C00"/>
    <w:rsid w:val="00BC3B53"/>
    <w:rsid w:val="00BC3B96"/>
    <w:rsid w:val="00BC4AE3"/>
    <w:rsid w:val="00BC5B28"/>
    <w:rsid w:val="00BC5B38"/>
    <w:rsid w:val="00BD2370"/>
    <w:rsid w:val="00BE3F88"/>
    <w:rsid w:val="00BE4756"/>
    <w:rsid w:val="00BE5ED9"/>
    <w:rsid w:val="00BE7B41"/>
    <w:rsid w:val="00BF486D"/>
    <w:rsid w:val="00C15A91"/>
    <w:rsid w:val="00C1724B"/>
    <w:rsid w:val="00C206F1"/>
    <w:rsid w:val="00C217E1"/>
    <w:rsid w:val="00C219B1"/>
    <w:rsid w:val="00C22D1A"/>
    <w:rsid w:val="00C275B1"/>
    <w:rsid w:val="00C4015B"/>
    <w:rsid w:val="00C40C60"/>
    <w:rsid w:val="00C435ED"/>
    <w:rsid w:val="00C46B68"/>
    <w:rsid w:val="00C52175"/>
    <w:rsid w:val="00C5258E"/>
    <w:rsid w:val="00C530C9"/>
    <w:rsid w:val="00C56FDE"/>
    <w:rsid w:val="00C619A7"/>
    <w:rsid w:val="00C63DB5"/>
    <w:rsid w:val="00C67CD4"/>
    <w:rsid w:val="00C706EA"/>
    <w:rsid w:val="00C73D5F"/>
    <w:rsid w:val="00C82AFE"/>
    <w:rsid w:val="00C83DBC"/>
    <w:rsid w:val="00C92C79"/>
    <w:rsid w:val="00C97C80"/>
    <w:rsid w:val="00CA0FE3"/>
    <w:rsid w:val="00CA2DC9"/>
    <w:rsid w:val="00CA47D3"/>
    <w:rsid w:val="00CA6533"/>
    <w:rsid w:val="00CA6A25"/>
    <w:rsid w:val="00CA6A3F"/>
    <w:rsid w:val="00CA7C99"/>
    <w:rsid w:val="00CB0795"/>
    <w:rsid w:val="00CC6290"/>
    <w:rsid w:val="00CD233D"/>
    <w:rsid w:val="00CD27D4"/>
    <w:rsid w:val="00CD3499"/>
    <w:rsid w:val="00CD362D"/>
    <w:rsid w:val="00CE101D"/>
    <w:rsid w:val="00CE1814"/>
    <w:rsid w:val="00CE1A95"/>
    <w:rsid w:val="00CE1C84"/>
    <w:rsid w:val="00CE5055"/>
    <w:rsid w:val="00CE78E9"/>
    <w:rsid w:val="00CF053F"/>
    <w:rsid w:val="00CF1A17"/>
    <w:rsid w:val="00CF73C8"/>
    <w:rsid w:val="00D0375A"/>
    <w:rsid w:val="00D0546A"/>
    <w:rsid w:val="00D0609E"/>
    <w:rsid w:val="00D063C1"/>
    <w:rsid w:val="00D065EB"/>
    <w:rsid w:val="00D078E1"/>
    <w:rsid w:val="00D100E9"/>
    <w:rsid w:val="00D116FC"/>
    <w:rsid w:val="00D17942"/>
    <w:rsid w:val="00D21E4B"/>
    <w:rsid w:val="00D22441"/>
    <w:rsid w:val="00D23522"/>
    <w:rsid w:val="00D237A5"/>
    <w:rsid w:val="00D264D6"/>
    <w:rsid w:val="00D332BC"/>
    <w:rsid w:val="00D33BF0"/>
    <w:rsid w:val="00D33DA5"/>
    <w:rsid w:val="00D33DE0"/>
    <w:rsid w:val="00D36447"/>
    <w:rsid w:val="00D45E99"/>
    <w:rsid w:val="00D516BE"/>
    <w:rsid w:val="00D51B7F"/>
    <w:rsid w:val="00D5423B"/>
    <w:rsid w:val="00D54E6A"/>
    <w:rsid w:val="00D54F4E"/>
    <w:rsid w:val="00D57A56"/>
    <w:rsid w:val="00D604B3"/>
    <w:rsid w:val="00D60BA4"/>
    <w:rsid w:val="00D62174"/>
    <w:rsid w:val="00D62419"/>
    <w:rsid w:val="00D63D1F"/>
    <w:rsid w:val="00D710E2"/>
    <w:rsid w:val="00D77870"/>
    <w:rsid w:val="00D80977"/>
    <w:rsid w:val="00D80CCE"/>
    <w:rsid w:val="00D8235D"/>
    <w:rsid w:val="00D86EEA"/>
    <w:rsid w:val="00D87195"/>
    <w:rsid w:val="00D87D03"/>
    <w:rsid w:val="00D9360B"/>
    <w:rsid w:val="00D95C88"/>
    <w:rsid w:val="00D97B2E"/>
    <w:rsid w:val="00DA241E"/>
    <w:rsid w:val="00DA4E80"/>
    <w:rsid w:val="00DB36FE"/>
    <w:rsid w:val="00DB533A"/>
    <w:rsid w:val="00DB60AE"/>
    <w:rsid w:val="00DB6307"/>
    <w:rsid w:val="00DC2AE4"/>
    <w:rsid w:val="00DC4EF7"/>
    <w:rsid w:val="00DD160D"/>
    <w:rsid w:val="00DD1DCD"/>
    <w:rsid w:val="00DD338F"/>
    <w:rsid w:val="00DD66F2"/>
    <w:rsid w:val="00DE3FBF"/>
    <w:rsid w:val="00DE3FE0"/>
    <w:rsid w:val="00DE546D"/>
    <w:rsid w:val="00DE578A"/>
    <w:rsid w:val="00DF2583"/>
    <w:rsid w:val="00DF51FD"/>
    <w:rsid w:val="00DF54D9"/>
    <w:rsid w:val="00DF7283"/>
    <w:rsid w:val="00E0082C"/>
    <w:rsid w:val="00E01A59"/>
    <w:rsid w:val="00E10DC6"/>
    <w:rsid w:val="00E11934"/>
    <w:rsid w:val="00E11A12"/>
    <w:rsid w:val="00E11F8E"/>
    <w:rsid w:val="00E122B4"/>
    <w:rsid w:val="00E15881"/>
    <w:rsid w:val="00E16A8F"/>
    <w:rsid w:val="00E21DE3"/>
    <w:rsid w:val="00E2401E"/>
    <w:rsid w:val="00E273C5"/>
    <w:rsid w:val="00E307D1"/>
    <w:rsid w:val="00E3731D"/>
    <w:rsid w:val="00E40B6A"/>
    <w:rsid w:val="00E50BA4"/>
    <w:rsid w:val="00E51469"/>
    <w:rsid w:val="00E634E3"/>
    <w:rsid w:val="00E64C89"/>
    <w:rsid w:val="00E70CBA"/>
    <w:rsid w:val="00E717C4"/>
    <w:rsid w:val="00E77E18"/>
    <w:rsid w:val="00E77F89"/>
    <w:rsid w:val="00E80330"/>
    <w:rsid w:val="00E806C5"/>
    <w:rsid w:val="00E80E71"/>
    <w:rsid w:val="00E81350"/>
    <w:rsid w:val="00E84DFC"/>
    <w:rsid w:val="00E850D3"/>
    <w:rsid w:val="00E853D6"/>
    <w:rsid w:val="00E876B9"/>
    <w:rsid w:val="00EA0F13"/>
    <w:rsid w:val="00EB0F6C"/>
    <w:rsid w:val="00EC0DFF"/>
    <w:rsid w:val="00EC237D"/>
    <w:rsid w:val="00EC2918"/>
    <w:rsid w:val="00EC4D0E"/>
    <w:rsid w:val="00EC4E2B"/>
    <w:rsid w:val="00EC58C6"/>
    <w:rsid w:val="00ED072A"/>
    <w:rsid w:val="00ED539E"/>
    <w:rsid w:val="00ED7804"/>
    <w:rsid w:val="00EE4A1F"/>
    <w:rsid w:val="00EE4C2D"/>
    <w:rsid w:val="00EE5DC4"/>
    <w:rsid w:val="00EF1B5A"/>
    <w:rsid w:val="00EF24FB"/>
    <w:rsid w:val="00EF2CCA"/>
    <w:rsid w:val="00EF495B"/>
    <w:rsid w:val="00EF60DC"/>
    <w:rsid w:val="00EF6D37"/>
    <w:rsid w:val="00F00F54"/>
    <w:rsid w:val="00F01DBB"/>
    <w:rsid w:val="00F03963"/>
    <w:rsid w:val="00F05AA7"/>
    <w:rsid w:val="00F07EAF"/>
    <w:rsid w:val="00F11068"/>
    <w:rsid w:val="00F11E7C"/>
    <w:rsid w:val="00F1256D"/>
    <w:rsid w:val="00F13A4E"/>
    <w:rsid w:val="00F14626"/>
    <w:rsid w:val="00F161B0"/>
    <w:rsid w:val="00F172BB"/>
    <w:rsid w:val="00F17B10"/>
    <w:rsid w:val="00F20494"/>
    <w:rsid w:val="00F21BEF"/>
    <w:rsid w:val="00F2315B"/>
    <w:rsid w:val="00F3206E"/>
    <w:rsid w:val="00F37747"/>
    <w:rsid w:val="00F41A6F"/>
    <w:rsid w:val="00F4553F"/>
    <w:rsid w:val="00F45A25"/>
    <w:rsid w:val="00F47EBF"/>
    <w:rsid w:val="00F50F86"/>
    <w:rsid w:val="00F53F91"/>
    <w:rsid w:val="00F542AF"/>
    <w:rsid w:val="00F54AE0"/>
    <w:rsid w:val="00F61569"/>
    <w:rsid w:val="00F61A72"/>
    <w:rsid w:val="00F62B67"/>
    <w:rsid w:val="00F66F13"/>
    <w:rsid w:val="00F74073"/>
    <w:rsid w:val="00F75603"/>
    <w:rsid w:val="00F845B4"/>
    <w:rsid w:val="00F8713B"/>
    <w:rsid w:val="00F93F9E"/>
    <w:rsid w:val="00FA1170"/>
    <w:rsid w:val="00FA2CD7"/>
    <w:rsid w:val="00FA52B2"/>
    <w:rsid w:val="00FB06ED"/>
    <w:rsid w:val="00FB3BA8"/>
    <w:rsid w:val="00FC1F01"/>
    <w:rsid w:val="00FC2311"/>
    <w:rsid w:val="00FC3165"/>
    <w:rsid w:val="00FC36AB"/>
    <w:rsid w:val="00FC4300"/>
    <w:rsid w:val="00FC6B69"/>
    <w:rsid w:val="00FC7F66"/>
    <w:rsid w:val="00FD5776"/>
    <w:rsid w:val="00FE1CB6"/>
    <w:rsid w:val="00FE486B"/>
    <w:rsid w:val="00FE4F08"/>
    <w:rsid w:val="00FE70DA"/>
    <w:rsid w:val="00FF192E"/>
    <w:rsid w:val="091E4C76"/>
    <w:rsid w:val="1C94CD56"/>
    <w:rsid w:val="381F8AF3"/>
    <w:rsid w:val="7A38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2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39491E"/>
    <w:rPr>
      <w:sz w:val="16"/>
      <w:szCs w:val="16"/>
    </w:rPr>
  </w:style>
  <w:style w:type="paragraph" w:styleId="Tekstopmerking">
    <w:name w:val="annotation text"/>
    <w:basedOn w:val="Standaard"/>
    <w:link w:val="TekstopmerkingChar"/>
    <w:uiPriority w:val="99"/>
    <w:unhideWhenUsed/>
    <w:rsid w:val="0039491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9491E"/>
    <w:rPr>
      <w:rFonts w:asciiTheme="minorHAnsi" w:eastAsiaTheme="minorHAnsi" w:hAnsiTheme="minorHAnsi" w:cstheme="minorBidi"/>
      <w:lang w:val="nl-NL"/>
    </w:rPr>
  </w:style>
  <w:style w:type="character" w:styleId="Voetnootmarkering">
    <w:name w:val="footnote reference"/>
    <w:basedOn w:val="Standaardalinea-lettertype"/>
    <w:semiHidden/>
    <w:unhideWhenUsed/>
    <w:rsid w:val="00235BD6"/>
    <w:rPr>
      <w:vertAlign w:val="superscript"/>
    </w:rPr>
  </w:style>
  <w:style w:type="paragraph" w:styleId="Revisie">
    <w:name w:val="Revision"/>
    <w:hidden/>
    <w:uiPriority w:val="99"/>
    <w:semiHidden/>
    <w:rsid w:val="000600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A0F4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875F3"/>
    <w:rsid w:val="002002B2"/>
    <w:rsid w:val="0025486E"/>
    <w:rsid w:val="002A4B46"/>
    <w:rsid w:val="003043D2"/>
    <w:rsid w:val="004105DB"/>
    <w:rsid w:val="00465A93"/>
    <w:rsid w:val="004D554C"/>
    <w:rsid w:val="005624F2"/>
    <w:rsid w:val="00591FC3"/>
    <w:rsid w:val="00683E38"/>
    <w:rsid w:val="007950DC"/>
    <w:rsid w:val="007F3AC9"/>
    <w:rsid w:val="008D01F0"/>
    <w:rsid w:val="008E0829"/>
    <w:rsid w:val="00920B04"/>
    <w:rsid w:val="009C52FE"/>
    <w:rsid w:val="009D55ED"/>
    <w:rsid w:val="00A164D0"/>
    <w:rsid w:val="00A22FC5"/>
    <w:rsid w:val="00A8021E"/>
    <w:rsid w:val="00AA0F41"/>
    <w:rsid w:val="00C22D1A"/>
    <w:rsid w:val="00CA0FE3"/>
    <w:rsid w:val="00CF73C8"/>
    <w:rsid w:val="00D065EB"/>
    <w:rsid w:val="00ED7804"/>
    <w:rsid w:val="00EE5DC4"/>
    <w:rsid w:val="00F20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2704</ap:Words>
  <ap:Characters>16004</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2025-12-19T09:49:00.0000000Z</dcterms:created>
  <dcterms:modified xsi:type="dcterms:W3CDTF">2025-12-19T09:50:00.0000000Z</dcterms:modified>
  <dc:description>------------------------</dc:description>
  <version/>
  <category/>
</coreProperties>
</file>