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BF8" w:rsidP="00690BF8" w:rsidRDefault="00690BF8" w14:paraId="34322D3A" w14:textId="43CD71B1">
      <w:pPr>
        <w:suppressAutoHyphens/>
      </w:pPr>
      <w:r>
        <w:t>AH 747</w:t>
      </w:r>
    </w:p>
    <w:p w:rsidR="00690BF8" w:rsidP="00690BF8" w:rsidRDefault="00690BF8" w14:paraId="057AF0DC" w14:textId="37C03A26">
      <w:pPr>
        <w:suppressAutoHyphens/>
      </w:pPr>
      <w:r>
        <w:t>2025Z22022</w:t>
      </w:r>
    </w:p>
    <w:p w:rsidRPr="00690BF8" w:rsidR="00690BF8" w:rsidP="00690BF8" w:rsidRDefault="00690BF8" w14:paraId="24A5FE42" w14:textId="305AB40C">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19 december 2025)</w:t>
      </w:r>
    </w:p>
    <w:p w:rsidRPr="007F6C22" w:rsidR="00690BF8" w:rsidP="00690BF8" w:rsidRDefault="00690BF8" w14:paraId="03FDC891" w14:textId="77777777">
      <w:pPr>
        <w:suppressAutoHyphens/>
      </w:pPr>
      <w:r w:rsidRPr="007F6C22">
        <w:t>Vraag 1</w:t>
      </w:r>
    </w:p>
    <w:p w:rsidRPr="007F6C22" w:rsidR="00690BF8" w:rsidP="00690BF8" w:rsidRDefault="00690BF8" w14:paraId="3A041986" w14:textId="77777777">
      <w:pPr>
        <w:suppressAutoHyphens/>
      </w:pPr>
      <w:r w:rsidRPr="007F6C22">
        <w:t>Is het correct dat het aantal spoedritten van Ambulance Oost (deze aantallen kunnen worden teruggevonden in de jaarverslagen van Ambulance Oost) ten opzichte van het jaar 2019 in de daaropvolgende vijf jaren is gestegen met respectievelijk 1 (2020), 22 (2021), 41 (2022), 40 (2023) en 47 (2024) procent? Indien dit niet het geval is, wat zijn dan wel de correcte percentages?</w:t>
      </w:r>
    </w:p>
    <w:p w:rsidRPr="007F6C22" w:rsidR="00690BF8" w:rsidP="00690BF8" w:rsidRDefault="00690BF8" w14:paraId="4A540205" w14:textId="77777777">
      <w:pPr>
        <w:suppressAutoHyphens/>
      </w:pPr>
    </w:p>
    <w:p w:rsidRPr="007F6C22" w:rsidR="00690BF8" w:rsidP="00690BF8" w:rsidRDefault="00690BF8" w14:paraId="13DE5994" w14:textId="77777777">
      <w:pPr>
        <w:suppressAutoHyphens/>
        <w:rPr>
          <w:szCs w:val="18"/>
        </w:rPr>
      </w:pPr>
      <w:r w:rsidRPr="007F6C22">
        <w:rPr>
          <w:szCs w:val="18"/>
        </w:rPr>
        <w:t>Antwoord 1</w:t>
      </w:r>
    </w:p>
    <w:p w:rsidRPr="007E04FD" w:rsidR="00690BF8" w:rsidP="00690BF8" w:rsidRDefault="00690BF8" w14:paraId="541F3B7C" w14:textId="77777777">
      <w:pPr>
        <w:suppressAutoHyphens/>
        <w:rPr>
          <w:szCs w:val="18"/>
        </w:rPr>
      </w:pPr>
      <w:r w:rsidRPr="007F6C22">
        <w:rPr>
          <w:szCs w:val="18"/>
        </w:rPr>
        <w:t>Op basis van de j</w:t>
      </w:r>
      <w:r w:rsidRPr="007E04FD">
        <w:rPr>
          <w:szCs w:val="18"/>
        </w:rPr>
        <w:t>aarrapportage</w:t>
      </w:r>
      <w:r>
        <w:rPr>
          <w:szCs w:val="18"/>
        </w:rPr>
        <w:t>s</w:t>
      </w:r>
      <w:r w:rsidRPr="007E04FD">
        <w:rPr>
          <w:szCs w:val="18"/>
        </w:rPr>
        <w:t xml:space="preserve"> van Ambulance Oost </w:t>
      </w:r>
      <w:r>
        <w:rPr>
          <w:szCs w:val="18"/>
        </w:rPr>
        <w:t xml:space="preserve">(regio Twente) </w:t>
      </w:r>
      <w:r w:rsidRPr="007E04FD">
        <w:rPr>
          <w:szCs w:val="18"/>
        </w:rPr>
        <w:t>zijn d</w:t>
      </w:r>
      <w:r>
        <w:rPr>
          <w:szCs w:val="18"/>
        </w:rPr>
        <w:t>i</w:t>
      </w:r>
      <w:r w:rsidRPr="007E04FD">
        <w:rPr>
          <w:szCs w:val="18"/>
        </w:rPr>
        <w:t>t inderdaad de cumulatieve stijgingspercentages</w:t>
      </w:r>
      <w:r>
        <w:rPr>
          <w:szCs w:val="18"/>
        </w:rPr>
        <w:t xml:space="preserve"> van de A1-inzetten</w:t>
      </w:r>
      <w:r w:rsidRPr="007E04FD">
        <w:rPr>
          <w:szCs w:val="18"/>
        </w:rPr>
        <w:t xml:space="preserve">. Ambulancezorg Nederland </w:t>
      </w:r>
      <w:r>
        <w:rPr>
          <w:szCs w:val="18"/>
        </w:rPr>
        <w:t xml:space="preserve">rapporteert </w:t>
      </w:r>
      <w:r w:rsidRPr="007E04FD">
        <w:rPr>
          <w:szCs w:val="18"/>
        </w:rPr>
        <w:t xml:space="preserve">in </w:t>
      </w:r>
      <w:r>
        <w:rPr>
          <w:szCs w:val="18"/>
        </w:rPr>
        <w:t>h</w:t>
      </w:r>
      <w:r w:rsidRPr="007E04FD">
        <w:rPr>
          <w:szCs w:val="18"/>
        </w:rPr>
        <w:t>e</w:t>
      </w:r>
      <w:r>
        <w:rPr>
          <w:szCs w:val="18"/>
        </w:rPr>
        <w:t>t</w:t>
      </w:r>
      <w:r w:rsidRPr="007E04FD">
        <w:rPr>
          <w:szCs w:val="18"/>
        </w:rPr>
        <w:t xml:space="preserve"> </w:t>
      </w:r>
      <w:r>
        <w:rPr>
          <w:szCs w:val="18"/>
        </w:rPr>
        <w:t xml:space="preserve">jaarlijkse </w:t>
      </w:r>
      <w:r w:rsidRPr="007E04FD">
        <w:rPr>
          <w:szCs w:val="18"/>
        </w:rPr>
        <w:t xml:space="preserve">Sectorkompas </w:t>
      </w:r>
      <w:r>
        <w:rPr>
          <w:szCs w:val="18"/>
        </w:rPr>
        <w:t xml:space="preserve">Ambulancezorg </w:t>
      </w:r>
      <w:r w:rsidRPr="007E04FD">
        <w:rPr>
          <w:szCs w:val="18"/>
        </w:rPr>
        <w:t xml:space="preserve">het aantal inzetten per </w:t>
      </w:r>
      <w:r>
        <w:rPr>
          <w:szCs w:val="18"/>
        </w:rPr>
        <w:t>veiligheids</w:t>
      </w:r>
      <w:r w:rsidRPr="007E04FD">
        <w:rPr>
          <w:szCs w:val="18"/>
        </w:rPr>
        <w:t xml:space="preserve">regio. De cijfers in de </w:t>
      </w:r>
      <w:r>
        <w:rPr>
          <w:szCs w:val="18"/>
        </w:rPr>
        <w:t>j</w:t>
      </w:r>
      <w:r w:rsidRPr="007E04FD">
        <w:rPr>
          <w:szCs w:val="18"/>
        </w:rPr>
        <w:t>aarrapportage</w:t>
      </w:r>
      <w:r>
        <w:rPr>
          <w:szCs w:val="18"/>
        </w:rPr>
        <w:t>s</w:t>
      </w:r>
      <w:r w:rsidRPr="007E04FD">
        <w:rPr>
          <w:szCs w:val="18"/>
        </w:rPr>
        <w:t xml:space="preserve"> van Ambulance Oost wijken iets af vanwege een andere selectie, maar in de kern </w:t>
      </w:r>
      <w:r>
        <w:rPr>
          <w:szCs w:val="18"/>
        </w:rPr>
        <w:t>komen de aantallen overeen</w:t>
      </w:r>
      <w:r w:rsidRPr="007E04FD">
        <w:rPr>
          <w:szCs w:val="18"/>
        </w:rPr>
        <w:t xml:space="preserve">. </w:t>
      </w:r>
      <w:r>
        <w:rPr>
          <w:szCs w:val="18"/>
        </w:rPr>
        <w:t xml:space="preserve">Op basis van de Sectorkompassen van de afgelopen jaren gelden onderstaande cijfers voor </w:t>
      </w:r>
      <w:r w:rsidRPr="007E04FD">
        <w:rPr>
          <w:szCs w:val="18"/>
        </w:rPr>
        <w:t>de regio Twente</w:t>
      </w:r>
      <w:r>
        <w:rPr>
          <w:szCs w:val="18"/>
        </w:rPr>
        <w:t>.</w:t>
      </w:r>
    </w:p>
    <w:p w:rsidRPr="007E04FD" w:rsidR="00690BF8" w:rsidP="00690BF8" w:rsidRDefault="00690BF8" w14:paraId="4D39F124" w14:textId="77777777">
      <w:pPr>
        <w:suppressAutoHyphens/>
        <w:rPr>
          <w:szCs w:val="18"/>
        </w:rPr>
      </w:pPr>
    </w:p>
    <w:p w:rsidRPr="005048A0" w:rsidR="00690BF8" w:rsidP="00690BF8" w:rsidRDefault="00690BF8" w14:paraId="42E4DDE6" w14:textId="77777777">
      <w:pPr>
        <w:pStyle w:val="Bijschrift"/>
        <w:keepNext/>
        <w:suppressAutoHyphens/>
        <w:rPr>
          <w:b w:val="0"/>
          <w:bCs/>
          <w:i/>
          <w:iCs/>
          <w:szCs w:val="18"/>
        </w:rPr>
      </w:pPr>
      <w:r w:rsidRPr="005048A0">
        <w:rPr>
          <w:b w:val="0"/>
          <w:bCs/>
          <w:i/>
          <w:iCs/>
          <w:szCs w:val="18"/>
        </w:rPr>
        <w:t xml:space="preserve">Tabel </w:t>
      </w:r>
      <w:r w:rsidRPr="005048A0">
        <w:rPr>
          <w:b w:val="0"/>
          <w:bCs/>
          <w:i/>
          <w:iCs/>
          <w:szCs w:val="18"/>
        </w:rPr>
        <w:fldChar w:fldCharType="begin"/>
      </w:r>
      <w:r w:rsidRPr="005048A0">
        <w:rPr>
          <w:b w:val="0"/>
          <w:bCs/>
          <w:i/>
          <w:iCs/>
          <w:szCs w:val="18"/>
        </w:rPr>
        <w:instrText xml:space="preserve"> SEQ Tabel \* ARABIC </w:instrText>
      </w:r>
      <w:r w:rsidRPr="005048A0">
        <w:rPr>
          <w:b w:val="0"/>
          <w:bCs/>
          <w:i/>
          <w:iCs/>
          <w:szCs w:val="18"/>
        </w:rPr>
        <w:fldChar w:fldCharType="separate"/>
      </w:r>
      <w:r>
        <w:rPr>
          <w:b w:val="0"/>
          <w:bCs/>
          <w:i/>
          <w:iCs/>
          <w:noProof/>
          <w:szCs w:val="18"/>
        </w:rPr>
        <w:t>1</w:t>
      </w:r>
      <w:r w:rsidRPr="005048A0">
        <w:rPr>
          <w:b w:val="0"/>
          <w:bCs/>
          <w:i/>
          <w:iCs/>
          <w:szCs w:val="18"/>
        </w:rPr>
        <w:fldChar w:fldCharType="end"/>
      </w:r>
      <w:r w:rsidRPr="005048A0">
        <w:rPr>
          <w:b w:val="0"/>
          <w:bCs/>
          <w:i/>
          <w:iCs/>
          <w:szCs w:val="18"/>
        </w:rPr>
        <w:t>: Overzicht van A1-inzetten in de regio Twente</w:t>
      </w:r>
    </w:p>
    <w:tbl>
      <w:tblPr>
        <w:tblStyle w:val="Tabelraster"/>
        <w:tblW w:w="0" w:type="auto"/>
        <w:tblLook w:val="04A0" w:firstRow="1" w:lastRow="0" w:firstColumn="1" w:lastColumn="0" w:noHBand="0" w:noVBand="1"/>
      </w:tblPr>
      <w:tblGrid>
        <w:gridCol w:w="2700"/>
        <w:gridCol w:w="766"/>
        <w:gridCol w:w="766"/>
        <w:gridCol w:w="766"/>
        <w:gridCol w:w="766"/>
        <w:gridCol w:w="766"/>
        <w:gridCol w:w="994"/>
      </w:tblGrid>
      <w:tr w:rsidR="00690BF8" w:rsidTr="00DA778D" w14:paraId="19576E5A" w14:textId="77777777">
        <w:tc>
          <w:tcPr>
            <w:tcW w:w="0" w:type="auto"/>
          </w:tcPr>
          <w:p w:rsidRPr="007E04FD" w:rsidR="00690BF8" w:rsidP="00DA778D" w:rsidRDefault="00690BF8" w14:paraId="6121A901" w14:textId="77777777">
            <w:pPr>
              <w:suppressAutoHyphens/>
              <w:spacing w:line="276" w:lineRule="auto"/>
              <w:rPr>
                <w:b/>
                <w:bCs/>
                <w:color w:val="000000"/>
                <w:szCs w:val="18"/>
              </w:rPr>
            </w:pPr>
          </w:p>
        </w:tc>
        <w:tc>
          <w:tcPr>
            <w:tcW w:w="0" w:type="auto"/>
          </w:tcPr>
          <w:p w:rsidRPr="007E04FD" w:rsidR="00690BF8" w:rsidP="00DA778D" w:rsidRDefault="00690BF8" w14:paraId="635D6D25" w14:textId="77777777">
            <w:pPr>
              <w:suppressAutoHyphens/>
              <w:spacing w:line="276" w:lineRule="auto"/>
              <w:rPr>
                <w:szCs w:val="18"/>
              </w:rPr>
            </w:pPr>
            <w:r w:rsidRPr="00441004">
              <w:rPr>
                <w:b/>
                <w:bCs/>
                <w:color w:val="000000"/>
                <w:szCs w:val="18"/>
              </w:rPr>
              <w:t>2019</w:t>
            </w:r>
          </w:p>
        </w:tc>
        <w:tc>
          <w:tcPr>
            <w:tcW w:w="0" w:type="auto"/>
          </w:tcPr>
          <w:p w:rsidRPr="007E04FD" w:rsidR="00690BF8" w:rsidP="00DA778D" w:rsidRDefault="00690BF8" w14:paraId="1230FFDB" w14:textId="77777777">
            <w:pPr>
              <w:suppressAutoHyphens/>
              <w:spacing w:line="276" w:lineRule="auto"/>
              <w:rPr>
                <w:szCs w:val="18"/>
              </w:rPr>
            </w:pPr>
            <w:r w:rsidRPr="00441004">
              <w:rPr>
                <w:b/>
                <w:bCs/>
                <w:color w:val="000000"/>
                <w:szCs w:val="18"/>
              </w:rPr>
              <w:t>2020</w:t>
            </w:r>
          </w:p>
        </w:tc>
        <w:tc>
          <w:tcPr>
            <w:tcW w:w="0" w:type="auto"/>
          </w:tcPr>
          <w:p w:rsidRPr="007E04FD" w:rsidR="00690BF8" w:rsidP="00DA778D" w:rsidRDefault="00690BF8" w14:paraId="7CD43F1C" w14:textId="77777777">
            <w:pPr>
              <w:suppressAutoHyphens/>
              <w:spacing w:line="276" w:lineRule="auto"/>
              <w:rPr>
                <w:szCs w:val="18"/>
              </w:rPr>
            </w:pPr>
            <w:r w:rsidRPr="00441004">
              <w:rPr>
                <w:b/>
                <w:bCs/>
                <w:color w:val="000000"/>
                <w:szCs w:val="18"/>
              </w:rPr>
              <w:t>2021</w:t>
            </w:r>
          </w:p>
        </w:tc>
        <w:tc>
          <w:tcPr>
            <w:tcW w:w="0" w:type="auto"/>
          </w:tcPr>
          <w:p w:rsidRPr="007E04FD" w:rsidR="00690BF8" w:rsidP="00DA778D" w:rsidRDefault="00690BF8" w14:paraId="75860B1B" w14:textId="77777777">
            <w:pPr>
              <w:suppressAutoHyphens/>
              <w:spacing w:line="276" w:lineRule="auto"/>
              <w:rPr>
                <w:szCs w:val="18"/>
              </w:rPr>
            </w:pPr>
            <w:r w:rsidRPr="00441004">
              <w:rPr>
                <w:b/>
                <w:bCs/>
                <w:color w:val="000000"/>
                <w:szCs w:val="18"/>
              </w:rPr>
              <w:t>2022</w:t>
            </w:r>
          </w:p>
        </w:tc>
        <w:tc>
          <w:tcPr>
            <w:tcW w:w="0" w:type="auto"/>
          </w:tcPr>
          <w:p w:rsidRPr="007E04FD" w:rsidR="00690BF8" w:rsidP="00DA778D" w:rsidRDefault="00690BF8" w14:paraId="3265076A" w14:textId="77777777">
            <w:pPr>
              <w:suppressAutoHyphens/>
              <w:spacing w:line="276" w:lineRule="auto"/>
              <w:rPr>
                <w:szCs w:val="18"/>
              </w:rPr>
            </w:pPr>
            <w:r w:rsidRPr="00441004">
              <w:rPr>
                <w:b/>
                <w:bCs/>
                <w:color w:val="000000"/>
                <w:szCs w:val="18"/>
              </w:rPr>
              <w:t>2023</w:t>
            </w:r>
          </w:p>
        </w:tc>
        <w:tc>
          <w:tcPr>
            <w:tcW w:w="0" w:type="auto"/>
          </w:tcPr>
          <w:p w:rsidRPr="007E04FD" w:rsidR="00690BF8" w:rsidP="00DA778D" w:rsidRDefault="00690BF8" w14:paraId="68DA4A0B" w14:textId="77777777">
            <w:pPr>
              <w:suppressAutoHyphens/>
              <w:spacing w:line="276" w:lineRule="auto"/>
              <w:rPr>
                <w:szCs w:val="18"/>
              </w:rPr>
            </w:pPr>
            <w:r w:rsidRPr="00441004">
              <w:rPr>
                <w:b/>
                <w:bCs/>
                <w:color w:val="000000"/>
                <w:szCs w:val="18"/>
              </w:rPr>
              <w:t>2024</w:t>
            </w:r>
          </w:p>
        </w:tc>
      </w:tr>
      <w:tr w:rsidR="00690BF8" w:rsidTr="00DA778D" w14:paraId="5AA738BB" w14:textId="77777777">
        <w:trPr>
          <w:trHeight w:val="300"/>
        </w:trPr>
        <w:tc>
          <w:tcPr>
            <w:tcW w:w="0" w:type="auto"/>
          </w:tcPr>
          <w:p w:rsidRPr="007E04FD" w:rsidR="00690BF8" w:rsidP="00DA778D" w:rsidRDefault="00690BF8" w14:paraId="4A312AD1" w14:textId="77777777">
            <w:pPr>
              <w:suppressAutoHyphens/>
              <w:spacing w:line="276" w:lineRule="auto"/>
              <w:rPr>
                <w:color w:val="000000"/>
                <w:szCs w:val="18"/>
              </w:rPr>
            </w:pPr>
            <w:r w:rsidRPr="007E04FD">
              <w:rPr>
                <w:b/>
                <w:bCs/>
                <w:color w:val="000000"/>
                <w:szCs w:val="18"/>
              </w:rPr>
              <w:t>Aantal A1-inzetten</w:t>
            </w:r>
            <w:r>
              <w:rPr>
                <w:b/>
                <w:bCs/>
                <w:color w:val="000000"/>
                <w:szCs w:val="18"/>
              </w:rPr>
              <w:t xml:space="preserve"> regio Twente</w:t>
            </w:r>
          </w:p>
        </w:tc>
        <w:tc>
          <w:tcPr>
            <w:tcW w:w="0" w:type="auto"/>
            <w:noWrap/>
          </w:tcPr>
          <w:p w:rsidRPr="00441004" w:rsidR="00690BF8" w:rsidP="00DA778D" w:rsidRDefault="00690BF8" w14:paraId="5B446FA3" w14:textId="77777777">
            <w:pPr>
              <w:suppressAutoHyphens/>
              <w:spacing w:line="276" w:lineRule="auto"/>
              <w:rPr>
                <w:b/>
                <w:bCs/>
                <w:color w:val="000000"/>
                <w:szCs w:val="18"/>
              </w:rPr>
            </w:pPr>
            <w:r w:rsidRPr="00441004">
              <w:rPr>
                <w:color w:val="000000"/>
                <w:szCs w:val="18"/>
              </w:rPr>
              <w:t>15.582</w:t>
            </w:r>
          </w:p>
        </w:tc>
        <w:tc>
          <w:tcPr>
            <w:tcW w:w="0" w:type="auto"/>
            <w:noWrap/>
          </w:tcPr>
          <w:p w:rsidRPr="00441004" w:rsidR="00690BF8" w:rsidP="00DA778D" w:rsidRDefault="00690BF8" w14:paraId="6B7BA6A4" w14:textId="77777777">
            <w:pPr>
              <w:suppressAutoHyphens/>
              <w:spacing w:line="276" w:lineRule="auto"/>
              <w:rPr>
                <w:b/>
                <w:bCs/>
                <w:color w:val="000000"/>
                <w:szCs w:val="18"/>
              </w:rPr>
            </w:pPr>
            <w:r w:rsidRPr="00441004">
              <w:rPr>
                <w:color w:val="000000"/>
                <w:szCs w:val="18"/>
              </w:rPr>
              <w:t>15.824</w:t>
            </w:r>
          </w:p>
        </w:tc>
        <w:tc>
          <w:tcPr>
            <w:tcW w:w="0" w:type="auto"/>
            <w:noWrap/>
          </w:tcPr>
          <w:p w:rsidRPr="00441004" w:rsidR="00690BF8" w:rsidP="00DA778D" w:rsidRDefault="00690BF8" w14:paraId="01B4C709" w14:textId="77777777">
            <w:pPr>
              <w:suppressAutoHyphens/>
              <w:spacing w:line="276" w:lineRule="auto"/>
              <w:rPr>
                <w:b/>
                <w:bCs/>
                <w:color w:val="000000"/>
                <w:szCs w:val="18"/>
              </w:rPr>
            </w:pPr>
            <w:r w:rsidRPr="00441004">
              <w:rPr>
                <w:color w:val="000000"/>
                <w:szCs w:val="18"/>
              </w:rPr>
              <w:t>19.046</w:t>
            </w:r>
          </w:p>
        </w:tc>
        <w:tc>
          <w:tcPr>
            <w:tcW w:w="0" w:type="auto"/>
            <w:noWrap/>
          </w:tcPr>
          <w:p w:rsidRPr="00441004" w:rsidR="00690BF8" w:rsidP="00DA778D" w:rsidRDefault="00690BF8" w14:paraId="0F4455A7" w14:textId="77777777">
            <w:pPr>
              <w:suppressAutoHyphens/>
              <w:spacing w:line="276" w:lineRule="auto"/>
              <w:rPr>
                <w:b/>
                <w:bCs/>
                <w:color w:val="000000"/>
                <w:szCs w:val="18"/>
              </w:rPr>
            </w:pPr>
            <w:r w:rsidRPr="00441004">
              <w:rPr>
                <w:color w:val="000000"/>
                <w:szCs w:val="18"/>
              </w:rPr>
              <w:t>22.217</w:t>
            </w:r>
          </w:p>
        </w:tc>
        <w:tc>
          <w:tcPr>
            <w:tcW w:w="0" w:type="auto"/>
            <w:noWrap/>
          </w:tcPr>
          <w:p w:rsidRPr="00441004" w:rsidR="00690BF8" w:rsidP="00DA778D" w:rsidRDefault="00690BF8" w14:paraId="4B968FAF" w14:textId="77777777">
            <w:pPr>
              <w:suppressAutoHyphens/>
              <w:spacing w:line="276" w:lineRule="auto"/>
              <w:rPr>
                <w:b/>
                <w:bCs/>
                <w:color w:val="000000"/>
                <w:szCs w:val="18"/>
              </w:rPr>
            </w:pPr>
            <w:r w:rsidRPr="00441004">
              <w:rPr>
                <w:color w:val="000000"/>
                <w:szCs w:val="18"/>
              </w:rPr>
              <w:t>22.001</w:t>
            </w:r>
          </w:p>
        </w:tc>
        <w:tc>
          <w:tcPr>
            <w:tcW w:w="0" w:type="auto"/>
            <w:noWrap/>
          </w:tcPr>
          <w:p w:rsidR="00690BF8" w:rsidP="00DA778D" w:rsidRDefault="00690BF8" w14:paraId="6A12F6E7" w14:textId="77777777">
            <w:pPr>
              <w:suppressAutoHyphens/>
              <w:spacing w:line="276" w:lineRule="auto"/>
              <w:rPr>
                <w:color w:val="000000"/>
                <w:szCs w:val="18"/>
              </w:rPr>
            </w:pPr>
            <w:r w:rsidRPr="00441004">
              <w:rPr>
                <w:color w:val="000000"/>
                <w:szCs w:val="18"/>
              </w:rPr>
              <w:t>23.238</w:t>
            </w:r>
            <w:r>
              <w:rPr>
                <w:color w:val="000000"/>
                <w:szCs w:val="18"/>
              </w:rPr>
              <w:t xml:space="preserve"> </w:t>
            </w:r>
          </w:p>
          <w:p w:rsidRPr="00441004" w:rsidR="00690BF8" w:rsidP="00DA778D" w:rsidRDefault="00690BF8" w14:paraId="7496DCF2" w14:textId="77777777">
            <w:pPr>
              <w:suppressAutoHyphens/>
              <w:spacing w:line="276" w:lineRule="auto"/>
              <w:rPr>
                <w:b/>
                <w:bCs/>
                <w:color w:val="000000"/>
                <w:szCs w:val="18"/>
              </w:rPr>
            </w:pPr>
            <w:r>
              <w:rPr>
                <w:color w:val="000000"/>
                <w:szCs w:val="18"/>
              </w:rPr>
              <w:t>(incl. A0)</w:t>
            </w:r>
          </w:p>
        </w:tc>
      </w:tr>
      <w:tr w:rsidR="00690BF8" w:rsidTr="00DA778D" w14:paraId="0F3FF68B" w14:textId="77777777">
        <w:trPr>
          <w:trHeight w:val="300"/>
        </w:trPr>
        <w:tc>
          <w:tcPr>
            <w:tcW w:w="0" w:type="auto"/>
          </w:tcPr>
          <w:p w:rsidRPr="007E04FD" w:rsidR="00690BF8" w:rsidP="00DA778D" w:rsidRDefault="00690BF8" w14:paraId="5C3851D9" w14:textId="77777777">
            <w:pPr>
              <w:suppressAutoHyphens/>
              <w:spacing w:line="276" w:lineRule="auto"/>
              <w:rPr>
                <w:color w:val="000000"/>
                <w:szCs w:val="18"/>
              </w:rPr>
            </w:pPr>
            <w:r w:rsidRPr="00441004">
              <w:rPr>
                <w:color w:val="000000"/>
                <w:szCs w:val="18"/>
              </w:rPr>
              <w:t xml:space="preserve">Aantal A1-inzetten </w:t>
            </w:r>
          </w:p>
          <w:p w:rsidRPr="007E04FD" w:rsidR="00690BF8" w:rsidP="00DA778D" w:rsidRDefault="00690BF8" w14:paraId="77A8CB98" w14:textId="77777777">
            <w:pPr>
              <w:suppressAutoHyphens/>
              <w:spacing w:line="276" w:lineRule="auto"/>
              <w:rPr>
                <w:szCs w:val="18"/>
              </w:rPr>
            </w:pPr>
            <w:r w:rsidRPr="00441004">
              <w:rPr>
                <w:color w:val="000000"/>
                <w:szCs w:val="18"/>
              </w:rPr>
              <w:t>(% groei t.o.v. jaar ervoor)</w:t>
            </w:r>
          </w:p>
        </w:tc>
        <w:tc>
          <w:tcPr>
            <w:tcW w:w="0" w:type="auto"/>
            <w:noWrap/>
            <w:hideMark/>
          </w:tcPr>
          <w:p w:rsidRPr="00441004" w:rsidR="00690BF8" w:rsidP="00DA778D" w:rsidRDefault="00690BF8" w14:paraId="2197774A" w14:textId="77777777">
            <w:pPr>
              <w:suppressAutoHyphens/>
              <w:spacing w:line="276" w:lineRule="auto"/>
              <w:rPr>
                <w:szCs w:val="18"/>
              </w:rPr>
            </w:pPr>
          </w:p>
        </w:tc>
        <w:tc>
          <w:tcPr>
            <w:tcW w:w="0" w:type="auto"/>
            <w:noWrap/>
            <w:hideMark/>
          </w:tcPr>
          <w:p w:rsidRPr="00441004" w:rsidR="00690BF8" w:rsidP="00DA778D" w:rsidRDefault="00690BF8" w14:paraId="4AC8091B" w14:textId="77777777">
            <w:pPr>
              <w:suppressAutoHyphens/>
              <w:spacing w:line="276" w:lineRule="auto"/>
              <w:rPr>
                <w:color w:val="000000"/>
                <w:szCs w:val="18"/>
              </w:rPr>
            </w:pPr>
            <w:r w:rsidRPr="00441004">
              <w:rPr>
                <w:color w:val="000000"/>
                <w:szCs w:val="18"/>
              </w:rPr>
              <w:t>1,6%</w:t>
            </w:r>
          </w:p>
        </w:tc>
        <w:tc>
          <w:tcPr>
            <w:tcW w:w="0" w:type="auto"/>
            <w:noWrap/>
            <w:hideMark/>
          </w:tcPr>
          <w:p w:rsidRPr="00441004" w:rsidR="00690BF8" w:rsidP="00DA778D" w:rsidRDefault="00690BF8" w14:paraId="771225A0" w14:textId="77777777">
            <w:pPr>
              <w:suppressAutoHyphens/>
              <w:spacing w:line="276" w:lineRule="auto"/>
              <w:rPr>
                <w:color w:val="000000"/>
                <w:szCs w:val="18"/>
              </w:rPr>
            </w:pPr>
            <w:r w:rsidRPr="00441004">
              <w:rPr>
                <w:color w:val="000000"/>
                <w:szCs w:val="18"/>
              </w:rPr>
              <w:t>20,4%</w:t>
            </w:r>
          </w:p>
        </w:tc>
        <w:tc>
          <w:tcPr>
            <w:tcW w:w="0" w:type="auto"/>
            <w:noWrap/>
            <w:hideMark/>
          </w:tcPr>
          <w:p w:rsidRPr="00441004" w:rsidR="00690BF8" w:rsidP="00DA778D" w:rsidRDefault="00690BF8" w14:paraId="0E3A5CA5" w14:textId="77777777">
            <w:pPr>
              <w:suppressAutoHyphens/>
              <w:spacing w:line="276" w:lineRule="auto"/>
              <w:rPr>
                <w:color w:val="000000"/>
                <w:szCs w:val="18"/>
              </w:rPr>
            </w:pPr>
            <w:r w:rsidRPr="00441004">
              <w:rPr>
                <w:color w:val="000000"/>
                <w:szCs w:val="18"/>
              </w:rPr>
              <w:t>16,6%</w:t>
            </w:r>
          </w:p>
        </w:tc>
        <w:tc>
          <w:tcPr>
            <w:tcW w:w="0" w:type="auto"/>
            <w:noWrap/>
            <w:hideMark/>
          </w:tcPr>
          <w:p w:rsidRPr="00441004" w:rsidR="00690BF8" w:rsidP="00DA778D" w:rsidRDefault="00690BF8" w14:paraId="7000E09C" w14:textId="77777777">
            <w:pPr>
              <w:suppressAutoHyphens/>
              <w:spacing w:line="276" w:lineRule="auto"/>
              <w:rPr>
                <w:color w:val="000000"/>
                <w:szCs w:val="18"/>
              </w:rPr>
            </w:pPr>
            <w:r w:rsidRPr="00441004">
              <w:rPr>
                <w:color w:val="000000"/>
                <w:szCs w:val="18"/>
              </w:rPr>
              <w:t>-1,0%</w:t>
            </w:r>
          </w:p>
        </w:tc>
        <w:tc>
          <w:tcPr>
            <w:tcW w:w="0" w:type="auto"/>
            <w:noWrap/>
            <w:hideMark/>
          </w:tcPr>
          <w:p w:rsidRPr="00441004" w:rsidR="00690BF8" w:rsidP="00DA778D" w:rsidRDefault="00690BF8" w14:paraId="6CB5A320" w14:textId="77777777">
            <w:pPr>
              <w:suppressAutoHyphens/>
              <w:spacing w:line="276" w:lineRule="auto"/>
              <w:rPr>
                <w:color w:val="000000"/>
                <w:szCs w:val="18"/>
              </w:rPr>
            </w:pPr>
            <w:r w:rsidRPr="00441004">
              <w:rPr>
                <w:color w:val="000000"/>
                <w:szCs w:val="18"/>
              </w:rPr>
              <w:t>5,6%</w:t>
            </w:r>
          </w:p>
        </w:tc>
      </w:tr>
      <w:tr w:rsidR="00690BF8" w:rsidTr="00DA778D" w14:paraId="33B79507" w14:textId="77777777">
        <w:trPr>
          <w:trHeight w:val="300"/>
        </w:trPr>
        <w:tc>
          <w:tcPr>
            <w:tcW w:w="0" w:type="auto"/>
          </w:tcPr>
          <w:p w:rsidRPr="007E04FD" w:rsidR="00690BF8" w:rsidP="00DA778D" w:rsidRDefault="00690BF8" w14:paraId="23E1E5F9" w14:textId="77777777">
            <w:pPr>
              <w:suppressAutoHyphens/>
              <w:spacing w:line="276" w:lineRule="auto"/>
              <w:rPr>
                <w:color w:val="000000"/>
                <w:szCs w:val="18"/>
              </w:rPr>
            </w:pPr>
            <w:r w:rsidRPr="00441004">
              <w:rPr>
                <w:color w:val="000000"/>
                <w:szCs w:val="18"/>
              </w:rPr>
              <w:t xml:space="preserve">Aantal A1-inzetten </w:t>
            </w:r>
          </w:p>
          <w:p w:rsidRPr="007E04FD" w:rsidR="00690BF8" w:rsidP="00DA778D" w:rsidRDefault="00690BF8" w14:paraId="2C405321" w14:textId="77777777">
            <w:pPr>
              <w:suppressAutoHyphens/>
              <w:spacing w:line="276" w:lineRule="auto"/>
              <w:rPr>
                <w:color w:val="000000"/>
                <w:szCs w:val="18"/>
              </w:rPr>
            </w:pPr>
            <w:r w:rsidRPr="00441004">
              <w:rPr>
                <w:color w:val="000000"/>
                <w:szCs w:val="18"/>
              </w:rPr>
              <w:t xml:space="preserve">(% </w:t>
            </w:r>
            <w:r>
              <w:rPr>
                <w:color w:val="000000"/>
                <w:szCs w:val="18"/>
              </w:rPr>
              <w:t xml:space="preserve">cumulatieve </w:t>
            </w:r>
            <w:r w:rsidRPr="00441004">
              <w:rPr>
                <w:color w:val="000000"/>
                <w:szCs w:val="18"/>
              </w:rPr>
              <w:t>groei t.o.v. 2019)</w:t>
            </w:r>
          </w:p>
        </w:tc>
        <w:tc>
          <w:tcPr>
            <w:tcW w:w="0" w:type="auto"/>
            <w:noWrap/>
            <w:hideMark/>
          </w:tcPr>
          <w:p w:rsidRPr="00441004" w:rsidR="00690BF8" w:rsidP="00DA778D" w:rsidRDefault="00690BF8" w14:paraId="3AC1F261" w14:textId="77777777">
            <w:pPr>
              <w:suppressAutoHyphens/>
              <w:spacing w:line="276" w:lineRule="auto"/>
              <w:rPr>
                <w:color w:val="000000"/>
                <w:szCs w:val="18"/>
              </w:rPr>
            </w:pPr>
          </w:p>
        </w:tc>
        <w:tc>
          <w:tcPr>
            <w:tcW w:w="0" w:type="auto"/>
            <w:noWrap/>
            <w:hideMark/>
          </w:tcPr>
          <w:p w:rsidRPr="00441004" w:rsidR="00690BF8" w:rsidP="00DA778D" w:rsidRDefault="00690BF8" w14:paraId="3D7C4177" w14:textId="77777777">
            <w:pPr>
              <w:suppressAutoHyphens/>
              <w:spacing w:line="276" w:lineRule="auto"/>
              <w:rPr>
                <w:color w:val="000000"/>
                <w:szCs w:val="18"/>
              </w:rPr>
            </w:pPr>
            <w:r w:rsidRPr="00441004">
              <w:rPr>
                <w:color w:val="000000"/>
                <w:szCs w:val="18"/>
              </w:rPr>
              <w:t>1,6%</w:t>
            </w:r>
          </w:p>
        </w:tc>
        <w:tc>
          <w:tcPr>
            <w:tcW w:w="0" w:type="auto"/>
            <w:noWrap/>
            <w:hideMark/>
          </w:tcPr>
          <w:p w:rsidRPr="00441004" w:rsidR="00690BF8" w:rsidP="00DA778D" w:rsidRDefault="00690BF8" w14:paraId="62E83DFB" w14:textId="77777777">
            <w:pPr>
              <w:suppressAutoHyphens/>
              <w:spacing w:line="276" w:lineRule="auto"/>
              <w:rPr>
                <w:color w:val="000000"/>
                <w:szCs w:val="18"/>
              </w:rPr>
            </w:pPr>
            <w:r w:rsidRPr="00441004">
              <w:rPr>
                <w:color w:val="000000"/>
                <w:szCs w:val="18"/>
              </w:rPr>
              <w:t>22,2%</w:t>
            </w:r>
          </w:p>
        </w:tc>
        <w:tc>
          <w:tcPr>
            <w:tcW w:w="0" w:type="auto"/>
            <w:noWrap/>
            <w:hideMark/>
          </w:tcPr>
          <w:p w:rsidRPr="00441004" w:rsidR="00690BF8" w:rsidP="00DA778D" w:rsidRDefault="00690BF8" w14:paraId="029EB887" w14:textId="77777777">
            <w:pPr>
              <w:suppressAutoHyphens/>
              <w:spacing w:line="276" w:lineRule="auto"/>
              <w:rPr>
                <w:color w:val="000000"/>
                <w:szCs w:val="18"/>
              </w:rPr>
            </w:pPr>
            <w:r w:rsidRPr="00441004">
              <w:rPr>
                <w:color w:val="000000"/>
                <w:szCs w:val="18"/>
              </w:rPr>
              <w:t>42,6%</w:t>
            </w:r>
          </w:p>
        </w:tc>
        <w:tc>
          <w:tcPr>
            <w:tcW w:w="0" w:type="auto"/>
            <w:noWrap/>
            <w:hideMark/>
          </w:tcPr>
          <w:p w:rsidRPr="00441004" w:rsidR="00690BF8" w:rsidP="00DA778D" w:rsidRDefault="00690BF8" w14:paraId="1E19CD90" w14:textId="77777777">
            <w:pPr>
              <w:suppressAutoHyphens/>
              <w:spacing w:line="276" w:lineRule="auto"/>
              <w:rPr>
                <w:color w:val="000000"/>
                <w:szCs w:val="18"/>
              </w:rPr>
            </w:pPr>
            <w:r w:rsidRPr="00441004">
              <w:rPr>
                <w:color w:val="000000"/>
                <w:szCs w:val="18"/>
              </w:rPr>
              <w:t>41,2%</w:t>
            </w:r>
          </w:p>
        </w:tc>
        <w:tc>
          <w:tcPr>
            <w:tcW w:w="0" w:type="auto"/>
            <w:noWrap/>
            <w:hideMark/>
          </w:tcPr>
          <w:p w:rsidRPr="00441004" w:rsidR="00690BF8" w:rsidP="00DA778D" w:rsidRDefault="00690BF8" w14:paraId="5EEFE1D5" w14:textId="77777777">
            <w:pPr>
              <w:suppressAutoHyphens/>
              <w:spacing w:line="276" w:lineRule="auto"/>
              <w:rPr>
                <w:color w:val="000000"/>
                <w:szCs w:val="18"/>
              </w:rPr>
            </w:pPr>
            <w:r w:rsidRPr="00441004">
              <w:rPr>
                <w:color w:val="000000"/>
                <w:szCs w:val="18"/>
              </w:rPr>
              <w:t>49,1%</w:t>
            </w:r>
          </w:p>
        </w:tc>
      </w:tr>
    </w:tbl>
    <w:p w:rsidRPr="007E04FD" w:rsidR="00690BF8" w:rsidP="00690BF8" w:rsidRDefault="00690BF8" w14:paraId="24DCEF8F" w14:textId="77777777">
      <w:pPr>
        <w:suppressAutoHyphens/>
        <w:rPr>
          <w:szCs w:val="18"/>
        </w:rPr>
      </w:pPr>
    </w:p>
    <w:p w:rsidRPr="007F6C22" w:rsidR="00690BF8" w:rsidP="00690BF8" w:rsidRDefault="00690BF8" w14:paraId="4ADEF566" w14:textId="77777777">
      <w:pPr>
        <w:suppressAutoHyphens/>
        <w:rPr>
          <w:szCs w:val="18"/>
        </w:rPr>
      </w:pPr>
      <w:r w:rsidRPr="007F6C22">
        <w:rPr>
          <w:szCs w:val="18"/>
        </w:rPr>
        <w:t>Vraag 2</w:t>
      </w:r>
    </w:p>
    <w:p w:rsidRPr="007F6C22" w:rsidR="00690BF8" w:rsidP="00690BF8" w:rsidRDefault="00690BF8" w14:paraId="66792996" w14:textId="77777777">
      <w:pPr>
        <w:suppressAutoHyphens/>
        <w:rPr>
          <w:szCs w:val="18"/>
        </w:rPr>
      </w:pPr>
      <w:r w:rsidRPr="007F6C22">
        <w:rPr>
          <w:szCs w:val="18"/>
        </w:rPr>
        <w:t>Hoe verklaart u deze plotseling sterke toename van het aantal spoedritten sinds 2021?</w:t>
      </w:r>
    </w:p>
    <w:p w:rsidRPr="007F6C22" w:rsidR="00690BF8" w:rsidP="00690BF8" w:rsidRDefault="00690BF8" w14:paraId="513D5009" w14:textId="77777777">
      <w:pPr>
        <w:suppressAutoHyphens/>
        <w:rPr>
          <w:szCs w:val="18"/>
        </w:rPr>
      </w:pPr>
    </w:p>
    <w:p w:rsidRPr="007F6C22" w:rsidR="00690BF8" w:rsidP="00690BF8" w:rsidRDefault="00690BF8" w14:paraId="38343C5E" w14:textId="77777777">
      <w:pPr>
        <w:suppressAutoHyphens/>
        <w:rPr>
          <w:szCs w:val="18"/>
        </w:rPr>
      </w:pPr>
      <w:r w:rsidRPr="007F6C22">
        <w:rPr>
          <w:szCs w:val="18"/>
        </w:rPr>
        <w:t>Antwoord 2</w:t>
      </w:r>
    </w:p>
    <w:p w:rsidRPr="007F6C22" w:rsidR="00690BF8" w:rsidP="00690BF8" w:rsidRDefault="00690BF8" w14:paraId="46FCA67C" w14:textId="77777777">
      <w:pPr>
        <w:suppressAutoHyphens/>
      </w:pPr>
      <w:r w:rsidRPr="007F6C22">
        <w:rPr>
          <w:szCs w:val="18"/>
        </w:rPr>
        <w:t xml:space="preserve">Tot halverwege 2021 bestond bij Ambulance Oost de werkwijze om bij meerinzetten (het sturen van tweede, derde, enz. auto naar eenzelfde incident) de tweede en eventueel daaropvolgende auto’s een A2-urgentie te geven. </w:t>
      </w:r>
      <w:r w:rsidRPr="007F6C22">
        <w:t xml:space="preserve">Vanaf de tweede helft </w:t>
      </w:r>
      <w:r w:rsidRPr="007F6C22">
        <w:lastRenderedPageBreak/>
        <w:t xml:space="preserve">van 2021 is deze werkwijze aangepast en krijgen de meerinzetten dezelfde urgentie als de eerste ambulance; dit betreft altijd A1 (of A0). Dit heeft als gevolg een stijging van het aantal A1-inzetten en een daling van het aantal A2-inzetten. </w:t>
      </w:r>
    </w:p>
    <w:p w:rsidRPr="007F6C22" w:rsidR="00690BF8" w:rsidP="00690BF8" w:rsidRDefault="00690BF8" w14:paraId="658BAFB2" w14:textId="77777777">
      <w:pPr>
        <w:suppressAutoHyphens/>
      </w:pPr>
      <w:r w:rsidRPr="007F6C22">
        <w:t> </w:t>
      </w:r>
    </w:p>
    <w:p w:rsidR="00690BF8" w:rsidP="00690BF8" w:rsidRDefault="00690BF8" w14:paraId="3AE038E6" w14:textId="77777777">
      <w:pPr>
        <w:suppressAutoHyphens/>
      </w:pPr>
      <w:r w:rsidRPr="007F6C22">
        <w:t>Het aantal A1-inzetten in 2021 en 2022 is daarom fors hoger dan in 2020; daarna volgt min of meer stabilisatie. Wanneer we de productie van A1-inzetten en A2-inzetten samen nemen en dit naast de ontwikkeling in Nederland plaatsen, zijn er dan ook geen opvallende</w:t>
      </w:r>
      <w:r>
        <w:t xml:space="preserve"> verschillen te zien.</w:t>
      </w:r>
    </w:p>
    <w:p w:rsidR="00690BF8" w:rsidP="00690BF8" w:rsidRDefault="00690BF8" w14:paraId="46F3A559" w14:textId="77777777">
      <w:pPr>
        <w:suppressAutoHyphens/>
        <w:spacing w:line="240" w:lineRule="auto"/>
        <w:rPr>
          <w:szCs w:val="18"/>
        </w:rPr>
      </w:pPr>
    </w:p>
    <w:p w:rsidR="00690BF8" w:rsidP="00690BF8" w:rsidRDefault="00690BF8" w14:paraId="0C1B205A" w14:textId="77777777">
      <w:pPr>
        <w:suppressAutoHyphens/>
        <w:rPr>
          <w:szCs w:val="18"/>
        </w:rPr>
      </w:pPr>
      <w:r w:rsidRPr="007E04FD">
        <w:rPr>
          <w:szCs w:val="18"/>
        </w:rPr>
        <w:t>Onderstaande tabel ge</w:t>
      </w:r>
      <w:r>
        <w:rPr>
          <w:szCs w:val="18"/>
        </w:rPr>
        <w:t>eft</w:t>
      </w:r>
      <w:r w:rsidRPr="007E04FD">
        <w:rPr>
          <w:szCs w:val="18"/>
        </w:rPr>
        <w:t xml:space="preserve"> de som van A1- en A2-inzetten in regio Twente en in Nederland weer:</w:t>
      </w:r>
    </w:p>
    <w:p w:rsidRPr="007E04FD" w:rsidR="00690BF8" w:rsidP="00690BF8" w:rsidRDefault="00690BF8" w14:paraId="07B4C815" w14:textId="77777777">
      <w:pPr>
        <w:suppressAutoHyphens/>
        <w:rPr>
          <w:szCs w:val="18"/>
        </w:rPr>
      </w:pPr>
    </w:p>
    <w:p w:rsidR="00690BF8" w:rsidP="00690BF8" w:rsidRDefault="00690BF8" w14:paraId="3D6C87A0" w14:textId="77777777">
      <w:pPr>
        <w:keepNext/>
        <w:suppressAutoHyphens/>
      </w:pPr>
      <w:r w:rsidRPr="007E04FD">
        <w:rPr>
          <w:noProof/>
          <w:szCs w:val="18"/>
        </w:rPr>
        <w:drawing>
          <wp:inline distT="0" distB="0" distL="0" distR="0" wp14:anchorId="126488EE" wp14:editId="35E5C051">
            <wp:extent cx="4737100" cy="2460625"/>
            <wp:effectExtent l="0" t="0" r="6350" b="15875"/>
            <wp:docPr id="1758328021" name="Grafiek 1">
              <a:extLst xmlns:a="http://schemas.openxmlformats.org/drawingml/2006/main">
                <a:ext uri="{FF2B5EF4-FFF2-40B4-BE49-F238E27FC236}">
                  <a16:creationId xmlns:a16="http://schemas.microsoft.com/office/drawing/2014/main" id="{EDD253FA-5259-480D-9620-059EAD4F6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5048A0" w:rsidR="00690BF8" w:rsidP="00690BF8" w:rsidRDefault="00690BF8" w14:paraId="079BCF3C" w14:textId="77777777">
      <w:pPr>
        <w:pStyle w:val="Bijschrift"/>
        <w:suppressAutoHyphens/>
        <w:rPr>
          <w:b w:val="0"/>
          <w:bCs/>
          <w:i/>
          <w:iCs/>
          <w:szCs w:val="18"/>
        </w:rPr>
      </w:pPr>
      <w:r w:rsidRPr="005048A0">
        <w:rPr>
          <w:b w:val="0"/>
          <w:bCs/>
          <w:i/>
          <w:iCs/>
        </w:rPr>
        <w:t xml:space="preserve">Figuur </w:t>
      </w:r>
      <w:r w:rsidRPr="005048A0">
        <w:rPr>
          <w:b w:val="0"/>
          <w:bCs/>
          <w:i/>
          <w:iCs/>
        </w:rPr>
        <w:fldChar w:fldCharType="begin"/>
      </w:r>
      <w:r w:rsidRPr="005048A0">
        <w:rPr>
          <w:b w:val="0"/>
          <w:bCs/>
          <w:i/>
          <w:iCs/>
        </w:rPr>
        <w:instrText xml:space="preserve"> SEQ Figuur \* ARABIC </w:instrText>
      </w:r>
      <w:r w:rsidRPr="005048A0">
        <w:rPr>
          <w:b w:val="0"/>
          <w:bCs/>
          <w:i/>
          <w:iCs/>
        </w:rPr>
        <w:fldChar w:fldCharType="separate"/>
      </w:r>
      <w:r>
        <w:rPr>
          <w:b w:val="0"/>
          <w:bCs/>
          <w:i/>
          <w:iCs/>
          <w:noProof/>
        </w:rPr>
        <w:t>1</w:t>
      </w:r>
      <w:r w:rsidRPr="005048A0">
        <w:rPr>
          <w:b w:val="0"/>
          <w:bCs/>
          <w:i/>
          <w:iCs/>
        </w:rPr>
        <w:fldChar w:fldCharType="end"/>
      </w:r>
      <w:r w:rsidRPr="005048A0">
        <w:rPr>
          <w:b w:val="0"/>
          <w:bCs/>
          <w:i/>
          <w:iCs/>
        </w:rPr>
        <w:t xml:space="preserve">: </w:t>
      </w:r>
      <w:r>
        <w:rPr>
          <w:b w:val="0"/>
          <w:bCs/>
          <w:i/>
          <w:iCs/>
        </w:rPr>
        <w:t>Procentuele groei</w:t>
      </w:r>
      <w:r w:rsidRPr="005048A0">
        <w:rPr>
          <w:b w:val="0"/>
          <w:bCs/>
          <w:i/>
          <w:iCs/>
        </w:rPr>
        <w:t xml:space="preserve"> A1- en A2-inzetten per jaar voor regio Twente en Nederland</w:t>
      </w:r>
    </w:p>
    <w:p w:rsidRPr="007F6C22" w:rsidR="00690BF8" w:rsidP="00690BF8" w:rsidRDefault="00690BF8" w14:paraId="7F69D68F" w14:textId="77777777">
      <w:pPr>
        <w:suppressAutoHyphens/>
        <w:rPr>
          <w:szCs w:val="18"/>
        </w:rPr>
      </w:pPr>
    </w:p>
    <w:p w:rsidRPr="007F6C22" w:rsidR="00690BF8" w:rsidP="00690BF8" w:rsidRDefault="00690BF8" w14:paraId="1A591AC5" w14:textId="77777777">
      <w:pPr>
        <w:suppressAutoHyphens/>
        <w:rPr>
          <w:szCs w:val="18"/>
        </w:rPr>
      </w:pPr>
      <w:r w:rsidRPr="007F6C22">
        <w:rPr>
          <w:szCs w:val="18"/>
        </w:rPr>
        <w:t>Vraag 3</w:t>
      </w:r>
    </w:p>
    <w:p w:rsidRPr="007F6C22" w:rsidR="00690BF8" w:rsidP="00690BF8" w:rsidRDefault="00690BF8" w14:paraId="6764C3EB" w14:textId="77777777">
      <w:pPr>
        <w:suppressAutoHyphens/>
        <w:rPr>
          <w:szCs w:val="18"/>
        </w:rPr>
      </w:pPr>
      <w:r w:rsidRPr="007F6C22">
        <w:rPr>
          <w:szCs w:val="18"/>
        </w:rPr>
        <w:t>Is het correct dat het aantal zorgconsulten van Ambulance Oost (deze aantallen kunnen worden teruggevonden in de jaarverslagen van Ambulance Oost) ten opzichte van het jaar 2019 in de daaropvolgende vijf jaren is gestegen met respectievelijk 4 (2020), 24 (2021), 45 (2022), 47 (2023) en 51 (2024) procent? Indien dit niet het geval is, wat zijn dan wel de correcte percentages?</w:t>
      </w:r>
    </w:p>
    <w:p w:rsidRPr="007F6C22" w:rsidR="00690BF8" w:rsidP="00690BF8" w:rsidRDefault="00690BF8" w14:paraId="1FBCEBBC" w14:textId="77777777">
      <w:pPr>
        <w:suppressAutoHyphens/>
        <w:rPr>
          <w:szCs w:val="18"/>
        </w:rPr>
      </w:pPr>
    </w:p>
    <w:p w:rsidRPr="007F6C22" w:rsidR="00690BF8" w:rsidP="00690BF8" w:rsidRDefault="00690BF8" w14:paraId="2DAC4B36" w14:textId="77777777">
      <w:pPr>
        <w:suppressAutoHyphens/>
        <w:rPr>
          <w:szCs w:val="18"/>
        </w:rPr>
      </w:pPr>
      <w:r w:rsidRPr="007F6C22">
        <w:rPr>
          <w:szCs w:val="18"/>
        </w:rPr>
        <w:t>Antwoord 3</w:t>
      </w:r>
    </w:p>
    <w:p w:rsidRPr="007F6C22" w:rsidR="00690BF8" w:rsidP="00690BF8" w:rsidRDefault="00690BF8" w14:paraId="45CE2E22" w14:textId="77777777">
      <w:pPr>
        <w:suppressAutoHyphens/>
        <w:rPr>
          <w:szCs w:val="18"/>
        </w:rPr>
      </w:pPr>
      <w:r w:rsidRPr="007F6C22">
        <w:rPr>
          <w:szCs w:val="18"/>
        </w:rPr>
        <w:t>Dat klopt, dat zijn inderdaad de cumulatieve stijgingspercentages voor Ambulance Oost. In onderstaande tabel staat het aantal mobiele zorgconsulten in de regio Twente weergegeven.</w:t>
      </w:r>
    </w:p>
    <w:p w:rsidRPr="007E04FD" w:rsidR="00690BF8" w:rsidP="00690BF8" w:rsidRDefault="00690BF8" w14:paraId="11CCAE30" w14:textId="77777777">
      <w:pPr>
        <w:suppressAutoHyphens/>
        <w:rPr>
          <w:szCs w:val="18"/>
        </w:rPr>
      </w:pPr>
    </w:p>
    <w:p w:rsidRPr="005048A0" w:rsidR="00690BF8" w:rsidP="00690BF8" w:rsidRDefault="00690BF8" w14:paraId="74432720" w14:textId="77777777">
      <w:pPr>
        <w:pStyle w:val="Bijschrift"/>
        <w:keepNext/>
        <w:suppressAutoHyphens/>
        <w:rPr>
          <w:b w:val="0"/>
          <w:bCs/>
          <w:i/>
          <w:iCs/>
          <w:szCs w:val="18"/>
        </w:rPr>
      </w:pPr>
      <w:r w:rsidRPr="005048A0">
        <w:rPr>
          <w:b w:val="0"/>
          <w:bCs/>
          <w:i/>
          <w:iCs/>
          <w:szCs w:val="18"/>
        </w:rPr>
        <w:t xml:space="preserve">Tabel </w:t>
      </w:r>
      <w:r>
        <w:rPr>
          <w:b w:val="0"/>
          <w:bCs/>
          <w:i/>
          <w:iCs/>
          <w:szCs w:val="18"/>
        </w:rPr>
        <w:t>2</w:t>
      </w:r>
      <w:r w:rsidRPr="005048A0">
        <w:rPr>
          <w:b w:val="0"/>
          <w:bCs/>
          <w:i/>
          <w:iCs/>
          <w:szCs w:val="18"/>
        </w:rPr>
        <w:t>: Overzicht van mobiele zorgconsulten in regio Twente</w:t>
      </w:r>
    </w:p>
    <w:tbl>
      <w:tblPr>
        <w:tblStyle w:val="Tabelraster"/>
        <w:tblW w:w="0" w:type="auto"/>
        <w:tblLook w:val="04A0" w:firstRow="1" w:lastRow="0" w:firstColumn="1" w:lastColumn="0" w:noHBand="0" w:noVBand="1"/>
      </w:tblPr>
      <w:tblGrid>
        <w:gridCol w:w="3128"/>
        <w:gridCol w:w="666"/>
        <w:gridCol w:w="666"/>
        <w:gridCol w:w="766"/>
        <w:gridCol w:w="766"/>
        <w:gridCol w:w="766"/>
        <w:gridCol w:w="766"/>
      </w:tblGrid>
      <w:tr w:rsidR="00690BF8" w:rsidTr="00DA778D" w14:paraId="37160692" w14:textId="77777777">
        <w:tc>
          <w:tcPr>
            <w:tcW w:w="0" w:type="auto"/>
          </w:tcPr>
          <w:p w:rsidRPr="007E04FD" w:rsidR="00690BF8" w:rsidP="00DA778D" w:rsidRDefault="00690BF8" w14:paraId="4F40DF99" w14:textId="77777777">
            <w:pPr>
              <w:suppressAutoHyphens/>
              <w:spacing w:line="276" w:lineRule="auto"/>
              <w:rPr>
                <w:b/>
                <w:bCs/>
                <w:color w:val="000000"/>
                <w:szCs w:val="18"/>
              </w:rPr>
            </w:pPr>
          </w:p>
        </w:tc>
        <w:tc>
          <w:tcPr>
            <w:tcW w:w="0" w:type="auto"/>
          </w:tcPr>
          <w:p w:rsidRPr="007E04FD" w:rsidR="00690BF8" w:rsidP="00DA778D" w:rsidRDefault="00690BF8" w14:paraId="06CEDCDB" w14:textId="77777777">
            <w:pPr>
              <w:suppressAutoHyphens/>
              <w:spacing w:line="276" w:lineRule="auto"/>
              <w:rPr>
                <w:szCs w:val="18"/>
              </w:rPr>
            </w:pPr>
            <w:r w:rsidRPr="00441004">
              <w:rPr>
                <w:b/>
                <w:bCs/>
                <w:color w:val="000000"/>
                <w:szCs w:val="18"/>
              </w:rPr>
              <w:t>2019</w:t>
            </w:r>
          </w:p>
        </w:tc>
        <w:tc>
          <w:tcPr>
            <w:tcW w:w="0" w:type="auto"/>
          </w:tcPr>
          <w:p w:rsidRPr="007E04FD" w:rsidR="00690BF8" w:rsidP="00DA778D" w:rsidRDefault="00690BF8" w14:paraId="48FB8318" w14:textId="77777777">
            <w:pPr>
              <w:suppressAutoHyphens/>
              <w:spacing w:line="276" w:lineRule="auto"/>
              <w:rPr>
                <w:szCs w:val="18"/>
              </w:rPr>
            </w:pPr>
            <w:r w:rsidRPr="00441004">
              <w:rPr>
                <w:b/>
                <w:bCs/>
                <w:color w:val="000000"/>
                <w:szCs w:val="18"/>
              </w:rPr>
              <w:t>2020</w:t>
            </w:r>
          </w:p>
        </w:tc>
        <w:tc>
          <w:tcPr>
            <w:tcW w:w="0" w:type="auto"/>
          </w:tcPr>
          <w:p w:rsidRPr="007E04FD" w:rsidR="00690BF8" w:rsidP="00DA778D" w:rsidRDefault="00690BF8" w14:paraId="73E0F8C5" w14:textId="77777777">
            <w:pPr>
              <w:suppressAutoHyphens/>
              <w:spacing w:line="276" w:lineRule="auto"/>
              <w:rPr>
                <w:szCs w:val="18"/>
              </w:rPr>
            </w:pPr>
            <w:r w:rsidRPr="00441004">
              <w:rPr>
                <w:b/>
                <w:bCs/>
                <w:color w:val="000000"/>
                <w:szCs w:val="18"/>
              </w:rPr>
              <w:t>2021</w:t>
            </w:r>
          </w:p>
        </w:tc>
        <w:tc>
          <w:tcPr>
            <w:tcW w:w="0" w:type="auto"/>
          </w:tcPr>
          <w:p w:rsidRPr="007E04FD" w:rsidR="00690BF8" w:rsidP="00DA778D" w:rsidRDefault="00690BF8" w14:paraId="18B4A198" w14:textId="77777777">
            <w:pPr>
              <w:suppressAutoHyphens/>
              <w:spacing w:line="276" w:lineRule="auto"/>
              <w:rPr>
                <w:szCs w:val="18"/>
              </w:rPr>
            </w:pPr>
            <w:r w:rsidRPr="00441004">
              <w:rPr>
                <w:b/>
                <w:bCs/>
                <w:color w:val="000000"/>
                <w:szCs w:val="18"/>
              </w:rPr>
              <w:t>2022</w:t>
            </w:r>
          </w:p>
        </w:tc>
        <w:tc>
          <w:tcPr>
            <w:tcW w:w="0" w:type="auto"/>
          </w:tcPr>
          <w:p w:rsidRPr="007E04FD" w:rsidR="00690BF8" w:rsidP="00DA778D" w:rsidRDefault="00690BF8" w14:paraId="64A7F9CA" w14:textId="77777777">
            <w:pPr>
              <w:suppressAutoHyphens/>
              <w:spacing w:line="276" w:lineRule="auto"/>
              <w:rPr>
                <w:szCs w:val="18"/>
              </w:rPr>
            </w:pPr>
            <w:r w:rsidRPr="00441004">
              <w:rPr>
                <w:b/>
                <w:bCs/>
                <w:color w:val="000000"/>
                <w:szCs w:val="18"/>
              </w:rPr>
              <w:t>2023</w:t>
            </w:r>
          </w:p>
        </w:tc>
        <w:tc>
          <w:tcPr>
            <w:tcW w:w="0" w:type="auto"/>
          </w:tcPr>
          <w:p w:rsidRPr="007E04FD" w:rsidR="00690BF8" w:rsidP="00DA778D" w:rsidRDefault="00690BF8" w14:paraId="1B26B5B8" w14:textId="77777777">
            <w:pPr>
              <w:suppressAutoHyphens/>
              <w:spacing w:line="276" w:lineRule="auto"/>
              <w:rPr>
                <w:szCs w:val="18"/>
              </w:rPr>
            </w:pPr>
            <w:r w:rsidRPr="00441004">
              <w:rPr>
                <w:b/>
                <w:bCs/>
                <w:color w:val="000000"/>
                <w:szCs w:val="18"/>
              </w:rPr>
              <w:t>2024</w:t>
            </w:r>
          </w:p>
        </w:tc>
      </w:tr>
      <w:tr w:rsidR="00690BF8" w:rsidTr="00DA778D" w14:paraId="2EF3AC05" w14:textId="77777777">
        <w:trPr>
          <w:trHeight w:val="300"/>
        </w:trPr>
        <w:tc>
          <w:tcPr>
            <w:tcW w:w="0" w:type="auto"/>
            <w:vAlign w:val="bottom"/>
          </w:tcPr>
          <w:p w:rsidRPr="007E04FD" w:rsidR="00690BF8" w:rsidP="00DA778D" w:rsidRDefault="00690BF8" w14:paraId="6306E7C1" w14:textId="77777777">
            <w:pPr>
              <w:suppressAutoHyphens/>
              <w:spacing w:line="276" w:lineRule="auto"/>
              <w:rPr>
                <w:color w:val="000000"/>
                <w:szCs w:val="18"/>
              </w:rPr>
            </w:pPr>
            <w:r w:rsidRPr="007E04FD">
              <w:rPr>
                <w:b/>
                <w:bCs/>
                <w:color w:val="000000"/>
                <w:szCs w:val="18"/>
              </w:rPr>
              <w:t>Aantal mobiele zorgconsulten</w:t>
            </w:r>
            <w:r>
              <w:rPr>
                <w:b/>
                <w:bCs/>
                <w:color w:val="000000"/>
                <w:szCs w:val="18"/>
              </w:rPr>
              <w:t xml:space="preserve"> regio Twente</w:t>
            </w:r>
          </w:p>
        </w:tc>
        <w:tc>
          <w:tcPr>
            <w:tcW w:w="0" w:type="auto"/>
            <w:noWrap/>
            <w:vAlign w:val="bottom"/>
          </w:tcPr>
          <w:p w:rsidRPr="00441004" w:rsidR="00690BF8" w:rsidP="00DA778D" w:rsidRDefault="00690BF8" w14:paraId="1AF5B35A" w14:textId="77777777">
            <w:pPr>
              <w:suppressAutoHyphens/>
              <w:spacing w:line="276" w:lineRule="auto"/>
              <w:rPr>
                <w:b/>
                <w:bCs/>
                <w:color w:val="000000"/>
                <w:szCs w:val="18"/>
              </w:rPr>
            </w:pPr>
            <w:r w:rsidRPr="007E04FD">
              <w:rPr>
                <w:color w:val="000000"/>
                <w:szCs w:val="18"/>
              </w:rPr>
              <w:t>8.622</w:t>
            </w:r>
          </w:p>
        </w:tc>
        <w:tc>
          <w:tcPr>
            <w:tcW w:w="0" w:type="auto"/>
            <w:noWrap/>
            <w:vAlign w:val="bottom"/>
          </w:tcPr>
          <w:p w:rsidRPr="00441004" w:rsidR="00690BF8" w:rsidP="00DA778D" w:rsidRDefault="00690BF8" w14:paraId="5EEE4E2C" w14:textId="77777777">
            <w:pPr>
              <w:suppressAutoHyphens/>
              <w:spacing w:line="276" w:lineRule="auto"/>
              <w:rPr>
                <w:b/>
                <w:bCs/>
                <w:color w:val="000000"/>
                <w:szCs w:val="18"/>
              </w:rPr>
            </w:pPr>
            <w:r w:rsidRPr="007E04FD">
              <w:rPr>
                <w:color w:val="000000"/>
                <w:szCs w:val="18"/>
              </w:rPr>
              <w:t>8.998</w:t>
            </w:r>
          </w:p>
        </w:tc>
        <w:tc>
          <w:tcPr>
            <w:tcW w:w="0" w:type="auto"/>
            <w:noWrap/>
            <w:vAlign w:val="bottom"/>
          </w:tcPr>
          <w:p w:rsidRPr="00441004" w:rsidR="00690BF8" w:rsidP="00DA778D" w:rsidRDefault="00690BF8" w14:paraId="7739DCF3" w14:textId="77777777">
            <w:pPr>
              <w:suppressAutoHyphens/>
              <w:spacing w:line="276" w:lineRule="auto"/>
              <w:rPr>
                <w:b/>
                <w:bCs/>
                <w:color w:val="000000"/>
                <w:szCs w:val="18"/>
              </w:rPr>
            </w:pPr>
            <w:r w:rsidRPr="007E04FD">
              <w:rPr>
                <w:color w:val="000000"/>
                <w:szCs w:val="18"/>
              </w:rPr>
              <w:t>10.706</w:t>
            </w:r>
          </w:p>
        </w:tc>
        <w:tc>
          <w:tcPr>
            <w:tcW w:w="0" w:type="auto"/>
            <w:noWrap/>
            <w:vAlign w:val="bottom"/>
          </w:tcPr>
          <w:p w:rsidRPr="00441004" w:rsidR="00690BF8" w:rsidP="00DA778D" w:rsidRDefault="00690BF8" w14:paraId="01DE56DC" w14:textId="77777777">
            <w:pPr>
              <w:suppressAutoHyphens/>
              <w:spacing w:line="276" w:lineRule="auto"/>
              <w:rPr>
                <w:b/>
                <w:bCs/>
                <w:color w:val="000000"/>
                <w:szCs w:val="18"/>
              </w:rPr>
            </w:pPr>
            <w:r w:rsidRPr="007E04FD">
              <w:rPr>
                <w:color w:val="000000"/>
                <w:szCs w:val="18"/>
              </w:rPr>
              <w:t>12.530</w:t>
            </w:r>
          </w:p>
        </w:tc>
        <w:tc>
          <w:tcPr>
            <w:tcW w:w="0" w:type="auto"/>
            <w:noWrap/>
            <w:vAlign w:val="bottom"/>
          </w:tcPr>
          <w:p w:rsidRPr="00441004" w:rsidR="00690BF8" w:rsidP="00DA778D" w:rsidRDefault="00690BF8" w14:paraId="49B6DDB5" w14:textId="77777777">
            <w:pPr>
              <w:suppressAutoHyphens/>
              <w:spacing w:line="276" w:lineRule="auto"/>
              <w:rPr>
                <w:b/>
                <w:bCs/>
                <w:color w:val="000000"/>
                <w:szCs w:val="18"/>
              </w:rPr>
            </w:pPr>
            <w:r w:rsidRPr="007E04FD">
              <w:rPr>
                <w:color w:val="000000"/>
                <w:szCs w:val="18"/>
              </w:rPr>
              <w:t>12.715</w:t>
            </w:r>
          </w:p>
        </w:tc>
        <w:tc>
          <w:tcPr>
            <w:tcW w:w="0" w:type="auto"/>
            <w:noWrap/>
            <w:vAlign w:val="bottom"/>
          </w:tcPr>
          <w:p w:rsidRPr="00441004" w:rsidR="00690BF8" w:rsidP="00DA778D" w:rsidRDefault="00690BF8" w14:paraId="076453E8" w14:textId="77777777">
            <w:pPr>
              <w:suppressAutoHyphens/>
              <w:spacing w:line="276" w:lineRule="auto"/>
              <w:rPr>
                <w:b/>
                <w:bCs/>
                <w:color w:val="000000"/>
                <w:szCs w:val="18"/>
              </w:rPr>
            </w:pPr>
            <w:r w:rsidRPr="007E04FD">
              <w:rPr>
                <w:color w:val="000000"/>
                <w:szCs w:val="18"/>
              </w:rPr>
              <w:t>13.048</w:t>
            </w:r>
          </w:p>
        </w:tc>
      </w:tr>
      <w:tr w:rsidR="00690BF8" w:rsidTr="00DA778D" w14:paraId="792B7868" w14:textId="77777777">
        <w:trPr>
          <w:trHeight w:val="300"/>
        </w:trPr>
        <w:tc>
          <w:tcPr>
            <w:tcW w:w="0" w:type="auto"/>
            <w:vAlign w:val="bottom"/>
          </w:tcPr>
          <w:p w:rsidRPr="007E04FD" w:rsidR="00690BF8" w:rsidP="00DA778D" w:rsidRDefault="00690BF8" w14:paraId="551B1342" w14:textId="77777777">
            <w:pPr>
              <w:suppressAutoHyphens/>
              <w:spacing w:line="276" w:lineRule="auto"/>
              <w:rPr>
                <w:szCs w:val="18"/>
              </w:rPr>
            </w:pPr>
            <w:r w:rsidRPr="007E04FD">
              <w:rPr>
                <w:color w:val="000000"/>
                <w:szCs w:val="18"/>
              </w:rPr>
              <w:t>Aantal mobiele zorgconsulten (% groei t.o.v. jaar ervoor)</w:t>
            </w:r>
          </w:p>
        </w:tc>
        <w:tc>
          <w:tcPr>
            <w:tcW w:w="0" w:type="auto"/>
            <w:noWrap/>
            <w:vAlign w:val="bottom"/>
            <w:hideMark/>
          </w:tcPr>
          <w:p w:rsidRPr="00441004" w:rsidR="00690BF8" w:rsidP="00DA778D" w:rsidRDefault="00690BF8" w14:paraId="0ABEA3D8" w14:textId="77777777">
            <w:pPr>
              <w:suppressAutoHyphens/>
              <w:spacing w:line="276" w:lineRule="auto"/>
              <w:rPr>
                <w:szCs w:val="18"/>
              </w:rPr>
            </w:pPr>
          </w:p>
        </w:tc>
        <w:tc>
          <w:tcPr>
            <w:tcW w:w="0" w:type="auto"/>
            <w:noWrap/>
            <w:vAlign w:val="bottom"/>
            <w:hideMark/>
          </w:tcPr>
          <w:p w:rsidRPr="00441004" w:rsidR="00690BF8" w:rsidP="00DA778D" w:rsidRDefault="00690BF8" w14:paraId="4EA05947" w14:textId="77777777">
            <w:pPr>
              <w:suppressAutoHyphens/>
              <w:spacing w:line="276" w:lineRule="auto"/>
              <w:rPr>
                <w:color w:val="000000"/>
                <w:szCs w:val="18"/>
              </w:rPr>
            </w:pPr>
            <w:r w:rsidRPr="007E04FD">
              <w:rPr>
                <w:color w:val="000000"/>
                <w:szCs w:val="18"/>
              </w:rPr>
              <w:t>4,4%</w:t>
            </w:r>
          </w:p>
        </w:tc>
        <w:tc>
          <w:tcPr>
            <w:tcW w:w="0" w:type="auto"/>
            <w:noWrap/>
            <w:vAlign w:val="bottom"/>
            <w:hideMark/>
          </w:tcPr>
          <w:p w:rsidRPr="00441004" w:rsidR="00690BF8" w:rsidP="00DA778D" w:rsidRDefault="00690BF8" w14:paraId="788DE164" w14:textId="77777777">
            <w:pPr>
              <w:suppressAutoHyphens/>
              <w:spacing w:line="276" w:lineRule="auto"/>
              <w:rPr>
                <w:color w:val="000000"/>
                <w:szCs w:val="18"/>
              </w:rPr>
            </w:pPr>
            <w:r w:rsidRPr="007E04FD">
              <w:rPr>
                <w:color w:val="000000"/>
                <w:szCs w:val="18"/>
              </w:rPr>
              <w:t>19,0%</w:t>
            </w:r>
          </w:p>
        </w:tc>
        <w:tc>
          <w:tcPr>
            <w:tcW w:w="0" w:type="auto"/>
            <w:noWrap/>
            <w:vAlign w:val="bottom"/>
            <w:hideMark/>
          </w:tcPr>
          <w:p w:rsidRPr="00441004" w:rsidR="00690BF8" w:rsidP="00DA778D" w:rsidRDefault="00690BF8" w14:paraId="760CA90B" w14:textId="77777777">
            <w:pPr>
              <w:suppressAutoHyphens/>
              <w:spacing w:line="276" w:lineRule="auto"/>
              <w:rPr>
                <w:color w:val="000000"/>
                <w:szCs w:val="18"/>
              </w:rPr>
            </w:pPr>
            <w:r w:rsidRPr="007E04FD">
              <w:rPr>
                <w:color w:val="000000"/>
                <w:szCs w:val="18"/>
              </w:rPr>
              <w:t>17,0%</w:t>
            </w:r>
          </w:p>
        </w:tc>
        <w:tc>
          <w:tcPr>
            <w:tcW w:w="0" w:type="auto"/>
            <w:noWrap/>
            <w:vAlign w:val="bottom"/>
            <w:hideMark/>
          </w:tcPr>
          <w:p w:rsidRPr="00441004" w:rsidR="00690BF8" w:rsidP="00DA778D" w:rsidRDefault="00690BF8" w14:paraId="5EBE049A" w14:textId="77777777">
            <w:pPr>
              <w:suppressAutoHyphens/>
              <w:spacing w:line="276" w:lineRule="auto"/>
              <w:rPr>
                <w:color w:val="000000"/>
                <w:szCs w:val="18"/>
              </w:rPr>
            </w:pPr>
            <w:r w:rsidRPr="007E04FD">
              <w:rPr>
                <w:color w:val="000000"/>
                <w:szCs w:val="18"/>
              </w:rPr>
              <w:t>1,5%</w:t>
            </w:r>
          </w:p>
        </w:tc>
        <w:tc>
          <w:tcPr>
            <w:tcW w:w="0" w:type="auto"/>
            <w:noWrap/>
            <w:vAlign w:val="bottom"/>
            <w:hideMark/>
          </w:tcPr>
          <w:p w:rsidRPr="00441004" w:rsidR="00690BF8" w:rsidP="00DA778D" w:rsidRDefault="00690BF8" w14:paraId="3AC380A8" w14:textId="77777777">
            <w:pPr>
              <w:suppressAutoHyphens/>
              <w:spacing w:line="276" w:lineRule="auto"/>
              <w:rPr>
                <w:color w:val="000000"/>
                <w:szCs w:val="18"/>
              </w:rPr>
            </w:pPr>
            <w:r w:rsidRPr="007E04FD">
              <w:rPr>
                <w:color w:val="000000"/>
                <w:szCs w:val="18"/>
              </w:rPr>
              <w:t>2,6%</w:t>
            </w:r>
          </w:p>
        </w:tc>
      </w:tr>
      <w:tr w:rsidR="00690BF8" w:rsidTr="00DA778D" w14:paraId="0CA31CBC" w14:textId="77777777">
        <w:trPr>
          <w:trHeight w:val="254"/>
        </w:trPr>
        <w:tc>
          <w:tcPr>
            <w:tcW w:w="0" w:type="auto"/>
            <w:vAlign w:val="bottom"/>
          </w:tcPr>
          <w:p w:rsidR="00690BF8" w:rsidP="00DA778D" w:rsidRDefault="00690BF8" w14:paraId="13B723A6" w14:textId="77777777">
            <w:pPr>
              <w:suppressAutoHyphens/>
              <w:spacing w:line="276" w:lineRule="auto"/>
              <w:rPr>
                <w:color w:val="000000"/>
                <w:szCs w:val="18"/>
              </w:rPr>
            </w:pPr>
            <w:r>
              <w:rPr>
                <w:color w:val="000000"/>
                <w:szCs w:val="18"/>
              </w:rPr>
              <w:t>Aantal mobiele zorgconsulten</w:t>
            </w:r>
          </w:p>
          <w:p w:rsidRPr="007E04FD" w:rsidR="00690BF8" w:rsidP="00DA778D" w:rsidRDefault="00690BF8" w14:paraId="73DF4023" w14:textId="77777777">
            <w:pPr>
              <w:suppressAutoHyphens/>
              <w:spacing w:line="276" w:lineRule="auto"/>
              <w:rPr>
                <w:color w:val="000000"/>
                <w:szCs w:val="18"/>
              </w:rPr>
            </w:pPr>
            <w:r w:rsidRPr="00441004">
              <w:rPr>
                <w:color w:val="000000"/>
                <w:szCs w:val="18"/>
              </w:rPr>
              <w:t xml:space="preserve">(% </w:t>
            </w:r>
            <w:r>
              <w:rPr>
                <w:color w:val="000000"/>
                <w:szCs w:val="18"/>
              </w:rPr>
              <w:t xml:space="preserve">cumulatieve </w:t>
            </w:r>
            <w:r w:rsidRPr="00441004">
              <w:rPr>
                <w:color w:val="000000"/>
                <w:szCs w:val="18"/>
              </w:rPr>
              <w:t>groei t.o.v. 2019)</w:t>
            </w:r>
          </w:p>
        </w:tc>
        <w:tc>
          <w:tcPr>
            <w:tcW w:w="0" w:type="auto"/>
            <w:noWrap/>
            <w:vAlign w:val="bottom"/>
            <w:hideMark/>
          </w:tcPr>
          <w:p w:rsidRPr="00441004" w:rsidR="00690BF8" w:rsidP="00DA778D" w:rsidRDefault="00690BF8" w14:paraId="56AC7EB1" w14:textId="77777777">
            <w:pPr>
              <w:suppressAutoHyphens/>
              <w:spacing w:line="276" w:lineRule="auto"/>
              <w:rPr>
                <w:color w:val="000000"/>
                <w:szCs w:val="18"/>
              </w:rPr>
            </w:pPr>
          </w:p>
        </w:tc>
        <w:tc>
          <w:tcPr>
            <w:tcW w:w="0" w:type="auto"/>
            <w:noWrap/>
            <w:vAlign w:val="bottom"/>
            <w:hideMark/>
          </w:tcPr>
          <w:p w:rsidRPr="00441004" w:rsidR="00690BF8" w:rsidP="00DA778D" w:rsidRDefault="00690BF8" w14:paraId="32852F6F" w14:textId="77777777">
            <w:pPr>
              <w:suppressAutoHyphens/>
              <w:spacing w:line="276" w:lineRule="auto"/>
              <w:rPr>
                <w:color w:val="000000"/>
                <w:szCs w:val="18"/>
              </w:rPr>
            </w:pPr>
            <w:r w:rsidRPr="007E04FD">
              <w:rPr>
                <w:color w:val="000000"/>
                <w:szCs w:val="18"/>
              </w:rPr>
              <w:t>4,4%</w:t>
            </w:r>
          </w:p>
        </w:tc>
        <w:tc>
          <w:tcPr>
            <w:tcW w:w="0" w:type="auto"/>
            <w:noWrap/>
            <w:vAlign w:val="bottom"/>
            <w:hideMark/>
          </w:tcPr>
          <w:p w:rsidRPr="00441004" w:rsidR="00690BF8" w:rsidP="00DA778D" w:rsidRDefault="00690BF8" w14:paraId="3A7974B7" w14:textId="77777777">
            <w:pPr>
              <w:suppressAutoHyphens/>
              <w:spacing w:line="276" w:lineRule="auto"/>
              <w:rPr>
                <w:color w:val="000000"/>
                <w:szCs w:val="18"/>
              </w:rPr>
            </w:pPr>
            <w:r w:rsidRPr="007E04FD">
              <w:rPr>
                <w:color w:val="000000"/>
                <w:szCs w:val="18"/>
              </w:rPr>
              <w:t>24,2%</w:t>
            </w:r>
          </w:p>
        </w:tc>
        <w:tc>
          <w:tcPr>
            <w:tcW w:w="0" w:type="auto"/>
            <w:noWrap/>
            <w:vAlign w:val="bottom"/>
            <w:hideMark/>
          </w:tcPr>
          <w:p w:rsidRPr="00441004" w:rsidR="00690BF8" w:rsidP="00DA778D" w:rsidRDefault="00690BF8" w14:paraId="607F5D94" w14:textId="77777777">
            <w:pPr>
              <w:suppressAutoHyphens/>
              <w:spacing w:line="276" w:lineRule="auto"/>
              <w:rPr>
                <w:color w:val="000000"/>
                <w:szCs w:val="18"/>
              </w:rPr>
            </w:pPr>
            <w:r w:rsidRPr="007E04FD">
              <w:rPr>
                <w:color w:val="000000"/>
                <w:szCs w:val="18"/>
              </w:rPr>
              <w:t>45,3%</w:t>
            </w:r>
          </w:p>
        </w:tc>
        <w:tc>
          <w:tcPr>
            <w:tcW w:w="0" w:type="auto"/>
            <w:noWrap/>
            <w:vAlign w:val="bottom"/>
            <w:hideMark/>
          </w:tcPr>
          <w:p w:rsidRPr="00441004" w:rsidR="00690BF8" w:rsidP="00DA778D" w:rsidRDefault="00690BF8" w14:paraId="1135F373" w14:textId="77777777">
            <w:pPr>
              <w:suppressAutoHyphens/>
              <w:spacing w:line="276" w:lineRule="auto"/>
              <w:rPr>
                <w:color w:val="000000"/>
                <w:szCs w:val="18"/>
              </w:rPr>
            </w:pPr>
            <w:r w:rsidRPr="007E04FD">
              <w:rPr>
                <w:color w:val="000000"/>
                <w:szCs w:val="18"/>
              </w:rPr>
              <w:t>47,5%</w:t>
            </w:r>
          </w:p>
        </w:tc>
        <w:tc>
          <w:tcPr>
            <w:tcW w:w="0" w:type="auto"/>
            <w:noWrap/>
            <w:vAlign w:val="bottom"/>
            <w:hideMark/>
          </w:tcPr>
          <w:p w:rsidRPr="00441004" w:rsidR="00690BF8" w:rsidP="00DA778D" w:rsidRDefault="00690BF8" w14:paraId="5DC93FD8" w14:textId="77777777">
            <w:pPr>
              <w:suppressAutoHyphens/>
              <w:spacing w:line="276" w:lineRule="auto"/>
              <w:rPr>
                <w:color w:val="000000"/>
                <w:szCs w:val="18"/>
              </w:rPr>
            </w:pPr>
            <w:r w:rsidRPr="007E04FD">
              <w:rPr>
                <w:color w:val="000000"/>
                <w:szCs w:val="18"/>
              </w:rPr>
              <w:t>51,3%</w:t>
            </w:r>
          </w:p>
        </w:tc>
      </w:tr>
    </w:tbl>
    <w:p w:rsidRPr="007E04FD" w:rsidR="00690BF8" w:rsidP="00690BF8" w:rsidRDefault="00690BF8" w14:paraId="689214E9" w14:textId="77777777">
      <w:pPr>
        <w:suppressAutoHyphens/>
        <w:rPr>
          <w:szCs w:val="18"/>
        </w:rPr>
      </w:pPr>
    </w:p>
    <w:p w:rsidR="00690BF8" w:rsidP="00690BF8" w:rsidRDefault="00690BF8" w14:paraId="47392CD3" w14:textId="77777777">
      <w:pPr>
        <w:suppressAutoHyphens/>
        <w:rPr>
          <w:szCs w:val="18"/>
        </w:rPr>
      </w:pPr>
    </w:p>
    <w:p w:rsidR="00690BF8" w:rsidP="00690BF8" w:rsidRDefault="00690BF8" w14:paraId="77796FFE" w14:textId="77777777">
      <w:pPr>
        <w:suppressAutoHyphens/>
        <w:rPr>
          <w:szCs w:val="18"/>
        </w:rPr>
      </w:pPr>
    </w:p>
    <w:p w:rsidRPr="007F6C22" w:rsidR="00690BF8" w:rsidP="00690BF8" w:rsidRDefault="00690BF8" w14:paraId="08CA5F35" w14:textId="77777777">
      <w:pPr>
        <w:suppressAutoHyphens/>
        <w:rPr>
          <w:szCs w:val="18"/>
        </w:rPr>
      </w:pPr>
      <w:r w:rsidRPr="007F6C22">
        <w:rPr>
          <w:szCs w:val="18"/>
        </w:rPr>
        <w:t>Vraag 4</w:t>
      </w:r>
    </w:p>
    <w:p w:rsidRPr="007F6C22" w:rsidR="00690BF8" w:rsidP="00690BF8" w:rsidRDefault="00690BF8" w14:paraId="56B33883" w14:textId="77777777">
      <w:pPr>
        <w:suppressAutoHyphens/>
        <w:rPr>
          <w:szCs w:val="18"/>
        </w:rPr>
      </w:pPr>
      <w:r w:rsidRPr="007F6C22">
        <w:rPr>
          <w:szCs w:val="18"/>
        </w:rPr>
        <w:t>Hoe verklaart u deze plotseling sterke toename van het aantal zorgconsulten sinds 2021?</w:t>
      </w:r>
    </w:p>
    <w:p w:rsidRPr="007F6C22" w:rsidR="00690BF8" w:rsidP="00690BF8" w:rsidRDefault="00690BF8" w14:paraId="348BE5A3" w14:textId="77777777">
      <w:pPr>
        <w:suppressAutoHyphens/>
        <w:rPr>
          <w:szCs w:val="18"/>
        </w:rPr>
      </w:pPr>
    </w:p>
    <w:p w:rsidRPr="007F6C22" w:rsidR="00690BF8" w:rsidP="00690BF8" w:rsidRDefault="00690BF8" w14:paraId="75F57534" w14:textId="77777777">
      <w:pPr>
        <w:suppressAutoHyphens/>
        <w:rPr>
          <w:szCs w:val="18"/>
        </w:rPr>
      </w:pPr>
      <w:r w:rsidRPr="007F6C22">
        <w:rPr>
          <w:szCs w:val="18"/>
        </w:rPr>
        <w:t>Antwoord 4</w:t>
      </w:r>
    </w:p>
    <w:p w:rsidRPr="007E04FD" w:rsidR="00690BF8" w:rsidP="00690BF8" w:rsidRDefault="00690BF8" w14:paraId="649E47AC" w14:textId="77777777">
      <w:pPr>
        <w:suppressAutoHyphens/>
        <w:rPr>
          <w:szCs w:val="18"/>
        </w:rPr>
      </w:pPr>
      <w:r w:rsidRPr="007E04FD">
        <w:rPr>
          <w:szCs w:val="18"/>
        </w:rPr>
        <w:t xml:space="preserve">In de rest van Nederland is deze stijging </w:t>
      </w:r>
      <w:r>
        <w:rPr>
          <w:szCs w:val="18"/>
        </w:rPr>
        <w:t xml:space="preserve">ook </w:t>
      </w:r>
      <w:r w:rsidRPr="007E04FD">
        <w:rPr>
          <w:szCs w:val="18"/>
        </w:rPr>
        <w:t>te zien in 2021</w:t>
      </w:r>
      <w:r>
        <w:rPr>
          <w:szCs w:val="18"/>
        </w:rPr>
        <w:t xml:space="preserve"> en 2022. Dit gaat dus om een landelijke trend waarop </w:t>
      </w:r>
      <w:r w:rsidRPr="007E04FD">
        <w:rPr>
          <w:szCs w:val="18"/>
        </w:rPr>
        <w:t xml:space="preserve">de regio Twente geen uitzondering </w:t>
      </w:r>
      <w:r>
        <w:rPr>
          <w:szCs w:val="18"/>
        </w:rPr>
        <w:t>vormt</w:t>
      </w:r>
      <w:r w:rsidRPr="007E04FD">
        <w:rPr>
          <w:szCs w:val="18"/>
        </w:rPr>
        <w:t>. In onderstaande tabel is het overzicht te zien van het aantal mobiele zorgconsulten in Nederland.</w:t>
      </w:r>
      <w:r>
        <w:rPr>
          <w:szCs w:val="18"/>
        </w:rPr>
        <w:t xml:space="preserve"> Over deze landelijke ontwikkeling heb ik recent verslag gedaan in de Kamerbrief acute zorg d.d. 15 september 2025.</w:t>
      </w:r>
      <w:r>
        <w:rPr>
          <w:rStyle w:val="Voetnootmarkering"/>
          <w:szCs w:val="18"/>
        </w:rPr>
        <w:footnoteReference w:id="1"/>
      </w:r>
    </w:p>
    <w:p w:rsidRPr="007E04FD" w:rsidR="00690BF8" w:rsidP="00690BF8" w:rsidRDefault="00690BF8" w14:paraId="27306E06" w14:textId="77777777">
      <w:pPr>
        <w:suppressAutoHyphens/>
        <w:rPr>
          <w:szCs w:val="18"/>
        </w:rPr>
      </w:pPr>
    </w:p>
    <w:p w:rsidRPr="005048A0" w:rsidR="00690BF8" w:rsidP="00690BF8" w:rsidRDefault="00690BF8" w14:paraId="07F99C2C" w14:textId="77777777">
      <w:pPr>
        <w:pStyle w:val="Bijschrift"/>
        <w:keepNext/>
        <w:suppressAutoHyphens/>
        <w:rPr>
          <w:b w:val="0"/>
          <w:bCs/>
          <w:i/>
          <w:iCs/>
          <w:szCs w:val="18"/>
        </w:rPr>
      </w:pPr>
      <w:r w:rsidRPr="005048A0">
        <w:rPr>
          <w:b w:val="0"/>
          <w:bCs/>
          <w:i/>
          <w:iCs/>
          <w:szCs w:val="18"/>
        </w:rPr>
        <w:t xml:space="preserve">Tabel </w:t>
      </w:r>
      <w:r>
        <w:rPr>
          <w:b w:val="0"/>
          <w:bCs/>
          <w:i/>
          <w:iCs/>
          <w:szCs w:val="18"/>
        </w:rPr>
        <w:t>3</w:t>
      </w:r>
      <w:r w:rsidRPr="005048A0">
        <w:rPr>
          <w:b w:val="0"/>
          <w:bCs/>
          <w:i/>
          <w:iCs/>
          <w:szCs w:val="18"/>
        </w:rPr>
        <w:t>: Overzicht van mobiele zorgconsulten in Nederland</w:t>
      </w:r>
    </w:p>
    <w:tbl>
      <w:tblPr>
        <w:tblStyle w:val="Tabelraster"/>
        <w:tblW w:w="0" w:type="auto"/>
        <w:tblLook w:val="04A0" w:firstRow="1" w:lastRow="0" w:firstColumn="1" w:lastColumn="0" w:noHBand="0" w:noVBand="1"/>
      </w:tblPr>
      <w:tblGrid>
        <w:gridCol w:w="2328"/>
        <w:gridCol w:w="866"/>
        <w:gridCol w:w="866"/>
        <w:gridCol w:w="866"/>
        <w:gridCol w:w="866"/>
        <w:gridCol w:w="866"/>
        <w:gridCol w:w="866"/>
      </w:tblGrid>
      <w:tr w:rsidR="00690BF8" w:rsidTr="00DA778D" w14:paraId="3135C552" w14:textId="77777777">
        <w:tc>
          <w:tcPr>
            <w:tcW w:w="0" w:type="auto"/>
          </w:tcPr>
          <w:p w:rsidRPr="007E04FD" w:rsidR="00690BF8" w:rsidP="00DA778D" w:rsidRDefault="00690BF8" w14:paraId="0DE8FC1C" w14:textId="77777777">
            <w:pPr>
              <w:suppressAutoHyphens/>
              <w:spacing w:line="276" w:lineRule="auto"/>
              <w:rPr>
                <w:b/>
                <w:bCs/>
                <w:color w:val="000000"/>
                <w:szCs w:val="18"/>
              </w:rPr>
            </w:pPr>
          </w:p>
        </w:tc>
        <w:tc>
          <w:tcPr>
            <w:tcW w:w="0" w:type="auto"/>
          </w:tcPr>
          <w:p w:rsidRPr="007E04FD" w:rsidR="00690BF8" w:rsidP="00DA778D" w:rsidRDefault="00690BF8" w14:paraId="3E1C7385" w14:textId="77777777">
            <w:pPr>
              <w:suppressAutoHyphens/>
              <w:spacing w:line="276" w:lineRule="auto"/>
              <w:rPr>
                <w:szCs w:val="18"/>
              </w:rPr>
            </w:pPr>
            <w:r w:rsidRPr="00441004">
              <w:rPr>
                <w:b/>
                <w:bCs/>
                <w:color w:val="000000"/>
                <w:szCs w:val="18"/>
              </w:rPr>
              <w:t>2019</w:t>
            </w:r>
          </w:p>
        </w:tc>
        <w:tc>
          <w:tcPr>
            <w:tcW w:w="0" w:type="auto"/>
          </w:tcPr>
          <w:p w:rsidRPr="007E04FD" w:rsidR="00690BF8" w:rsidP="00DA778D" w:rsidRDefault="00690BF8" w14:paraId="64889BBE" w14:textId="77777777">
            <w:pPr>
              <w:suppressAutoHyphens/>
              <w:spacing w:line="276" w:lineRule="auto"/>
              <w:rPr>
                <w:szCs w:val="18"/>
              </w:rPr>
            </w:pPr>
            <w:r w:rsidRPr="00441004">
              <w:rPr>
                <w:b/>
                <w:bCs/>
                <w:color w:val="000000"/>
                <w:szCs w:val="18"/>
              </w:rPr>
              <w:t>2020</w:t>
            </w:r>
          </w:p>
        </w:tc>
        <w:tc>
          <w:tcPr>
            <w:tcW w:w="0" w:type="auto"/>
          </w:tcPr>
          <w:p w:rsidRPr="007E04FD" w:rsidR="00690BF8" w:rsidP="00DA778D" w:rsidRDefault="00690BF8" w14:paraId="67CBAD79" w14:textId="77777777">
            <w:pPr>
              <w:suppressAutoHyphens/>
              <w:spacing w:line="276" w:lineRule="auto"/>
              <w:rPr>
                <w:szCs w:val="18"/>
              </w:rPr>
            </w:pPr>
            <w:r w:rsidRPr="00441004">
              <w:rPr>
                <w:b/>
                <w:bCs/>
                <w:color w:val="000000"/>
                <w:szCs w:val="18"/>
              </w:rPr>
              <w:t>2021</w:t>
            </w:r>
          </w:p>
        </w:tc>
        <w:tc>
          <w:tcPr>
            <w:tcW w:w="0" w:type="auto"/>
          </w:tcPr>
          <w:p w:rsidRPr="007E04FD" w:rsidR="00690BF8" w:rsidP="00DA778D" w:rsidRDefault="00690BF8" w14:paraId="0BCAF8EA" w14:textId="77777777">
            <w:pPr>
              <w:suppressAutoHyphens/>
              <w:spacing w:line="276" w:lineRule="auto"/>
              <w:rPr>
                <w:szCs w:val="18"/>
              </w:rPr>
            </w:pPr>
            <w:r w:rsidRPr="00441004">
              <w:rPr>
                <w:b/>
                <w:bCs/>
                <w:color w:val="000000"/>
                <w:szCs w:val="18"/>
              </w:rPr>
              <w:t>2022</w:t>
            </w:r>
          </w:p>
        </w:tc>
        <w:tc>
          <w:tcPr>
            <w:tcW w:w="0" w:type="auto"/>
          </w:tcPr>
          <w:p w:rsidRPr="007E04FD" w:rsidR="00690BF8" w:rsidP="00DA778D" w:rsidRDefault="00690BF8" w14:paraId="04BBE973" w14:textId="77777777">
            <w:pPr>
              <w:suppressAutoHyphens/>
              <w:spacing w:line="276" w:lineRule="auto"/>
              <w:rPr>
                <w:szCs w:val="18"/>
              </w:rPr>
            </w:pPr>
            <w:r w:rsidRPr="00441004">
              <w:rPr>
                <w:b/>
                <w:bCs/>
                <w:color w:val="000000"/>
                <w:szCs w:val="18"/>
              </w:rPr>
              <w:t>2023</w:t>
            </w:r>
          </w:p>
        </w:tc>
        <w:tc>
          <w:tcPr>
            <w:tcW w:w="0" w:type="auto"/>
          </w:tcPr>
          <w:p w:rsidRPr="007E04FD" w:rsidR="00690BF8" w:rsidP="00DA778D" w:rsidRDefault="00690BF8" w14:paraId="37F79C59" w14:textId="77777777">
            <w:pPr>
              <w:suppressAutoHyphens/>
              <w:spacing w:line="276" w:lineRule="auto"/>
              <w:rPr>
                <w:szCs w:val="18"/>
              </w:rPr>
            </w:pPr>
            <w:r w:rsidRPr="00441004">
              <w:rPr>
                <w:b/>
                <w:bCs/>
                <w:color w:val="000000"/>
                <w:szCs w:val="18"/>
              </w:rPr>
              <w:t>2024</w:t>
            </w:r>
          </w:p>
        </w:tc>
      </w:tr>
      <w:tr w:rsidR="00690BF8" w:rsidTr="00DA778D" w14:paraId="353ABB68" w14:textId="77777777">
        <w:trPr>
          <w:trHeight w:val="300"/>
        </w:trPr>
        <w:tc>
          <w:tcPr>
            <w:tcW w:w="0" w:type="auto"/>
            <w:vAlign w:val="bottom"/>
          </w:tcPr>
          <w:p w:rsidRPr="007E04FD" w:rsidR="00690BF8" w:rsidP="00DA778D" w:rsidRDefault="00690BF8" w14:paraId="76DF9D19" w14:textId="77777777">
            <w:pPr>
              <w:suppressAutoHyphens/>
              <w:spacing w:line="276" w:lineRule="auto"/>
              <w:rPr>
                <w:color w:val="000000"/>
                <w:szCs w:val="18"/>
              </w:rPr>
            </w:pPr>
            <w:r w:rsidRPr="007E04FD">
              <w:rPr>
                <w:b/>
                <w:bCs/>
                <w:color w:val="000000"/>
                <w:szCs w:val="18"/>
              </w:rPr>
              <w:t>Aantal mobiele zorgconsulten</w:t>
            </w:r>
            <w:r>
              <w:rPr>
                <w:b/>
                <w:bCs/>
                <w:color w:val="000000"/>
                <w:szCs w:val="18"/>
              </w:rPr>
              <w:t xml:space="preserve"> Nederland</w:t>
            </w:r>
          </w:p>
        </w:tc>
        <w:tc>
          <w:tcPr>
            <w:tcW w:w="0" w:type="auto"/>
            <w:noWrap/>
            <w:vAlign w:val="bottom"/>
          </w:tcPr>
          <w:p w:rsidRPr="00441004" w:rsidR="00690BF8" w:rsidP="00DA778D" w:rsidRDefault="00690BF8" w14:paraId="7B9ABEC4" w14:textId="77777777">
            <w:pPr>
              <w:suppressAutoHyphens/>
              <w:spacing w:line="276" w:lineRule="auto"/>
              <w:rPr>
                <w:b/>
                <w:bCs/>
                <w:color w:val="000000"/>
                <w:szCs w:val="18"/>
              </w:rPr>
            </w:pPr>
            <w:r w:rsidRPr="007E04FD">
              <w:rPr>
                <w:color w:val="000000"/>
                <w:szCs w:val="18"/>
              </w:rPr>
              <w:t>303.822</w:t>
            </w:r>
          </w:p>
        </w:tc>
        <w:tc>
          <w:tcPr>
            <w:tcW w:w="0" w:type="auto"/>
            <w:noWrap/>
            <w:vAlign w:val="bottom"/>
          </w:tcPr>
          <w:p w:rsidRPr="00441004" w:rsidR="00690BF8" w:rsidP="00DA778D" w:rsidRDefault="00690BF8" w14:paraId="7A955A9D" w14:textId="77777777">
            <w:pPr>
              <w:suppressAutoHyphens/>
              <w:spacing w:line="276" w:lineRule="auto"/>
              <w:rPr>
                <w:b/>
                <w:bCs/>
                <w:color w:val="000000"/>
                <w:szCs w:val="18"/>
              </w:rPr>
            </w:pPr>
            <w:r w:rsidRPr="007E04FD">
              <w:rPr>
                <w:color w:val="000000"/>
                <w:szCs w:val="18"/>
              </w:rPr>
              <w:t>301.015</w:t>
            </w:r>
          </w:p>
        </w:tc>
        <w:tc>
          <w:tcPr>
            <w:tcW w:w="0" w:type="auto"/>
            <w:noWrap/>
            <w:vAlign w:val="bottom"/>
          </w:tcPr>
          <w:p w:rsidRPr="00441004" w:rsidR="00690BF8" w:rsidP="00DA778D" w:rsidRDefault="00690BF8" w14:paraId="4EC22B26" w14:textId="77777777">
            <w:pPr>
              <w:suppressAutoHyphens/>
              <w:spacing w:line="276" w:lineRule="auto"/>
              <w:rPr>
                <w:b/>
                <w:bCs/>
                <w:color w:val="000000"/>
                <w:szCs w:val="18"/>
              </w:rPr>
            </w:pPr>
            <w:r w:rsidRPr="007E04FD">
              <w:rPr>
                <w:color w:val="000000"/>
                <w:szCs w:val="18"/>
              </w:rPr>
              <w:t>336.691</w:t>
            </w:r>
          </w:p>
        </w:tc>
        <w:tc>
          <w:tcPr>
            <w:tcW w:w="0" w:type="auto"/>
            <w:noWrap/>
            <w:vAlign w:val="bottom"/>
          </w:tcPr>
          <w:p w:rsidRPr="00441004" w:rsidR="00690BF8" w:rsidP="00DA778D" w:rsidRDefault="00690BF8" w14:paraId="09FE4339" w14:textId="77777777">
            <w:pPr>
              <w:suppressAutoHyphens/>
              <w:spacing w:line="276" w:lineRule="auto"/>
              <w:rPr>
                <w:b/>
                <w:bCs/>
                <w:color w:val="000000"/>
                <w:szCs w:val="18"/>
              </w:rPr>
            </w:pPr>
            <w:r w:rsidRPr="007E04FD">
              <w:rPr>
                <w:color w:val="000000"/>
                <w:szCs w:val="18"/>
              </w:rPr>
              <w:t>388.797</w:t>
            </w:r>
          </w:p>
        </w:tc>
        <w:tc>
          <w:tcPr>
            <w:tcW w:w="0" w:type="auto"/>
            <w:noWrap/>
            <w:vAlign w:val="bottom"/>
          </w:tcPr>
          <w:p w:rsidRPr="00441004" w:rsidR="00690BF8" w:rsidP="00DA778D" w:rsidRDefault="00690BF8" w14:paraId="7A65A331" w14:textId="77777777">
            <w:pPr>
              <w:suppressAutoHyphens/>
              <w:spacing w:line="276" w:lineRule="auto"/>
              <w:rPr>
                <w:b/>
                <w:bCs/>
                <w:color w:val="000000"/>
                <w:szCs w:val="18"/>
              </w:rPr>
            </w:pPr>
            <w:r w:rsidRPr="007E04FD">
              <w:rPr>
                <w:color w:val="000000"/>
                <w:szCs w:val="18"/>
              </w:rPr>
              <w:t>393.368</w:t>
            </w:r>
          </w:p>
        </w:tc>
        <w:tc>
          <w:tcPr>
            <w:tcW w:w="0" w:type="auto"/>
            <w:noWrap/>
            <w:vAlign w:val="bottom"/>
          </w:tcPr>
          <w:p w:rsidRPr="00441004" w:rsidR="00690BF8" w:rsidP="00DA778D" w:rsidRDefault="00690BF8" w14:paraId="28328590" w14:textId="77777777">
            <w:pPr>
              <w:suppressAutoHyphens/>
              <w:spacing w:line="276" w:lineRule="auto"/>
              <w:rPr>
                <w:b/>
                <w:bCs/>
                <w:color w:val="000000"/>
                <w:szCs w:val="18"/>
              </w:rPr>
            </w:pPr>
            <w:r w:rsidRPr="007E04FD">
              <w:rPr>
                <w:color w:val="000000"/>
                <w:szCs w:val="18"/>
              </w:rPr>
              <w:t>417.204</w:t>
            </w:r>
          </w:p>
        </w:tc>
      </w:tr>
      <w:tr w:rsidR="00690BF8" w:rsidTr="00DA778D" w14:paraId="155CDD20" w14:textId="77777777">
        <w:trPr>
          <w:trHeight w:val="300"/>
        </w:trPr>
        <w:tc>
          <w:tcPr>
            <w:tcW w:w="0" w:type="auto"/>
            <w:vAlign w:val="bottom"/>
          </w:tcPr>
          <w:p w:rsidRPr="007E04FD" w:rsidR="00690BF8" w:rsidP="00DA778D" w:rsidRDefault="00690BF8" w14:paraId="2934534F" w14:textId="77777777">
            <w:pPr>
              <w:suppressAutoHyphens/>
              <w:spacing w:line="276" w:lineRule="auto"/>
              <w:rPr>
                <w:szCs w:val="18"/>
              </w:rPr>
            </w:pPr>
            <w:r w:rsidRPr="007E04FD">
              <w:rPr>
                <w:color w:val="000000"/>
                <w:szCs w:val="18"/>
              </w:rPr>
              <w:t>Aantal mobiele zorgconsulten (% groei t.o.v. jaar ervoor)</w:t>
            </w:r>
          </w:p>
        </w:tc>
        <w:tc>
          <w:tcPr>
            <w:tcW w:w="0" w:type="auto"/>
            <w:noWrap/>
            <w:vAlign w:val="bottom"/>
            <w:hideMark/>
          </w:tcPr>
          <w:p w:rsidRPr="00441004" w:rsidR="00690BF8" w:rsidP="00DA778D" w:rsidRDefault="00690BF8" w14:paraId="576CBEF6" w14:textId="77777777">
            <w:pPr>
              <w:suppressAutoHyphens/>
              <w:spacing w:line="276" w:lineRule="auto"/>
              <w:rPr>
                <w:szCs w:val="18"/>
              </w:rPr>
            </w:pPr>
          </w:p>
        </w:tc>
        <w:tc>
          <w:tcPr>
            <w:tcW w:w="0" w:type="auto"/>
            <w:noWrap/>
            <w:vAlign w:val="bottom"/>
            <w:hideMark/>
          </w:tcPr>
          <w:p w:rsidRPr="00441004" w:rsidR="00690BF8" w:rsidP="00DA778D" w:rsidRDefault="00690BF8" w14:paraId="01E6C53A" w14:textId="77777777">
            <w:pPr>
              <w:suppressAutoHyphens/>
              <w:spacing w:line="276" w:lineRule="auto"/>
              <w:rPr>
                <w:color w:val="000000"/>
                <w:szCs w:val="18"/>
              </w:rPr>
            </w:pPr>
            <w:r w:rsidRPr="007E04FD">
              <w:rPr>
                <w:color w:val="000000"/>
                <w:szCs w:val="18"/>
              </w:rPr>
              <w:t>-0,9%</w:t>
            </w:r>
          </w:p>
        </w:tc>
        <w:tc>
          <w:tcPr>
            <w:tcW w:w="0" w:type="auto"/>
            <w:noWrap/>
            <w:vAlign w:val="bottom"/>
            <w:hideMark/>
          </w:tcPr>
          <w:p w:rsidRPr="00441004" w:rsidR="00690BF8" w:rsidP="00DA778D" w:rsidRDefault="00690BF8" w14:paraId="0D28FE17" w14:textId="77777777">
            <w:pPr>
              <w:suppressAutoHyphens/>
              <w:spacing w:line="276" w:lineRule="auto"/>
              <w:rPr>
                <w:color w:val="000000"/>
                <w:szCs w:val="18"/>
              </w:rPr>
            </w:pPr>
            <w:r w:rsidRPr="007E04FD">
              <w:rPr>
                <w:color w:val="000000"/>
                <w:szCs w:val="18"/>
              </w:rPr>
              <w:t>11,9%</w:t>
            </w:r>
          </w:p>
        </w:tc>
        <w:tc>
          <w:tcPr>
            <w:tcW w:w="0" w:type="auto"/>
            <w:noWrap/>
            <w:vAlign w:val="bottom"/>
            <w:hideMark/>
          </w:tcPr>
          <w:p w:rsidRPr="00441004" w:rsidR="00690BF8" w:rsidP="00DA778D" w:rsidRDefault="00690BF8" w14:paraId="78A87ECA" w14:textId="77777777">
            <w:pPr>
              <w:suppressAutoHyphens/>
              <w:spacing w:line="276" w:lineRule="auto"/>
              <w:rPr>
                <w:color w:val="000000"/>
                <w:szCs w:val="18"/>
              </w:rPr>
            </w:pPr>
            <w:r w:rsidRPr="007E04FD">
              <w:rPr>
                <w:color w:val="000000"/>
                <w:szCs w:val="18"/>
              </w:rPr>
              <w:t>15,5%</w:t>
            </w:r>
          </w:p>
        </w:tc>
        <w:tc>
          <w:tcPr>
            <w:tcW w:w="0" w:type="auto"/>
            <w:noWrap/>
            <w:vAlign w:val="bottom"/>
            <w:hideMark/>
          </w:tcPr>
          <w:p w:rsidRPr="00441004" w:rsidR="00690BF8" w:rsidP="00DA778D" w:rsidRDefault="00690BF8" w14:paraId="7314F252" w14:textId="77777777">
            <w:pPr>
              <w:suppressAutoHyphens/>
              <w:spacing w:line="276" w:lineRule="auto"/>
              <w:rPr>
                <w:color w:val="000000"/>
                <w:szCs w:val="18"/>
              </w:rPr>
            </w:pPr>
            <w:r w:rsidRPr="007E04FD">
              <w:rPr>
                <w:color w:val="000000"/>
                <w:szCs w:val="18"/>
              </w:rPr>
              <w:t>1,2%</w:t>
            </w:r>
          </w:p>
        </w:tc>
        <w:tc>
          <w:tcPr>
            <w:tcW w:w="0" w:type="auto"/>
            <w:noWrap/>
            <w:vAlign w:val="bottom"/>
            <w:hideMark/>
          </w:tcPr>
          <w:p w:rsidRPr="00441004" w:rsidR="00690BF8" w:rsidP="00DA778D" w:rsidRDefault="00690BF8" w14:paraId="05A13AE3" w14:textId="77777777">
            <w:pPr>
              <w:suppressAutoHyphens/>
              <w:spacing w:line="276" w:lineRule="auto"/>
              <w:rPr>
                <w:color w:val="000000"/>
                <w:szCs w:val="18"/>
              </w:rPr>
            </w:pPr>
            <w:r w:rsidRPr="007E04FD">
              <w:rPr>
                <w:color w:val="000000"/>
                <w:szCs w:val="18"/>
              </w:rPr>
              <w:t>6,1%</w:t>
            </w:r>
          </w:p>
        </w:tc>
      </w:tr>
      <w:tr w:rsidR="00690BF8" w:rsidTr="00DA778D" w14:paraId="5B3B810E" w14:textId="77777777">
        <w:trPr>
          <w:trHeight w:val="300"/>
        </w:trPr>
        <w:tc>
          <w:tcPr>
            <w:tcW w:w="0" w:type="auto"/>
            <w:vAlign w:val="bottom"/>
          </w:tcPr>
          <w:p w:rsidR="00690BF8" w:rsidP="00DA778D" w:rsidRDefault="00690BF8" w14:paraId="269BD31E" w14:textId="77777777">
            <w:pPr>
              <w:suppressAutoHyphens/>
              <w:spacing w:line="276" w:lineRule="auto"/>
              <w:rPr>
                <w:color w:val="000000"/>
                <w:szCs w:val="18"/>
              </w:rPr>
            </w:pPr>
            <w:r>
              <w:rPr>
                <w:color w:val="000000"/>
                <w:szCs w:val="18"/>
              </w:rPr>
              <w:t>Aantal mobiele zorgconsulten</w:t>
            </w:r>
          </w:p>
          <w:p w:rsidRPr="007E04FD" w:rsidR="00690BF8" w:rsidP="00DA778D" w:rsidRDefault="00690BF8" w14:paraId="42FEEC1B" w14:textId="77777777">
            <w:pPr>
              <w:suppressAutoHyphens/>
              <w:spacing w:line="276" w:lineRule="auto"/>
              <w:rPr>
                <w:color w:val="000000"/>
                <w:szCs w:val="18"/>
              </w:rPr>
            </w:pPr>
            <w:r w:rsidRPr="00441004">
              <w:rPr>
                <w:color w:val="000000"/>
                <w:szCs w:val="18"/>
              </w:rPr>
              <w:t xml:space="preserve">(% </w:t>
            </w:r>
            <w:r>
              <w:rPr>
                <w:color w:val="000000"/>
                <w:szCs w:val="18"/>
              </w:rPr>
              <w:t xml:space="preserve">cumulatieve </w:t>
            </w:r>
            <w:r w:rsidRPr="00441004">
              <w:rPr>
                <w:color w:val="000000"/>
                <w:szCs w:val="18"/>
              </w:rPr>
              <w:t>groei t.o.v. 2019)</w:t>
            </w:r>
          </w:p>
        </w:tc>
        <w:tc>
          <w:tcPr>
            <w:tcW w:w="0" w:type="auto"/>
            <w:noWrap/>
            <w:vAlign w:val="bottom"/>
            <w:hideMark/>
          </w:tcPr>
          <w:p w:rsidRPr="00441004" w:rsidR="00690BF8" w:rsidP="00DA778D" w:rsidRDefault="00690BF8" w14:paraId="48B4A937" w14:textId="77777777">
            <w:pPr>
              <w:suppressAutoHyphens/>
              <w:spacing w:line="276" w:lineRule="auto"/>
              <w:rPr>
                <w:color w:val="000000"/>
                <w:szCs w:val="18"/>
              </w:rPr>
            </w:pPr>
          </w:p>
        </w:tc>
        <w:tc>
          <w:tcPr>
            <w:tcW w:w="0" w:type="auto"/>
            <w:noWrap/>
            <w:vAlign w:val="bottom"/>
            <w:hideMark/>
          </w:tcPr>
          <w:p w:rsidRPr="00441004" w:rsidR="00690BF8" w:rsidP="00DA778D" w:rsidRDefault="00690BF8" w14:paraId="55CC81EA" w14:textId="77777777">
            <w:pPr>
              <w:suppressAutoHyphens/>
              <w:spacing w:line="276" w:lineRule="auto"/>
              <w:rPr>
                <w:color w:val="000000"/>
                <w:szCs w:val="18"/>
              </w:rPr>
            </w:pPr>
            <w:r w:rsidRPr="007E04FD">
              <w:rPr>
                <w:color w:val="000000"/>
                <w:szCs w:val="18"/>
              </w:rPr>
              <w:t>-0,9%</w:t>
            </w:r>
          </w:p>
        </w:tc>
        <w:tc>
          <w:tcPr>
            <w:tcW w:w="0" w:type="auto"/>
            <w:noWrap/>
            <w:vAlign w:val="bottom"/>
            <w:hideMark/>
          </w:tcPr>
          <w:p w:rsidRPr="00441004" w:rsidR="00690BF8" w:rsidP="00DA778D" w:rsidRDefault="00690BF8" w14:paraId="21A0CD2B" w14:textId="77777777">
            <w:pPr>
              <w:suppressAutoHyphens/>
              <w:spacing w:line="276" w:lineRule="auto"/>
              <w:rPr>
                <w:color w:val="000000"/>
                <w:szCs w:val="18"/>
              </w:rPr>
            </w:pPr>
            <w:r w:rsidRPr="007E04FD">
              <w:rPr>
                <w:color w:val="000000"/>
                <w:szCs w:val="18"/>
              </w:rPr>
              <w:t>10,8%</w:t>
            </w:r>
          </w:p>
        </w:tc>
        <w:tc>
          <w:tcPr>
            <w:tcW w:w="0" w:type="auto"/>
            <w:noWrap/>
            <w:vAlign w:val="bottom"/>
            <w:hideMark/>
          </w:tcPr>
          <w:p w:rsidRPr="00441004" w:rsidR="00690BF8" w:rsidP="00DA778D" w:rsidRDefault="00690BF8" w14:paraId="30EBB853" w14:textId="77777777">
            <w:pPr>
              <w:suppressAutoHyphens/>
              <w:spacing w:line="276" w:lineRule="auto"/>
              <w:rPr>
                <w:color w:val="000000"/>
                <w:szCs w:val="18"/>
              </w:rPr>
            </w:pPr>
            <w:r w:rsidRPr="007E04FD">
              <w:rPr>
                <w:color w:val="000000"/>
                <w:szCs w:val="18"/>
              </w:rPr>
              <w:t>28,0%</w:t>
            </w:r>
          </w:p>
        </w:tc>
        <w:tc>
          <w:tcPr>
            <w:tcW w:w="0" w:type="auto"/>
            <w:noWrap/>
            <w:vAlign w:val="bottom"/>
            <w:hideMark/>
          </w:tcPr>
          <w:p w:rsidRPr="00441004" w:rsidR="00690BF8" w:rsidP="00DA778D" w:rsidRDefault="00690BF8" w14:paraId="5E0B097D" w14:textId="77777777">
            <w:pPr>
              <w:suppressAutoHyphens/>
              <w:spacing w:line="276" w:lineRule="auto"/>
              <w:rPr>
                <w:color w:val="000000"/>
                <w:szCs w:val="18"/>
              </w:rPr>
            </w:pPr>
            <w:r w:rsidRPr="007E04FD">
              <w:rPr>
                <w:color w:val="000000"/>
                <w:szCs w:val="18"/>
              </w:rPr>
              <w:t>29,5%</w:t>
            </w:r>
          </w:p>
        </w:tc>
        <w:tc>
          <w:tcPr>
            <w:tcW w:w="0" w:type="auto"/>
            <w:noWrap/>
            <w:vAlign w:val="bottom"/>
            <w:hideMark/>
          </w:tcPr>
          <w:p w:rsidRPr="00441004" w:rsidR="00690BF8" w:rsidP="00DA778D" w:rsidRDefault="00690BF8" w14:paraId="6877E93C" w14:textId="77777777">
            <w:pPr>
              <w:suppressAutoHyphens/>
              <w:spacing w:line="276" w:lineRule="auto"/>
              <w:rPr>
                <w:color w:val="000000"/>
                <w:szCs w:val="18"/>
              </w:rPr>
            </w:pPr>
            <w:r w:rsidRPr="007E04FD">
              <w:rPr>
                <w:color w:val="000000"/>
                <w:szCs w:val="18"/>
              </w:rPr>
              <w:t>37,3%</w:t>
            </w:r>
          </w:p>
        </w:tc>
      </w:tr>
    </w:tbl>
    <w:p w:rsidR="00690BF8" w:rsidP="00690BF8" w:rsidRDefault="00690BF8" w14:paraId="14D2E342" w14:textId="77777777">
      <w:pPr>
        <w:suppressAutoHyphens/>
        <w:rPr>
          <w:szCs w:val="18"/>
        </w:rPr>
      </w:pPr>
    </w:p>
    <w:p w:rsidR="00690BF8" w:rsidP="00690BF8" w:rsidRDefault="00690BF8" w14:paraId="79652766" w14:textId="77777777">
      <w:pPr>
        <w:suppressAutoHyphens/>
        <w:rPr>
          <w:szCs w:val="18"/>
        </w:rPr>
      </w:pPr>
    </w:p>
    <w:p w:rsidR="00690BF8" w:rsidP="00690BF8" w:rsidRDefault="00690BF8" w14:paraId="38A57EBF" w14:textId="77777777">
      <w:pPr>
        <w:keepNext/>
        <w:suppressAutoHyphens/>
      </w:pPr>
      <w:r>
        <w:rPr>
          <w:noProof/>
        </w:rPr>
        <w:lastRenderedPageBreak/>
        <w:drawing>
          <wp:inline distT="0" distB="0" distL="0" distR="0" wp14:anchorId="4A0FC38F" wp14:editId="59CE2083">
            <wp:extent cx="4737600" cy="2577829"/>
            <wp:effectExtent l="0" t="0" r="6350" b="13335"/>
            <wp:docPr id="1776270213" name="Grafiek 1">
              <a:extLst xmlns:a="http://schemas.openxmlformats.org/drawingml/2006/main">
                <a:ext uri="{FF2B5EF4-FFF2-40B4-BE49-F238E27FC236}">
                  <a16:creationId xmlns:a16="http://schemas.microsoft.com/office/drawing/2014/main" id="{70544698-3C4F-4EAA-958A-C8B917325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5048A0" w:rsidR="00690BF8" w:rsidP="00690BF8" w:rsidRDefault="00690BF8" w14:paraId="3FFC479E" w14:textId="77777777">
      <w:pPr>
        <w:pStyle w:val="Bijschrift"/>
        <w:suppressAutoHyphens/>
        <w:rPr>
          <w:b w:val="0"/>
          <w:bCs/>
          <w:i/>
          <w:iCs/>
          <w:szCs w:val="18"/>
        </w:rPr>
      </w:pPr>
      <w:r w:rsidRPr="005048A0">
        <w:rPr>
          <w:b w:val="0"/>
          <w:bCs/>
          <w:i/>
          <w:iCs/>
        </w:rPr>
        <w:t xml:space="preserve">Figuur </w:t>
      </w:r>
      <w:r w:rsidRPr="005048A0">
        <w:rPr>
          <w:b w:val="0"/>
          <w:bCs/>
          <w:i/>
          <w:iCs/>
        </w:rPr>
        <w:fldChar w:fldCharType="begin"/>
      </w:r>
      <w:r w:rsidRPr="005048A0">
        <w:rPr>
          <w:b w:val="0"/>
          <w:bCs/>
          <w:i/>
          <w:iCs/>
        </w:rPr>
        <w:instrText xml:space="preserve"> SEQ Figuur \* ARABIC </w:instrText>
      </w:r>
      <w:r w:rsidRPr="005048A0">
        <w:rPr>
          <w:b w:val="0"/>
          <w:bCs/>
          <w:i/>
          <w:iCs/>
        </w:rPr>
        <w:fldChar w:fldCharType="separate"/>
      </w:r>
      <w:r>
        <w:rPr>
          <w:b w:val="0"/>
          <w:bCs/>
          <w:i/>
          <w:iCs/>
          <w:noProof/>
        </w:rPr>
        <w:t>2</w:t>
      </w:r>
      <w:r w:rsidRPr="005048A0">
        <w:rPr>
          <w:b w:val="0"/>
          <w:bCs/>
          <w:i/>
          <w:iCs/>
        </w:rPr>
        <w:fldChar w:fldCharType="end"/>
      </w:r>
      <w:r w:rsidRPr="005048A0">
        <w:rPr>
          <w:b w:val="0"/>
          <w:bCs/>
          <w:i/>
          <w:iCs/>
        </w:rPr>
        <w:t xml:space="preserve">: Groei in % </w:t>
      </w:r>
      <w:r>
        <w:rPr>
          <w:b w:val="0"/>
          <w:bCs/>
          <w:i/>
          <w:iCs/>
        </w:rPr>
        <w:t>mobiele zorgconsulten</w:t>
      </w:r>
      <w:r w:rsidRPr="005048A0">
        <w:rPr>
          <w:b w:val="0"/>
          <w:bCs/>
          <w:i/>
          <w:iCs/>
        </w:rPr>
        <w:t xml:space="preserve"> per jaar voor regio Twente en in Nederland</w:t>
      </w:r>
    </w:p>
    <w:p w:rsidR="00D41E47" w:rsidRDefault="00D41E47" w14:paraId="4C545742" w14:textId="77777777"/>
    <w:sectPr w:rsidR="00D41E47" w:rsidSect="00690BF8">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7679" w14:textId="77777777" w:rsidR="00690BF8" w:rsidRDefault="00690BF8" w:rsidP="00690BF8">
      <w:pPr>
        <w:spacing w:after="0" w:line="240" w:lineRule="auto"/>
      </w:pPr>
      <w:r>
        <w:separator/>
      </w:r>
    </w:p>
  </w:endnote>
  <w:endnote w:type="continuationSeparator" w:id="0">
    <w:p w14:paraId="0ADBD887" w14:textId="77777777" w:rsidR="00690BF8" w:rsidRDefault="00690BF8" w:rsidP="0069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9E11" w14:textId="77777777" w:rsidR="00690BF8" w:rsidRPr="00690BF8" w:rsidRDefault="00690BF8" w:rsidP="00690B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215" w14:textId="77777777" w:rsidR="00690BF8" w:rsidRPr="00690BF8" w:rsidRDefault="00690BF8" w:rsidP="00690B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1A2D" w14:textId="77777777" w:rsidR="00690BF8" w:rsidRPr="00690BF8" w:rsidRDefault="00690BF8" w:rsidP="00690B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12B7" w14:textId="77777777" w:rsidR="00690BF8" w:rsidRDefault="00690BF8" w:rsidP="00690BF8">
      <w:pPr>
        <w:spacing w:after="0" w:line="240" w:lineRule="auto"/>
      </w:pPr>
      <w:r>
        <w:separator/>
      </w:r>
    </w:p>
  </w:footnote>
  <w:footnote w:type="continuationSeparator" w:id="0">
    <w:p w14:paraId="4663B3E8" w14:textId="77777777" w:rsidR="00690BF8" w:rsidRDefault="00690BF8" w:rsidP="00690BF8">
      <w:pPr>
        <w:spacing w:after="0" w:line="240" w:lineRule="auto"/>
      </w:pPr>
      <w:r>
        <w:continuationSeparator/>
      </w:r>
    </w:p>
  </w:footnote>
  <w:footnote w:id="1">
    <w:p w14:paraId="6D94FA53" w14:textId="77777777" w:rsidR="00690BF8" w:rsidRDefault="00690BF8" w:rsidP="00690BF8">
      <w:pPr>
        <w:pStyle w:val="Voetnoottekst"/>
      </w:pPr>
      <w:r>
        <w:rPr>
          <w:rStyle w:val="Voetnootmarkering"/>
        </w:rPr>
        <w:footnoteRef/>
      </w:r>
      <w:r>
        <w:t xml:space="preserve"> </w:t>
      </w:r>
      <w:r w:rsidRPr="00777749">
        <w:rPr>
          <w:sz w:val="16"/>
          <w:szCs w:val="16"/>
        </w:rPr>
        <w:t>Kamerstukken II 2024/25, 29</w:t>
      </w:r>
      <w:r>
        <w:rPr>
          <w:sz w:val="16"/>
          <w:szCs w:val="16"/>
        </w:rPr>
        <w:t xml:space="preserve"> </w:t>
      </w:r>
      <w:r w:rsidRPr="00777749">
        <w:rPr>
          <w:sz w:val="16"/>
          <w:szCs w:val="16"/>
        </w:rPr>
        <w:t>247, nr. 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992A" w14:textId="77777777" w:rsidR="00690BF8" w:rsidRPr="00690BF8" w:rsidRDefault="00690BF8" w:rsidP="00690B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94D8" w14:textId="77777777" w:rsidR="00690BF8" w:rsidRPr="00690BF8" w:rsidRDefault="00690BF8" w:rsidP="00690B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C818" w14:textId="77777777" w:rsidR="00690BF8" w:rsidRPr="00690BF8" w:rsidRDefault="00690BF8" w:rsidP="00690B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F8"/>
    <w:rsid w:val="006639D9"/>
    <w:rsid w:val="00690BF8"/>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0211"/>
  <w15:chartTrackingRefBased/>
  <w15:docId w15:val="{619AC8FF-B9E3-4F9E-A1BC-72B1E84B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90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0B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90B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90B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90B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B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B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B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B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90B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90B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90B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90B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90B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B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B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BF8"/>
    <w:rPr>
      <w:rFonts w:eastAsiaTheme="majorEastAsia" w:cstheme="majorBidi"/>
      <w:color w:val="272727" w:themeColor="text1" w:themeTint="D8"/>
    </w:rPr>
  </w:style>
  <w:style w:type="paragraph" w:styleId="Titel">
    <w:name w:val="Title"/>
    <w:basedOn w:val="Standaard"/>
    <w:next w:val="Standaard"/>
    <w:link w:val="TitelChar"/>
    <w:uiPriority w:val="10"/>
    <w:qFormat/>
    <w:rsid w:val="00690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B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B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B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B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BF8"/>
    <w:rPr>
      <w:i/>
      <w:iCs/>
      <w:color w:val="404040" w:themeColor="text1" w:themeTint="BF"/>
    </w:rPr>
  </w:style>
  <w:style w:type="paragraph" w:styleId="Lijstalinea">
    <w:name w:val="List Paragraph"/>
    <w:basedOn w:val="Standaard"/>
    <w:uiPriority w:val="34"/>
    <w:qFormat/>
    <w:rsid w:val="00690BF8"/>
    <w:pPr>
      <w:ind w:left="720"/>
      <w:contextualSpacing/>
    </w:pPr>
  </w:style>
  <w:style w:type="character" w:styleId="Intensievebenadrukking">
    <w:name w:val="Intense Emphasis"/>
    <w:basedOn w:val="Standaardalinea-lettertype"/>
    <w:uiPriority w:val="21"/>
    <w:qFormat/>
    <w:rsid w:val="00690BF8"/>
    <w:rPr>
      <w:i/>
      <w:iCs/>
      <w:color w:val="2F5496" w:themeColor="accent1" w:themeShade="BF"/>
    </w:rPr>
  </w:style>
  <w:style w:type="paragraph" w:styleId="Duidelijkcitaat">
    <w:name w:val="Intense Quote"/>
    <w:basedOn w:val="Standaard"/>
    <w:next w:val="Standaard"/>
    <w:link w:val="DuidelijkcitaatChar"/>
    <w:uiPriority w:val="30"/>
    <w:qFormat/>
    <w:rsid w:val="00690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90BF8"/>
    <w:rPr>
      <w:i/>
      <w:iCs/>
      <w:color w:val="2F5496" w:themeColor="accent1" w:themeShade="BF"/>
    </w:rPr>
  </w:style>
  <w:style w:type="character" w:styleId="Intensieveverwijzing">
    <w:name w:val="Intense Reference"/>
    <w:basedOn w:val="Standaardalinea-lettertype"/>
    <w:uiPriority w:val="32"/>
    <w:qFormat/>
    <w:rsid w:val="00690BF8"/>
    <w:rPr>
      <w:b/>
      <w:bCs/>
      <w:smallCaps/>
      <w:color w:val="2F5496" w:themeColor="accent1" w:themeShade="BF"/>
      <w:spacing w:val="5"/>
    </w:rPr>
  </w:style>
  <w:style w:type="paragraph" w:styleId="Bijschrift">
    <w:name w:val="caption"/>
    <w:basedOn w:val="Standaard"/>
    <w:next w:val="Standaard"/>
    <w:qFormat/>
    <w:rsid w:val="00690BF8"/>
    <w:pPr>
      <w:spacing w:before="120" w:after="120" w:line="240" w:lineRule="auto"/>
    </w:pPr>
    <w:rPr>
      <w:rFonts w:ascii="Verdana" w:eastAsia="Times New Roman" w:hAnsi="Verdana" w:cs="Times New Roman"/>
      <w:b/>
      <w:kern w:val="0"/>
      <w:sz w:val="18"/>
      <w:szCs w:val="20"/>
      <w:lang w:eastAsia="nl-NL"/>
      <w14:ligatures w14:val="none"/>
    </w:rPr>
  </w:style>
  <w:style w:type="paragraph" w:styleId="Voetnoottekst">
    <w:name w:val="footnote text"/>
    <w:basedOn w:val="Standaard"/>
    <w:link w:val="VoetnoottekstChar"/>
    <w:semiHidden/>
    <w:rsid w:val="00690BF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90BF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90BF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90BF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90BF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90BF8"/>
    <w:rPr>
      <w:rFonts w:ascii="Verdana" w:eastAsia="Times New Roman" w:hAnsi="Verdana" w:cs="Times New Roman"/>
      <w:kern w:val="0"/>
      <w:sz w:val="18"/>
      <w:szCs w:val="20"/>
      <w:lang w:eastAsia="nl-NL"/>
      <w14:ligatures w14:val="none"/>
    </w:rPr>
  </w:style>
  <w:style w:type="table" w:styleId="Tabelraster">
    <w:name w:val="Table Grid"/>
    <w:basedOn w:val="Standaardtabel"/>
    <w:rsid w:val="00690BF8"/>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rsid w:val="00690B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chart" Target="charts/chart2.xml"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hart" Target="charts/chart1.xml"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VWS\CZ\Cluster%20Acute%20Zorg\Ambulancezorg\Kamervragen%20en%20-stukken\2025_12%20Kamervragen%20FvD%20Ambulance%20Oost\Ambulance%20RAV%20Twente%20versus%20Nederland%203.0%20LA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rd.shsdir.nl\orgData\VWS\CZ\Cluster%20Acute%20Zorg\Ambulancezorg\Kamervragen%20en%20-stukken\2025_12%20Kamervragen%20FvD%20Ambulance%20Oost\Ambulance%20RAV%20Twente%20versus%20Nederland%203.0%20LA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sz="900" b="1"/>
              <a:t>% groei A1-</a:t>
            </a:r>
            <a:r>
              <a:rPr lang="nl-NL" sz="900" b="1" baseline="0"/>
              <a:t> en </a:t>
            </a:r>
            <a:r>
              <a:rPr lang="nl-NL" sz="900" b="1"/>
              <a:t>A2-inzetten t.o.v. jaar ervoor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lineChart>
        <c:grouping val="standard"/>
        <c:varyColors val="0"/>
        <c:ser>
          <c:idx val="0"/>
          <c:order val="0"/>
          <c:tx>
            <c:v>Twente</c:v>
          </c:tx>
          <c:spPr>
            <a:ln w="28575" cap="rnd">
              <a:solidFill>
                <a:schemeClr val="accent1"/>
              </a:solidFill>
              <a:round/>
            </a:ln>
            <a:effectLst/>
          </c:spPr>
          <c:marker>
            <c:symbol val="none"/>
          </c:marker>
          <c:cat>
            <c:numRef>
              <c:f>Data!$C$2:$G$2</c:f>
              <c:numCache>
                <c:formatCode>General</c:formatCode>
                <c:ptCount val="5"/>
                <c:pt idx="0">
                  <c:v>2020</c:v>
                </c:pt>
                <c:pt idx="1">
                  <c:v>2021</c:v>
                </c:pt>
                <c:pt idx="2">
                  <c:v>2022</c:v>
                </c:pt>
                <c:pt idx="3">
                  <c:v>2023</c:v>
                </c:pt>
                <c:pt idx="4">
                  <c:v>2024</c:v>
                </c:pt>
              </c:numCache>
            </c:numRef>
          </c:cat>
          <c:val>
            <c:numRef>
              <c:f>Data!$C$27:$G$27</c:f>
              <c:numCache>
                <c:formatCode>0.0%</c:formatCode>
                <c:ptCount val="5"/>
                <c:pt idx="0">
                  <c:v>-1.6772438803263845E-2</c:v>
                </c:pt>
                <c:pt idx="1">
                  <c:v>8.7597971415398712E-2</c:v>
                </c:pt>
                <c:pt idx="2">
                  <c:v>8.4509174589717295E-2</c:v>
                </c:pt>
                <c:pt idx="3">
                  <c:v>7.3987212776056577E-3</c:v>
                </c:pt>
                <c:pt idx="4">
                  <c:v>2.0758272823014234E-2</c:v>
                </c:pt>
              </c:numCache>
            </c:numRef>
          </c:val>
          <c:smooth val="0"/>
          <c:extLst>
            <c:ext xmlns:c16="http://schemas.microsoft.com/office/drawing/2014/chart" uri="{C3380CC4-5D6E-409C-BE32-E72D297353CC}">
              <c16:uniqueId val="{00000000-1591-4502-9676-370514A27CE4}"/>
            </c:ext>
          </c:extLst>
        </c:ser>
        <c:ser>
          <c:idx val="1"/>
          <c:order val="1"/>
          <c:tx>
            <c:v>Nederland totaal</c:v>
          </c:tx>
          <c:spPr>
            <a:ln w="28575" cap="rnd">
              <a:solidFill>
                <a:schemeClr val="accent2"/>
              </a:solidFill>
              <a:round/>
            </a:ln>
            <a:effectLst/>
          </c:spPr>
          <c:marker>
            <c:symbol val="none"/>
          </c:marker>
          <c:cat>
            <c:numRef>
              <c:f>Data!$C$2:$G$2</c:f>
              <c:numCache>
                <c:formatCode>General</c:formatCode>
                <c:ptCount val="5"/>
                <c:pt idx="0">
                  <c:v>2020</c:v>
                </c:pt>
                <c:pt idx="1">
                  <c:v>2021</c:v>
                </c:pt>
                <c:pt idx="2">
                  <c:v>2022</c:v>
                </c:pt>
                <c:pt idx="3">
                  <c:v>2023</c:v>
                </c:pt>
                <c:pt idx="4">
                  <c:v>2024</c:v>
                </c:pt>
              </c:numCache>
            </c:numRef>
          </c:cat>
          <c:val>
            <c:numRef>
              <c:f>Data!$C$12:$G$12</c:f>
              <c:numCache>
                <c:formatCode>0.0%</c:formatCode>
                <c:ptCount val="5"/>
                <c:pt idx="0">
                  <c:v>-3.6411821472834394E-2</c:v>
                </c:pt>
                <c:pt idx="1">
                  <c:v>8.9335244834878758E-2</c:v>
                </c:pt>
                <c:pt idx="2">
                  <c:v>8.4654133955830879E-2</c:v>
                </c:pt>
                <c:pt idx="3">
                  <c:v>-1.3382039102299292E-2</c:v>
                </c:pt>
                <c:pt idx="4">
                  <c:v>2.2714645682752055E-2</c:v>
                </c:pt>
              </c:numCache>
            </c:numRef>
          </c:val>
          <c:smooth val="0"/>
          <c:extLst>
            <c:ext xmlns:c16="http://schemas.microsoft.com/office/drawing/2014/chart" uri="{C3380CC4-5D6E-409C-BE32-E72D297353CC}">
              <c16:uniqueId val="{00000001-1591-4502-9676-370514A27CE4}"/>
            </c:ext>
          </c:extLst>
        </c:ser>
        <c:dLbls>
          <c:showLegendKey val="0"/>
          <c:showVal val="0"/>
          <c:showCatName val="0"/>
          <c:showSerName val="0"/>
          <c:showPercent val="0"/>
          <c:showBubbleSize val="0"/>
        </c:dLbls>
        <c:smooth val="0"/>
        <c:axId val="1267537055"/>
        <c:axId val="1267539455"/>
      </c:lineChart>
      <c:catAx>
        <c:axId val="1267537055"/>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67539455"/>
        <c:crossesAt val="-1"/>
        <c:auto val="1"/>
        <c:lblAlgn val="ctr"/>
        <c:lblOffset val="100"/>
        <c:noMultiLvlLbl val="0"/>
      </c:catAx>
      <c:valAx>
        <c:axId val="1267539455"/>
        <c:scaling>
          <c:orientation val="minMax"/>
        </c:scaling>
        <c:delete val="0"/>
        <c:axPos val="l"/>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6753705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sz="900" b="1"/>
              <a:t>% groei mobiele zorgconsulten t.o.v. jaar ervoor</a:t>
            </a:r>
          </a:p>
        </c:rich>
      </c:tx>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lineChart>
        <c:grouping val="standard"/>
        <c:varyColors val="0"/>
        <c:ser>
          <c:idx val="0"/>
          <c:order val="0"/>
          <c:tx>
            <c:v>Twente</c:v>
          </c:tx>
          <c:spPr>
            <a:ln w="28575" cap="rnd">
              <a:solidFill>
                <a:schemeClr val="accent1"/>
              </a:solidFill>
              <a:round/>
            </a:ln>
            <a:effectLst/>
          </c:spPr>
          <c:marker>
            <c:symbol val="none"/>
          </c:marker>
          <c:cat>
            <c:numRef>
              <c:f>Data!$C$2:$G$2</c:f>
              <c:numCache>
                <c:formatCode>General</c:formatCode>
                <c:ptCount val="5"/>
                <c:pt idx="0">
                  <c:v>2020</c:v>
                </c:pt>
                <c:pt idx="1">
                  <c:v>2021</c:v>
                </c:pt>
                <c:pt idx="2">
                  <c:v>2022</c:v>
                </c:pt>
                <c:pt idx="3">
                  <c:v>2023</c:v>
                </c:pt>
                <c:pt idx="4">
                  <c:v>2024</c:v>
                </c:pt>
              </c:numCache>
            </c:numRef>
          </c:cat>
          <c:val>
            <c:numRef>
              <c:f>Data!$C$23:$G$23</c:f>
              <c:numCache>
                <c:formatCode>0.0%</c:formatCode>
                <c:ptCount val="5"/>
                <c:pt idx="0">
                  <c:v>4.3609371375550987E-2</c:v>
                </c:pt>
                <c:pt idx="1">
                  <c:v>0.18981995999110923</c:v>
                </c:pt>
                <c:pt idx="2">
                  <c:v>0.17037175415654771</c:v>
                </c:pt>
                <c:pt idx="3">
                  <c:v>1.4764565043894562E-2</c:v>
                </c:pt>
                <c:pt idx="4">
                  <c:v>2.6189539913487936E-2</c:v>
                </c:pt>
              </c:numCache>
            </c:numRef>
          </c:val>
          <c:smooth val="0"/>
          <c:extLst>
            <c:ext xmlns:c16="http://schemas.microsoft.com/office/drawing/2014/chart" uri="{C3380CC4-5D6E-409C-BE32-E72D297353CC}">
              <c16:uniqueId val="{00000000-27B4-4656-B7C9-2E5CB491031E}"/>
            </c:ext>
          </c:extLst>
        </c:ser>
        <c:ser>
          <c:idx val="1"/>
          <c:order val="1"/>
          <c:tx>
            <c:v>Nederland totaal</c:v>
          </c:tx>
          <c:spPr>
            <a:ln w="28575" cap="rnd">
              <a:solidFill>
                <a:schemeClr val="accent2"/>
              </a:solidFill>
              <a:round/>
            </a:ln>
            <a:effectLst/>
          </c:spPr>
          <c:marker>
            <c:symbol val="none"/>
          </c:marker>
          <c:cat>
            <c:numRef>
              <c:f>Data!$C$2:$G$2</c:f>
              <c:numCache>
                <c:formatCode>General</c:formatCode>
                <c:ptCount val="5"/>
                <c:pt idx="0">
                  <c:v>2020</c:v>
                </c:pt>
                <c:pt idx="1">
                  <c:v>2021</c:v>
                </c:pt>
                <c:pt idx="2">
                  <c:v>2022</c:v>
                </c:pt>
                <c:pt idx="3">
                  <c:v>2023</c:v>
                </c:pt>
                <c:pt idx="4">
                  <c:v>2024</c:v>
                </c:pt>
              </c:numCache>
            </c:numRef>
          </c:cat>
          <c:val>
            <c:numRef>
              <c:f>Data!$C$8:$G$8</c:f>
              <c:numCache>
                <c:formatCode>0.0%</c:formatCode>
                <c:ptCount val="5"/>
                <c:pt idx="0">
                  <c:v>-9.2389622871286159E-3</c:v>
                </c:pt>
                <c:pt idx="1">
                  <c:v>0.11851901068053095</c:v>
                </c:pt>
                <c:pt idx="2">
                  <c:v>0.15475911147016097</c:v>
                </c:pt>
                <c:pt idx="3">
                  <c:v>1.1756777958677578E-2</c:v>
                </c:pt>
                <c:pt idx="4">
                  <c:v>6.0594659453742983E-2</c:v>
                </c:pt>
              </c:numCache>
            </c:numRef>
          </c:val>
          <c:smooth val="0"/>
          <c:extLst>
            <c:ext xmlns:c16="http://schemas.microsoft.com/office/drawing/2014/chart" uri="{C3380CC4-5D6E-409C-BE32-E72D297353CC}">
              <c16:uniqueId val="{00000001-27B4-4656-B7C9-2E5CB491031E}"/>
            </c:ext>
          </c:extLst>
        </c:ser>
        <c:dLbls>
          <c:showLegendKey val="0"/>
          <c:showVal val="0"/>
          <c:showCatName val="0"/>
          <c:showSerName val="0"/>
          <c:showPercent val="0"/>
          <c:showBubbleSize val="0"/>
        </c:dLbls>
        <c:smooth val="0"/>
        <c:axId val="1267537055"/>
        <c:axId val="1267539455"/>
        <c:extLst>
          <c:ext xmlns:c15="http://schemas.microsoft.com/office/drawing/2012/chart" uri="{02D57815-91ED-43cb-92C2-25804820EDAC}">
            <c15:filteredLineSeries>
              <c15:ser>
                <c:idx val="2"/>
                <c:order val="2"/>
                <c:tx>
                  <c:v>Drenthe</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extLst>
                      <c:ext uri="{02D57815-91ED-43cb-92C2-25804820EDAC}">
                        <c15:formulaRef>
                          <c15:sqref>Data!$C$38:$G$38</c15:sqref>
                        </c15:formulaRef>
                      </c:ext>
                    </c:extLst>
                    <c:numCache>
                      <c:formatCode>0.0%</c:formatCode>
                      <c:ptCount val="5"/>
                      <c:pt idx="0">
                        <c:v>-3.615667894208241E-2</c:v>
                      </c:pt>
                      <c:pt idx="1">
                        <c:v>0.13419011230751421</c:v>
                      </c:pt>
                      <c:pt idx="2">
                        <c:v>0.19232339730502246</c:v>
                      </c:pt>
                      <c:pt idx="3">
                        <c:v>6.8835616438356118E-2</c:v>
                      </c:pt>
                      <c:pt idx="4">
                        <c:v>7.3293816084588181E-2</c:v>
                      </c:pt>
                    </c:numCache>
                  </c:numRef>
                </c:val>
                <c:smooth val="0"/>
                <c:extLst>
                  <c:ext xmlns:c16="http://schemas.microsoft.com/office/drawing/2014/chart" uri="{C3380CC4-5D6E-409C-BE32-E72D297353CC}">
                    <c16:uniqueId val="{00000002-27B4-4656-B7C9-2E5CB491031E}"/>
                  </c:ext>
                </c:extLst>
              </c15:ser>
            </c15:filteredLineSeries>
            <c15:filteredLineSeries>
              <c15:ser>
                <c:idx val="3"/>
                <c:order val="3"/>
                <c:tx>
                  <c:v>IJsselland</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extLst xmlns:c15="http://schemas.microsoft.com/office/drawing/2012/chart">
                      <c:ext xmlns:c15="http://schemas.microsoft.com/office/drawing/2012/chart" uri="{02D57815-91ED-43cb-92C2-25804820EDAC}">
                        <c15:formulaRef>
                          <c15:sqref>Data!$C$53:$G$53</c15:sqref>
                        </c15:formulaRef>
                      </c:ext>
                    </c:extLst>
                    <c:numCache>
                      <c:formatCode>0.0%</c:formatCode>
                      <c:ptCount val="5"/>
                      <c:pt idx="0">
                        <c:v>-3.6389753411539383E-2</c:v>
                      </c:pt>
                      <c:pt idx="1">
                        <c:v>7.962732919254667E-2</c:v>
                      </c:pt>
                      <c:pt idx="2">
                        <c:v>9.5270969968933361E-2</c:v>
                      </c:pt>
                      <c:pt idx="3">
                        <c:v>4.0970690198550264E-2</c:v>
                      </c:pt>
                      <c:pt idx="4">
                        <c:v>9.6377030981935619E-2</c:v>
                      </c:pt>
                    </c:numCache>
                  </c:numRef>
                </c:val>
                <c:smooth val="0"/>
                <c:extLst xmlns:c15="http://schemas.microsoft.com/office/drawing/2012/chart">
                  <c:ext xmlns:c16="http://schemas.microsoft.com/office/drawing/2014/chart" uri="{C3380CC4-5D6E-409C-BE32-E72D297353CC}">
                    <c16:uniqueId val="{00000003-27B4-4656-B7C9-2E5CB491031E}"/>
                  </c:ext>
                </c:extLst>
              </c15:ser>
            </c15:filteredLineSeries>
            <c15:filteredLineSeries>
              <c15:ser>
                <c:idx val="4"/>
                <c:order val="4"/>
                <c:tx>
                  <c:v>Noordoost Gelderland</c:v>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extLst xmlns:c15="http://schemas.microsoft.com/office/drawing/2012/chart">
                      <c:ext xmlns:c15="http://schemas.microsoft.com/office/drawing/2012/chart" uri="{02D57815-91ED-43cb-92C2-25804820EDAC}">
                        <c15:formulaRef>
                          <c15:sqref>Data!$C$68:$G$68</c15:sqref>
                        </c15:formulaRef>
                      </c:ext>
                    </c:extLst>
                    <c:numCache>
                      <c:formatCode>0.0%</c:formatCode>
                      <c:ptCount val="5"/>
                      <c:pt idx="0">
                        <c:v>-8.1474389660124436E-2</c:v>
                      </c:pt>
                      <c:pt idx="1">
                        <c:v>0.14800917239941636</c:v>
                      </c:pt>
                      <c:pt idx="2">
                        <c:v>0.12747412384238244</c:v>
                      </c:pt>
                      <c:pt idx="3">
                        <c:v>6.224834917055877E-2</c:v>
                      </c:pt>
                      <c:pt idx="4">
                        <c:v>8.5209612614661534E-2</c:v>
                      </c:pt>
                    </c:numCache>
                  </c:numRef>
                </c:val>
                <c:smooth val="0"/>
                <c:extLst xmlns:c15="http://schemas.microsoft.com/office/drawing/2012/chart">
                  <c:ext xmlns:c16="http://schemas.microsoft.com/office/drawing/2014/chart" uri="{C3380CC4-5D6E-409C-BE32-E72D297353CC}">
                    <c16:uniqueId val="{00000004-27B4-4656-B7C9-2E5CB491031E}"/>
                  </c:ext>
                </c:extLst>
              </c15:ser>
            </c15:filteredLineSeries>
            <c15:filteredLineSeries>
              <c15:ser>
                <c:idx val="5"/>
                <c:order val="5"/>
                <c:tx>
                  <c:v>Midden Gelderland</c:v>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extLst xmlns:c15="http://schemas.microsoft.com/office/drawing/2012/chart">
                      <c:ext xmlns:c15="http://schemas.microsoft.com/office/drawing/2012/chart" uri="{02D57815-91ED-43cb-92C2-25804820EDAC}">
                        <c15:formulaRef>
                          <c15:sqref>Data!$C$83:$G$83</c15:sqref>
                        </c15:formulaRef>
                      </c:ext>
                    </c:extLst>
                    <c:numCache>
                      <c:formatCode>0.0%</c:formatCode>
                      <c:ptCount val="5"/>
                      <c:pt idx="0">
                        <c:v>4.0396341463414531E-2</c:v>
                      </c:pt>
                      <c:pt idx="1">
                        <c:v>0.15109890109890101</c:v>
                      </c:pt>
                      <c:pt idx="2">
                        <c:v>0.10413683373110572</c:v>
                      </c:pt>
                      <c:pt idx="3">
                        <c:v>-6.0451041141292627E-2</c:v>
                      </c:pt>
                      <c:pt idx="4">
                        <c:v>0.1353527607361964</c:v>
                      </c:pt>
                    </c:numCache>
                  </c:numRef>
                </c:val>
                <c:smooth val="0"/>
                <c:extLst xmlns:c15="http://schemas.microsoft.com/office/drawing/2012/chart">
                  <c:ext xmlns:c16="http://schemas.microsoft.com/office/drawing/2014/chart" uri="{C3380CC4-5D6E-409C-BE32-E72D297353CC}">
                    <c16:uniqueId val="{00000005-27B4-4656-B7C9-2E5CB491031E}"/>
                  </c:ext>
                </c:extLst>
              </c15:ser>
            </c15:filteredLineSeries>
          </c:ext>
        </c:extLst>
      </c:lineChart>
      <c:catAx>
        <c:axId val="1267537055"/>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67539455"/>
        <c:crossesAt val="-1"/>
        <c:auto val="1"/>
        <c:lblAlgn val="ctr"/>
        <c:lblOffset val="100"/>
        <c:noMultiLvlLbl val="0"/>
      </c:catAx>
      <c:valAx>
        <c:axId val="1267539455"/>
        <c:scaling>
          <c:orientation val="minMax"/>
          <c:min val="-0.1"/>
        </c:scaling>
        <c:delete val="0"/>
        <c:axPos val="l"/>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6753705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900" b="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670</ap:Words>
  <ap:Characters>3688</ap:Characters>
  <ap:DocSecurity>0</ap:DocSecurity>
  <ap:Lines>30</ap:Lines>
  <ap:Paragraphs>8</ap:Paragraphs>
  <ap:ScaleCrop>false</ap:ScaleCrop>
  <ap:LinksUpToDate>false</ap:LinksUpToDate>
  <ap:CharactersWithSpaces>4350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2025-12-19T16:14:00.0000000Z</dcterms:created>
  <dcterms:modified xsi:type="dcterms:W3CDTF">2025-12-19T16:15:00.0000000Z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