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7DF3" w:rsidR="00517DF3" w:rsidP="00517DF3" w:rsidRDefault="0030099A" w14:paraId="68F308A6" w14:textId="33AB929F">
      <w:pPr>
        <w:spacing w:after="160" w:line="240" w:lineRule="auto"/>
        <w:rPr>
          <w:rFonts w:ascii="Calibri" w:hAnsi="Calibri" w:cs="Calibri"/>
          <w:szCs w:val="22"/>
        </w:rPr>
      </w:pPr>
      <w:bookmarkStart w:name="_Hlk216098191" w:id="0"/>
      <w:r w:rsidRPr="00517DF3">
        <w:rPr>
          <w:rFonts w:ascii="Calibri" w:hAnsi="Calibri" w:cs="Calibri"/>
          <w:bCs/>
          <w:szCs w:val="22"/>
        </w:rPr>
        <w:t>22</w:t>
      </w:r>
      <w:r w:rsidRPr="00517DF3" w:rsidR="00517DF3">
        <w:rPr>
          <w:rFonts w:ascii="Calibri" w:hAnsi="Calibri" w:cs="Calibri"/>
          <w:bCs/>
          <w:szCs w:val="22"/>
        </w:rPr>
        <w:t xml:space="preserve"> </w:t>
      </w:r>
      <w:r w:rsidRPr="00517DF3">
        <w:rPr>
          <w:rFonts w:ascii="Calibri" w:hAnsi="Calibri" w:cs="Calibri"/>
          <w:bCs/>
          <w:szCs w:val="22"/>
        </w:rPr>
        <w:t>112</w:t>
      </w:r>
      <w:r w:rsidRPr="00517DF3" w:rsidR="00517DF3">
        <w:rPr>
          <w:rFonts w:ascii="Calibri" w:hAnsi="Calibri" w:cs="Calibri"/>
          <w:bCs/>
          <w:szCs w:val="22"/>
        </w:rPr>
        <w:tab/>
      </w:r>
      <w:r w:rsidRPr="00517DF3" w:rsidR="00517DF3">
        <w:rPr>
          <w:rFonts w:ascii="Calibri" w:hAnsi="Calibri" w:cs="Calibri"/>
          <w:bCs/>
          <w:szCs w:val="22"/>
        </w:rPr>
        <w:tab/>
      </w:r>
      <w:r w:rsidRPr="00517DF3" w:rsidR="00517DF3">
        <w:rPr>
          <w:rFonts w:ascii="Calibri" w:hAnsi="Calibri" w:cs="Calibri"/>
          <w:szCs w:val="22"/>
        </w:rPr>
        <w:t>Nieuwe Commissievoorstellen en initiatieven van de lidstaten van de Europese Unie</w:t>
      </w:r>
    </w:p>
    <w:p w:rsidRPr="00517DF3" w:rsidR="00517DF3" w:rsidP="00517DF3" w:rsidRDefault="00517DF3" w14:paraId="138F9979" w14:textId="77777777">
      <w:pPr>
        <w:spacing w:after="160" w:line="240" w:lineRule="auto"/>
        <w:rPr>
          <w:rFonts w:ascii="Calibri" w:hAnsi="Calibri" w:cs="Calibri"/>
          <w:szCs w:val="22"/>
        </w:rPr>
      </w:pPr>
      <w:r w:rsidRPr="00517DF3">
        <w:rPr>
          <w:rFonts w:ascii="Calibri" w:hAnsi="Calibri" w:cs="Calibri"/>
          <w:bCs/>
          <w:szCs w:val="22"/>
        </w:rPr>
        <w:t xml:space="preserve">Nr. </w:t>
      </w:r>
      <w:r w:rsidRPr="00517DF3" w:rsidR="0030099A">
        <w:rPr>
          <w:rFonts w:ascii="Calibri" w:hAnsi="Calibri" w:cs="Calibri"/>
          <w:bCs/>
          <w:szCs w:val="22"/>
        </w:rPr>
        <w:t>4227</w:t>
      </w:r>
      <w:r w:rsidRPr="00517DF3">
        <w:rPr>
          <w:rFonts w:ascii="Calibri" w:hAnsi="Calibri" w:cs="Calibri"/>
          <w:bCs/>
          <w:szCs w:val="22"/>
        </w:rPr>
        <w:tab/>
        <w:t xml:space="preserve">Brief van de </w:t>
      </w:r>
      <w:r w:rsidRPr="00517DF3">
        <w:rPr>
          <w:rFonts w:ascii="Calibri" w:hAnsi="Calibri" w:cs="Calibri"/>
          <w:szCs w:val="22"/>
        </w:rPr>
        <w:t>minister van Buitenlandse Zaken</w:t>
      </w:r>
    </w:p>
    <w:p w:rsidRPr="00517DF3" w:rsidR="00517DF3" w:rsidP="00517DF3" w:rsidRDefault="00517DF3" w14:paraId="036A7B9E" w14:textId="77777777">
      <w:pPr>
        <w:spacing w:after="160" w:line="240" w:lineRule="auto"/>
        <w:rPr>
          <w:rFonts w:ascii="Calibri" w:hAnsi="Calibri" w:cs="Calibri"/>
          <w:bCs/>
          <w:szCs w:val="22"/>
        </w:rPr>
      </w:pPr>
      <w:r w:rsidRPr="00517DF3">
        <w:rPr>
          <w:rFonts w:ascii="Calibri" w:hAnsi="Calibri" w:cs="Calibri"/>
          <w:bCs/>
          <w:szCs w:val="22"/>
        </w:rPr>
        <w:t>Aan de Voorzitter van de Tweede Kamer der Staten-Generaal</w:t>
      </w:r>
    </w:p>
    <w:p w:rsidRPr="00517DF3" w:rsidR="00517DF3" w:rsidP="00517DF3" w:rsidRDefault="00517DF3" w14:paraId="6632E1BA" w14:textId="77777777">
      <w:pPr>
        <w:spacing w:after="160" w:line="240" w:lineRule="auto"/>
        <w:rPr>
          <w:rFonts w:ascii="Calibri" w:hAnsi="Calibri" w:cs="Calibri"/>
          <w:bCs/>
          <w:szCs w:val="22"/>
        </w:rPr>
      </w:pPr>
      <w:r w:rsidRPr="00517DF3">
        <w:rPr>
          <w:rFonts w:ascii="Calibri" w:hAnsi="Calibri" w:cs="Calibri"/>
          <w:bCs/>
          <w:szCs w:val="22"/>
        </w:rPr>
        <w:t>Den Haag, 19 december 2025</w:t>
      </w:r>
    </w:p>
    <w:p w:rsidRPr="00517DF3" w:rsidR="00517DF3" w:rsidP="00517DF3" w:rsidRDefault="00517DF3" w14:paraId="37134AC4" w14:textId="77777777">
      <w:pPr>
        <w:spacing w:after="160" w:line="240" w:lineRule="auto"/>
        <w:rPr>
          <w:rFonts w:ascii="Calibri" w:hAnsi="Calibri" w:cs="Calibri"/>
          <w:bCs/>
          <w:szCs w:val="22"/>
        </w:rPr>
      </w:pPr>
    </w:p>
    <w:p w:rsidRPr="00517DF3" w:rsidR="0030099A" w:rsidP="00517DF3" w:rsidRDefault="0030099A" w14:paraId="6C1EBDB3" w14:textId="490A9C19">
      <w:pPr>
        <w:spacing w:line="240" w:lineRule="auto"/>
        <w:rPr>
          <w:rFonts w:ascii="Calibri" w:hAnsi="Calibri" w:cs="Calibri"/>
          <w:bCs/>
          <w:szCs w:val="22"/>
        </w:rPr>
      </w:pPr>
      <w:r w:rsidRPr="00517DF3">
        <w:rPr>
          <w:rFonts w:ascii="Calibri" w:hAnsi="Calibri" w:cs="Calibri"/>
          <w:bCs/>
          <w:szCs w:val="22"/>
        </w:rPr>
        <w:t>Overeenkomstig de bestaande afspraken ontvangt u hierbij drie fiches die werden opgesteld door de werkgroep Beoordeling Nieuwe Commissie voorstellen (BNC).</w:t>
      </w:r>
    </w:p>
    <w:p w:rsidRPr="00517DF3" w:rsidR="0030099A" w:rsidP="00517DF3" w:rsidRDefault="0030099A" w14:paraId="72606586" w14:textId="77777777">
      <w:pPr>
        <w:pStyle w:val="Geenafstand"/>
        <w:rPr>
          <w:rFonts w:ascii="Calibri" w:hAnsi="Calibri" w:cs="Calibri"/>
          <w:sz w:val="22"/>
          <w:szCs w:val="22"/>
        </w:rPr>
      </w:pPr>
    </w:p>
    <w:p w:rsidRPr="00517DF3" w:rsidR="0030099A" w:rsidP="00517DF3" w:rsidRDefault="0030099A" w14:paraId="7723BC4A" w14:textId="77777777">
      <w:pPr>
        <w:spacing w:line="240" w:lineRule="auto"/>
        <w:rPr>
          <w:rFonts w:ascii="Calibri" w:hAnsi="Calibri" w:cs="Calibri"/>
          <w:szCs w:val="22"/>
        </w:rPr>
      </w:pPr>
      <w:r w:rsidRPr="00517DF3">
        <w:rPr>
          <w:rFonts w:ascii="Calibri" w:hAnsi="Calibri" w:cs="Calibri"/>
          <w:szCs w:val="22"/>
        </w:rPr>
        <w:t>Fiche: Mededeling Europees cultuur kompas (Kamerstuk 22 112, nr. 4226);</w:t>
      </w:r>
    </w:p>
    <w:p w:rsidRPr="00517DF3" w:rsidR="0030099A" w:rsidP="00517DF3" w:rsidRDefault="0030099A" w14:paraId="30FB5167" w14:textId="77777777">
      <w:pPr>
        <w:spacing w:line="240" w:lineRule="auto"/>
        <w:rPr>
          <w:rFonts w:ascii="Calibri" w:hAnsi="Calibri" w:cs="Calibri"/>
          <w:szCs w:val="22"/>
        </w:rPr>
      </w:pPr>
      <w:r w:rsidRPr="00517DF3">
        <w:rPr>
          <w:rFonts w:ascii="Calibri" w:hAnsi="Calibri" w:cs="Calibri"/>
          <w:szCs w:val="22"/>
        </w:rPr>
        <w:t>Fiche: Data Unie Strategie;</w:t>
      </w:r>
    </w:p>
    <w:p w:rsidRPr="00517DF3" w:rsidR="0030099A" w:rsidP="00517DF3" w:rsidRDefault="0030099A" w14:paraId="346EB343" w14:textId="77777777">
      <w:pPr>
        <w:spacing w:line="240" w:lineRule="auto"/>
        <w:rPr>
          <w:rFonts w:ascii="Calibri" w:hAnsi="Calibri" w:cs="Calibri"/>
          <w:szCs w:val="22"/>
        </w:rPr>
      </w:pPr>
      <w:r w:rsidRPr="00517DF3">
        <w:rPr>
          <w:rFonts w:ascii="Calibri" w:hAnsi="Calibri" w:cs="Calibri"/>
          <w:szCs w:val="22"/>
        </w:rPr>
        <w:t>Fiche: Europa verbinden via hogesnelheidslijnen (Kamerstuk 22 112, nr. 4228).</w:t>
      </w:r>
    </w:p>
    <w:p w:rsidRPr="00517DF3" w:rsidR="0030099A" w:rsidP="00517DF3" w:rsidRDefault="0030099A" w14:paraId="15DFD8D3" w14:textId="3F994ABB">
      <w:pPr>
        <w:spacing w:line="240" w:lineRule="auto"/>
        <w:rPr>
          <w:rFonts w:ascii="Calibri" w:hAnsi="Calibri" w:cs="Calibri"/>
          <w:bCs/>
          <w:szCs w:val="22"/>
        </w:rPr>
      </w:pPr>
    </w:p>
    <w:p w:rsidRPr="00517DF3" w:rsidR="0030099A" w:rsidP="00517DF3" w:rsidRDefault="0030099A" w14:paraId="478DD511" w14:textId="77777777">
      <w:pPr>
        <w:spacing w:line="240" w:lineRule="auto"/>
        <w:rPr>
          <w:rFonts w:ascii="Calibri" w:hAnsi="Calibri" w:cs="Calibri"/>
          <w:bCs/>
          <w:szCs w:val="22"/>
        </w:rPr>
      </w:pPr>
      <w:r w:rsidRPr="00517DF3">
        <w:rPr>
          <w:rFonts w:ascii="Calibri" w:hAnsi="Calibri" w:cs="Calibri"/>
          <w:bCs/>
          <w:szCs w:val="22"/>
        </w:rPr>
        <w:t>De minister van Buitenlandse Zaken,</w:t>
      </w:r>
    </w:p>
    <w:p w:rsidRPr="00517DF3" w:rsidR="0030099A" w:rsidP="00517DF3" w:rsidRDefault="0030099A" w14:paraId="49D079E5" w14:textId="77777777">
      <w:pPr>
        <w:spacing w:line="240" w:lineRule="auto"/>
        <w:rPr>
          <w:rFonts w:ascii="Calibri" w:hAnsi="Calibri" w:cs="Calibri"/>
          <w:bCs/>
          <w:szCs w:val="22"/>
        </w:rPr>
      </w:pPr>
      <w:r w:rsidRPr="00517DF3">
        <w:rPr>
          <w:rFonts w:ascii="Calibri" w:hAnsi="Calibri" w:cs="Calibri"/>
          <w:bCs/>
          <w:szCs w:val="22"/>
        </w:rPr>
        <w:t>D.M. van Weel</w:t>
      </w:r>
    </w:p>
    <w:p w:rsidRPr="00517DF3" w:rsidR="0030099A" w:rsidP="00517DF3" w:rsidRDefault="0030099A" w14:paraId="5DE12C04" w14:textId="77777777">
      <w:pPr>
        <w:spacing w:line="240" w:lineRule="auto"/>
        <w:rPr>
          <w:rFonts w:ascii="Calibri" w:hAnsi="Calibri" w:cs="Calibri"/>
          <w:bCs/>
          <w:szCs w:val="22"/>
        </w:rPr>
      </w:pPr>
    </w:p>
    <w:p w:rsidRPr="00517DF3" w:rsidR="00517DF3" w:rsidP="00517DF3" w:rsidRDefault="00517DF3" w14:paraId="46564A52" w14:textId="77777777">
      <w:pPr>
        <w:spacing w:line="240" w:lineRule="auto"/>
        <w:rPr>
          <w:rFonts w:ascii="Calibri" w:hAnsi="Calibri" w:cs="Calibri"/>
          <w:szCs w:val="22"/>
        </w:rPr>
      </w:pPr>
      <w:r w:rsidRPr="00517DF3">
        <w:rPr>
          <w:rFonts w:ascii="Calibri" w:hAnsi="Calibri" w:cs="Calibri"/>
          <w:szCs w:val="22"/>
        </w:rPr>
        <w:br w:type="page"/>
      </w:r>
    </w:p>
    <w:p w:rsidRPr="00517DF3" w:rsidR="00444C70" w:rsidP="00517DF3" w:rsidRDefault="5F97366C" w14:paraId="4212FDA8" w14:textId="5844113E">
      <w:pPr>
        <w:pStyle w:val="Kop1"/>
        <w:numPr>
          <w:ilvl w:val="0"/>
          <w:numId w:val="0"/>
        </w:numPr>
        <w:spacing w:after="0" w:line="240" w:lineRule="auto"/>
        <w:rPr>
          <w:rFonts w:ascii="Calibri" w:hAnsi="Calibri" w:cs="Calibri"/>
          <w:b/>
          <w:bCs/>
          <w:sz w:val="22"/>
          <w:szCs w:val="22"/>
        </w:rPr>
      </w:pPr>
      <w:r w:rsidRPr="00517DF3">
        <w:rPr>
          <w:rFonts w:ascii="Calibri" w:hAnsi="Calibri" w:cs="Calibri"/>
          <w:b/>
          <w:bCs/>
          <w:sz w:val="22"/>
          <w:szCs w:val="22"/>
        </w:rPr>
        <w:lastRenderedPageBreak/>
        <w:t>Fiche: Data Unie Strategie</w:t>
      </w:r>
    </w:p>
    <w:bookmarkEnd w:id="0"/>
    <w:p w:rsidRPr="00517DF3" w:rsidR="00444C70" w:rsidP="00517DF3" w:rsidRDefault="00444C70" w14:paraId="46322892" w14:textId="77777777">
      <w:pPr>
        <w:spacing w:line="240" w:lineRule="auto"/>
        <w:rPr>
          <w:rFonts w:ascii="Calibri" w:hAnsi="Calibri" w:cs="Calibri"/>
          <w:szCs w:val="22"/>
        </w:rPr>
      </w:pPr>
    </w:p>
    <w:p w:rsidRPr="00517DF3" w:rsidR="000D01B7" w:rsidP="00517DF3" w:rsidRDefault="5F97366C" w14:paraId="0D4B4607" w14:textId="77777777">
      <w:pPr>
        <w:numPr>
          <w:ilvl w:val="0"/>
          <w:numId w:val="21"/>
        </w:numPr>
        <w:spacing w:line="240" w:lineRule="auto"/>
        <w:rPr>
          <w:rFonts w:ascii="Calibri" w:hAnsi="Calibri" w:cs="Calibri"/>
          <w:b/>
          <w:bCs/>
          <w:szCs w:val="22"/>
        </w:rPr>
      </w:pPr>
      <w:r w:rsidRPr="00517DF3">
        <w:rPr>
          <w:rFonts w:ascii="Calibri" w:hAnsi="Calibri" w:cs="Calibri"/>
          <w:b/>
          <w:bCs/>
          <w:szCs w:val="22"/>
        </w:rPr>
        <w:t>Algemene gegevens</w:t>
      </w:r>
    </w:p>
    <w:p w:rsidRPr="00517DF3" w:rsidR="00444C70" w:rsidP="00517DF3" w:rsidRDefault="5F97366C" w14:paraId="1ADD7A83" w14:textId="256F9CEC">
      <w:pPr>
        <w:numPr>
          <w:ilvl w:val="0"/>
          <w:numId w:val="25"/>
        </w:numPr>
        <w:spacing w:line="240" w:lineRule="auto"/>
        <w:rPr>
          <w:rFonts w:ascii="Calibri" w:hAnsi="Calibri" w:cs="Calibri"/>
          <w:szCs w:val="22"/>
        </w:rPr>
      </w:pPr>
      <w:r w:rsidRPr="00517DF3">
        <w:rPr>
          <w:rFonts w:ascii="Calibri" w:hAnsi="Calibri" w:cs="Calibri"/>
          <w:i/>
          <w:iCs/>
          <w:szCs w:val="22"/>
        </w:rPr>
        <w:t>Titel voorstel</w:t>
      </w:r>
      <w:r w:rsidRPr="00517DF3">
        <w:rPr>
          <w:rFonts w:ascii="Calibri" w:hAnsi="Calibri" w:cs="Calibri"/>
          <w:szCs w:val="22"/>
        </w:rPr>
        <w:t xml:space="preserve"> </w:t>
      </w:r>
    </w:p>
    <w:p w:rsidRPr="00517DF3" w:rsidR="45A10054" w:rsidP="00517DF3" w:rsidRDefault="5F97366C" w14:paraId="5E26789C" w14:textId="5FDD5C83">
      <w:pPr>
        <w:spacing w:line="240" w:lineRule="auto"/>
        <w:rPr>
          <w:rFonts w:ascii="Calibri" w:hAnsi="Calibri" w:eastAsia="Verdana" w:cs="Calibri"/>
          <w:szCs w:val="22"/>
        </w:rPr>
      </w:pPr>
      <w:r w:rsidRPr="00517DF3">
        <w:rPr>
          <w:rFonts w:ascii="Calibri" w:hAnsi="Calibri" w:eastAsia="Verdana" w:cs="Calibri"/>
          <w:szCs w:val="22"/>
          <w:lang w:val="en-US"/>
        </w:rPr>
        <w:t xml:space="preserve">Communication from the Commission to the European Parliament and the Council. </w:t>
      </w:r>
      <w:r w:rsidRPr="00517DF3">
        <w:rPr>
          <w:rFonts w:ascii="Calibri" w:hAnsi="Calibri" w:eastAsia="Verdana" w:cs="Calibri"/>
          <w:szCs w:val="22"/>
        </w:rPr>
        <w:t>Data Union Strategy: Unlocking data for AI</w:t>
      </w:r>
    </w:p>
    <w:p w:rsidRPr="00517DF3" w:rsidR="23B2C3C4" w:rsidP="00517DF3" w:rsidRDefault="23B2C3C4" w14:paraId="6013B60F" w14:textId="09BB63C5">
      <w:pPr>
        <w:spacing w:line="240" w:lineRule="auto"/>
        <w:rPr>
          <w:rFonts w:ascii="Calibri" w:hAnsi="Calibri" w:cs="Calibri"/>
          <w:szCs w:val="22"/>
          <w:lang w:val="en-GB"/>
        </w:rPr>
      </w:pPr>
    </w:p>
    <w:p w:rsidRPr="00517DF3" w:rsidR="00444C70" w:rsidP="00517DF3" w:rsidRDefault="5F97366C" w14:paraId="5ACFE6B4" w14:textId="5AACF2AB">
      <w:pPr>
        <w:numPr>
          <w:ilvl w:val="0"/>
          <w:numId w:val="25"/>
        </w:numPr>
        <w:spacing w:line="240" w:lineRule="auto"/>
        <w:rPr>
          <w:rFonts w:ascii="Calibri" w:hAnsi="Calibri" w:cs="Calibri"/>
          <w:i/>
          <w:iCs/>
          <w:szCs w:val="22"/>
        </w:rPr>
      </w:pPr>
      <w:r w:rsidRPr="00517DF3">
        <w:rPr>
          <w:rFonts w:ascii="Calibri" w:hAnsi="Calibri" w:cs="Calibri"/>
          <w:i/>
          <w:iCs/>
          <w:szCs w:val="22"/>
        </w:rPr>
        <w:t>Datum ontvangst Commissiedocument</w:t>
      </w:r>
    </w:p>
    <w:p w:rsidRPr="00517DF3" w:rsidR="00C02B61" w:rsidP="00517DF3" w:rsidRDefault="5F97366C" w14:paraId="3F26B9F4" w14:textId="4A32F8F6">
      <w:pPr>
        <w:spacing w:line="240" w:lineRule="auto"/>
        <w:rPr>
          <w:rFonts w:ascii="Calibri" w:hAnsi="Calibri" w:cs="Calibri"/>
          <w:szCs w:val="22"/>
        </w:rPr>
      </w:pPr>
      <w:r w:rsidRPr="00517DF3">
        <w:rPr>
          <w:rFonts w:ascii="Calibri" w:hAnsi="Calibri" w:eastAsia="Verdana" w:cs="Calibri"/>
          <w:szCs w:val="22"/>
        </w:rPr>
        <w:t>19 november 2025</w:t>
      </w:r>
    </w:p>
    <w:p w:rsidRPr="00517DF3" w:rsidR="00C02B61" w:rsidP="00517DF3" w:rsidRDefault="00C02B61" w14:paraId="32A63D5F" w14:textId="7B9F196D">
      <w:pPr>
        <w:spacing w:line="240" w:lineRule="auto"/>
        <w:rPr>
          <w:rFonts w:ascii="Calibri" w:hAnsi="Calibri" w:cs="Calibri"/>
          <w:szCs w:val="22"/>
        </w:rPr>
      </w:pPr>
    </w:p>
    <w:p w:rsidRPr="00517DF3" w:rsidR="2831A9DC" w:rsidP="00517DF3" w:rsidRDefault="5F97366C" w14:paraId="36B03CE4" w14:textId="083F2E18">
      <w:pPr>
        <w:numPr>
          <w:ilvl w:val="0"/>
          <w:numId w:val="25"/>
        </w:numPr>
        <w:spacing w:line="240" w:lineRule="auto"/>
        <w:rPr>
          <w:rFonts w:ascii="Calibri" w:hAnsi="Calibri" w:cs="Calibri"/>
          <w:i/>
          <w:iCs/>
          <w:szCs w:val="22"/>
        </w:rPr>
      </w:pPr>
      <w:r w:rsidRPr="00517DF3">
        <w:rPr>
          <w:rFonts w:ascii="Calibri" w:hAnsi="Calibri" w:cs="Calibri"/>
          <w:i/>
          <w:iCs/>
          <w:szCs w:val="22"/>
        </w:rPr>
        <w:t>Nr. Commissiedocument</w:t>
      </w:r>
    </w:p>
    <w:p w:rsidRPr="00517DF3" w:rsidR="0059235B" w:rsidP="00517DF3" w:rsidRDefault="5F97366C" w14:paraId="5F0E2094" w14:textId="6A86F614">
      <w:pPr>
        <w:spacing w:line="240" w:lineRule="auto"/>
        <w:rPr>
          <w:rFonts w:ascii="Calibri" w:hAnsi="Calibri" w:cs="Calibri"/>
          <w:szCs w:val="22"/>
        </w:rPr>
      </w:pPr>
      <w:r w:rsidRPr="00517DF3">
        <w:rPr>
          <w:rFonts w:ascii="Calibri" w:hAnsi="Calibri" w:eastAsia="Verdana" w:cs="Calibri"/>
          <w:szCs w:val="22"/>
        </w:rPr>
        <w:t>COM(2025) 835</w:t>
      </w:r>
    </w:p>
    <w:p w:rsidRPr="00517DF3" w:rsidR="0DC924FA" w:rsidP="00517DF3" w:rsidRDefault="0DC924FA" w14:paraId="338B7679" w14:textId="37D2C08B">
      <w:pPr>
        <w:spacing w:line="240" w:lineRule="auto"/>
        <w:rPr>
          <w:rFonts w:ascii="Calibri" w:hAnsi="Calibri" w:eastAsia="Verdana" w:cs="Calibri"/>
          <w:szCs w:val="22"/>
        </w:rPr>
      </w:pPr>
    </w:p>
    <w:p w:rsidRPr="00517DF3" w:rsidR="00292A51" w:rsidP="00517DF3" w:rsidRDefault="5F97366C" w14:paraId="5C33B197" w14:textId="75C50F6C">
      <w:pPr>
        <w:numPr>
          <w:ilvl w:val="0"/>
          <w:numId w:val="25"/>
        </w:numPr>
        <w:spacing w:line="240" w:lineRule="auto"/>
        <w:rPr>
          <w:rFonts w:ascii="Calibri" w:hAnsi="Calibri" w:cs="Calibri"/>
          <w:i/>
          <w:iCs/>
          <w:szCs w:val="22"/>
        </w:rPr>
      </w:pPr>
      <w:r w:rsidRPr="00517DF3">
        <w:rPr>
          <w:rFonts w:ascii="Calibri" w:hAnsi="Calibri" w:cs="Calibri"/>
          <w:i/>
          <w:iCs/>
          <w:szCs w:val="22"/>
        </w:rPr>
        <w:t>EUR-Lex</w:t>
      </w:r>
    </w:p>
    <w:p w:rsidRPr="00517DF3" w:rsidR="00292A51" w:rsidP="00517DF3" w:rsidRDefault="6DFAB848" w14:paraId="42D72AD7" w14:textId="2E6686D4">
      <w:pPr>
        <w:spacing w:line="240" w:lineRule="auto"/>
        <w:rPr>
          <w:rFonts w:ascii="Calibri" w:hAnsi="Calibri" w:cs="Calibri"/>
          <w:szCs w:val="22"/>
          <w:lang w:val="fr-FR"/>
        </w:rPr>
      </w:pPr>
      <w:hyperlink r:id="rId12">
        <w:r w:rsidRPr="00517DF3">
          <w:rPr>
            <w:rStyle w:val="Hyperlink"/>
            <w:rFonts w:ascii="Calibri" w:hAnsi="Calibri" w:eastAsia="Verdana" w:cs="Calibri"/>
            <w:color w:val="467886"/>
            <w:szCs w:val="22"/>
            <w:lang w:val="fr-FR"/>
          </w:rPr>
          <w:t>EUR-Lex - 52025DC0835 - NL - EUR-Lex</w:t>
        </w:r>
      </w:hyperlink>
    </w:p>
    <w:p w:rsidRPr="00517DF3" w:rsidR="00292A51" w:rsidP="00517DF3" w:rsidRDefault="00292A51" w14:paraId="275DC1DB" w14:textId="00816176">
      <w:pPr>
        <w:spacing w:line="240" w:lineRule="auto"/>
        <w:rPr>
          <w:rFonts w:ascii="Calibri" w:hAnsi="Calibri" w:cs="Calibri"/>
          <w:szCs w:val="22"/>
          <w:lang w:val="fr-FR"/>
        </w:rPr>
      </w:pPr>
    </w:p>
    <w:p w:rsidRPr="00517DF3" w:rsidR="00EA4C91" w:rsidP="00517DF3" w:rsidRDefault="3958735C" w14:paraId="52E2BC8F" w14:textId="77777777">
      <w:pPr>
        <w:numPr>
          <w:ilvl w:val="0"/>
          <w:numId w:val="25"/>
        </w:numPr>
        <w:spacing w:line="240" w:lineRule="auto"/>
        <w:rPr>
          <w:rFonts w:ascii="Calibri" w:hAnsi="Calibri" w:cs="Calibri"/>
          <w:i/>
          <w:iCs/>
          <w:szCs w:val="22"/>
          <w:lang w:val="fr-FR"/>
        </w:rPr>
      </w:pPr>
      <w:r w:rsidRPr="00517DF3">
        <w:rPr>
          <w:rFonts w:ascii="Calibri" w:hAnsi="Calibri" w:cs="Calibri"/>
          <w:i/>
          <w:iCs/>
          <w:szCs w:val="22"/>
          <w:lang w:val="fr-FR"/>
        </w:rPr>
        <w:t xml:space="preserve">Nr. impact assessment Commissie en Opinie </w:t>
      </w:r>
    </w:p>
    <w:p w:rsidRPr="00517DF3" w:rsidR="00292A51" w:rsidP="00517DF3" w:rsidRDefault="5F97366C" w14:paraId="4A7BD83C" w14:textId="5F68B8FB">
      <w:pPr>
        <w:spacing w:line="240" w:lineRule="auto"/>
        <w:rPr>
          <w:rFonts w:ascii="Calibri" w:hAnsi="Calibri" w:cs="Calibri"/>
          <w:szCs w:val="22"/>
        </w:rPr>
      </w:pPr>
      <w:r w:rsidRPr="00517DF3">
        <w:rPr>
          <w:rFonts w:ascii="Calibri" w:hAnsi="Calibri" w:cs="Calibri"/>
          <w:szCs w:val="22"/>
        </w:rPr>
        <w:t>Niet opgesteld</w:t>
      </w:r>
    </w:p>
    <w:p w:rsidRPr="00517DF3" w:rsidR="0DC924FA" w:rsidP="00517DF3" w:rsidRDefault="0DC924FA" w14:paraId="053C98FB" w14:textId="6CAD5ACB">
      <w:pPr>
        <w:spacing w:line="240" w:lineRule="auto"/>
        <w:rPr>
          <w:rFonts w:ascii="Calibri" w:hAnsi="Calibri" w:cs="Calibri"/>
          <w:i/>
          <w:iCs/>
          <w:szCs w:val="22"/>
        </w:rPr>
      </w:pPr>
    </w:p>
    <w:p w:rsidRPr="00517DF3" w:rsidR="00F54AFF" w:rsidP="00517DF3" w:rsidRDefault="5F97366C" w14:paraId="0C23558F" w14:textId="77777777">
      <w:pPr>
        <w:numPr>
          <w:ilvl w:val="0"/>
          <w:numId w:val="25"/>
        </w:numPr>
        <w:spacing w:line="240" w:lineRule="auto"/>
        <w:rPr>
          <w:rFonts w:ascii="Calibri" w:hAnsi="Calibri" w:cs="Calibri"/>
          <w:i/>
          <w:iCs/>
          <w:szCs w:val="22"/>
        </w:rPr>
      </w:pPr>
      <w:r w:rsidRPr="00517DF3">
        <w:rPr>
          <w:rFonts w:ascii="Calibri" w:hAnsi="Calibri" w:cs="Calibri"/>
          <w:i/>
          <w:iCs/>
          <w:szCs w:val="22"/>
        </w:rPr>
        <w:t>Behandelingstraject Raad</w:t>
      </w:r>
    </w:p>
    <w:p w:rsidRPr="00517DF3" w:rsidR="6E5A9531" w:rsidP="00517DF3" w:rsidRDefault="5F97366C" w14:paraId="20EA13E5" w14:textId="273F12F6">
      <w:pPr>
        <w:spacing w:line="240" w:lineRule="auto"/>
        <w:rPr>
          <w:rFonts w:ascii="Calibri" w:hAnsi="Calibri" w:cs="Calibri"/>
          <w:szCs w:val="22"/>
        </w:rPr>
      </w:pPr>
      <w:r w:rsidRPr="00517DF3">
        <w:rPr>
          <w:rFonts w:ascii="Calibri" w:hAnsi="Calibri" w:cs="Calibri"/>
          <w:szCs w:val="22"/>
        </w:rPr>
        <w:t>Telecomraad</w:t>
      </w:r>
    </w:p>
    <w:p w:rsidRPr="00517DF3" w:rsidR="0DC924FA" w:rsidP="00517DF3" w:rsidRDefault="0DC924FA" w14:paraId="47EAC41B" w14:textId="70D41CB0">
      <w:pPr>
        <w:spacing w:line="240" w:lineRule="auto"/>
        <w:rPr>
          <w:rFonts w:ascii="Calibri" w:hAnsi="Calibri" w:cs="Calibri"/>
          <w:i/>
          <w:iCs/>
          <w:szCs w:val="22"/>
        </w:rPr>
      </w:pPr>
    </w:p>
    <w:p w:rsidRPr="00517DF3" w:rsidR="1EA53811" w:rsidP="00517DF3" w:rsidRDefault="5F97366C" w14:paraId="44800B33" w14:textId="250EA327">
      <w:pPr>
        <w:numPr>
          <w:ilvl w:val="0"/>
          <w:numId w:val="25"/>
        </w:numPr>
        <w:spacing w:line="240" w:lineRule="auto"/>
        <w:rPr>
          <w:rFonts w:ascii="Calibri" w:hAnsi="Calibri" w:cs="Calibri"/>
          <w:i/>
          <w:iCs/>
          <w:szCs w:val="22"/>
        </w:rPr>
      </w:pPr>
      <w:r w:rsidRPr="00517DF3">
        <w:rPr>
          <w:rFonts w:ascii="Calibri" w:hAnsi="Calibri" w:cs="Calibri"/>
          <w:i/>
          <w:iCs/>
          <w:szCs w:val="22"/>
        </w:rPr>
        <w:t>Eerstverantwoordelijk ministerie</w:t>
      </w:r>
    </w:p>
    <w:p w:rsidRPr="00517DF3" w:rsidR="31A2E8CB" w:rsidP="00517DF3" w:rsidRDefault="5F97366C" w14:paraId="28F1732A" w14:textId="075D6E10">
      <w:pPr>
        <w:spacing w:line="240" w:lineRule="auto"/>
        <w:rPr>
          <w:rFonts w:ascii="Calibri" w:hAnsi="Calibri" w:cs="Calibri"/>
          <w:szCs w:val="22"/>
        </w:rPr>
      </w:pPr>
      <w:r w:rsidRPr="00517DF3">
        <w:rPr>
          <w:rFonts w:ascii="Calibri" w:hAnsi="Calibri" w:eastAsia="Verdana" w:cs="Calibri"/>
          <w:szCs w:val="22"/>
        </w:rPr>
        <w:t>Ministerie van Economische Zaken</w:t>
      </w:r>
    </w:p>
    <w:p w:rsidRPr="00517DF3" w:rsidR="00D55D49" w:rsidP="00517DF3" w:rsidRDefault="00D55D49" w14:paraId="5AB33293" w14:textId="77777777">
      <w:pPr>
        <w:spacing w:line="240" w:lineRule="auto"/>
        <w:rPr>
          <w:rFonts w:ascii="Calibri" w:hAnsi="Calibri" w:cs="Calibri"/>
          <w:szCs w:val="22"/>
        </w:rPr>
      </w:pPr>
    </w:p>
    <w:p w:rsidRPr="00517DF3" w:rsidR="1CDF8EFA" w:rsidP="00517DF3" w:rsidRDefault="00D55D49" w14:paraId="23504572" w14:textId="7FBD1D26">
      <w:pPr>
        <w:numPr>
          <w:ilvl w:val="0"/>
          <w:numId w:val="21"/>
        </w:numPr>
        <w:tabs>
          <w:tab w:val="left" w:pos="360"/>
        </w:tabs>
        <w:spacing w:line="240" w:lineRule="auto"/>
        <w:rPr>
          <w:rFonts w:ascii="Calibri" w:hAnsi="Calibri" w:cs="Calibri"/>
          <w:b/>
          <w:bCs/>
          <w:szCs w:val="22"/>
        </w:rPr>
      </w:pPr>
      <w:r w:rsidRPr="00517DF3">
        <w:rPr>
          <w:rFonts w:ascii="Calibri" w:hAnsi="Calibri" w:cs="Calibri"/>
          <w:b/>
          <w:bCs/>
          <w:szCs w:val="22"/>
        </w:rPr>
        <w:t>Essentie voorstel</w:t>
      </w:r>
    </w:p>
    <w:p w:rsidRPr="00517DF3" w:rsidR="007E1176" w:rsidP="00517DF3" w:rsidRDefault="3958735C" w14:paraId="371FCD4B" w14:textId="432E78A6">
      <w:pPr>
        <w:tabs>
          <w:tab w:val="left" w:pos="360"/>
        </w:tabs>
        <w:spacing w:line="240" w:lineRule="auto"/>
        <w:rPr>
          <w:rFonts w:ascii="Calibri" w:hAnsi="Calibri" w:eastAsia="Verdana" w:cs="Calibri"/>
          <w:color w:val="000000" w:themeColor="text1"/>
          <w:szCs w:val="22"/>
        </w:rPr>
      </w:pPr>
      <w:r w:rsidRPr="00517DF3">
        <w:rPr>
          <w:rFonts w:ascii="Calibri" w:hAnsi="Calibri" w:cs="Calibri"/>
          <w:szCs w:val="22"/>
        </w:rPr>
        <w:t>Op 19 november 2025 he</w:t>
      </w:r>
      <w:r w:rsidRPr="00517DF3">
        <w:rPr>
          <w:rFonts w:ascii="Calibri" w:hAnsi="Calibri" w:eastAsia="Verdana" w:cs="Calibri"/>
          <w:szCs w:val="22"/>
        </w:rPr>
        <w:t xml:space="preserve">eft de Europese Commissie (hierna: de Commissie) de Data Unie Strategie gepresenteerd als onderdeel van het Digitaal Pakket. Met dit pakket beoogt de Commissie de innovatiekracht en groeimogelijkheden van bedrijven in de EU te versterken en hun administratieve lasten te verlagen. Dit fiche apprecieert enkel de Data Unie Strategie (hierna: </w:t>
      </w:r>
      <w:r w:rsidRPr="00517DF3" w:rsidR="00E47FF9">
        <w:rPr>
          <w:rFonts w:ascii="Calibri" w:hAnsi="Calibri" w:eastAsia="Verdana" w:cs="Calibri"/>
          <w:szCs w:val="22"/>
        </w:rPr>
        <w:t>de mededeling</w:t>
      </w:r>
      <w:r w:rsidRPr="00517DF3">
        <w:rPr>
          <w:rFonts w:ascii="Calibri" w:hAnsi="Calibri" w:eastAsia="Verdana" w:cs="Calibri"/>
          <w:szCs w:val="22"/>
        </w:rPr>
        <w:t xml:space="preserve">) in het pakket, de andere onderdelen </w:t>
      </w:r>
      <w:r w:rsidRPr="00517DF3" w:rsidR="00074F4B">
        <w:rPr>
          <w:rFonts w:ascii="Calibri" w:hAnsi="Calibri" w:eastAsia="Verdana" w:cs="Calibri"/>
          <w:szCs w:val="22"/>
        </w:rPr>
        <w:t xml:space="preserve">van het Digitaal Pakket </w:t>
      </w:r>
      <w:r w:rsidRPr="00517DF3">
        <w:rPr>
          <w:rFonts w:ascii="Calibri" w:hAnsi="Calibri" w:eastAsia="Verdana" w:cs="Calibri"/>
          <w:szCs w:val="22"/>
        </w:rPr>
        <w:t xml:space="preserve">zijn in aparte BNC-fiches geapprecieerd. </w:t>
      </w:r>
    </w:p>
    <w:p w:rsidRPr="00517DF3" w:rsidR="007E1176" w:rsidP="00517DF3" w:rsidRDefault="007E1176" w14:paraId="5A13878B" w14:textId="77777777">
      <w:pPr>
        <w:spacing w:line="240" w:lineRule="auto"/>
        <w:rPr>
          <w:rFonts w:ascii="Calibri" w:hAnsi="Calibri" w:eastAsia="Verdana" w:cs="Calibri"/>
          <w:color w:val="000000"/>
          <w:szCs w:val="22"/>
        </w:rPr>
      </w:pPr>
    </w:p>
    <w:p w:rsidRPr="00517DF3" w:rsidR="00DF5CE1" w:rsidP="00517DF3" w:rsidRDefault="00E47FF9" w14:paraId="6F61C78B" w14:textId="4A2D183A">
      <w:pPr>
        <w:spacing w:line="240" w:lineRule="auto"/>
        <w:rPr>
          <w:rFonts w:ascii="Calibri" w:hAnsi="Calibri" w:eastAsia="Verdana" w:cs="Calibri"/>
          <w:color w:val="000000" w:themeColor="text1"/>
          <w:szCs w:val="22"/>
        </w:rPr>
      </w:pPr>
      <w:r w:rsidRPr="00517DF3">
        <w:rPr>
          <w:rFonts w:ascii="Calibri" w:hAnsi="Calibri" w:eastAsia="Verdana" w:cs="Calibri"/>
          <w:color w:val="000000" w:themeColor="text1"/>
          <w:szCs w:val="22"/>
        </w:rPr>
        <w:t xml:space="preserve">De mededeling </w:t>
      </w:r>
      <w:r w:rsidRPr="00517DF3" w:rsidR="5F97366C">
        <w:rPr>
          <w:rFonts w:ascii="Calibri" w:hAnsi="Calibri" w:eastAsia="Verdana" w:cs="Calibri"/>
          <w:color w:val="000000" w:themeColor="text1"/>
          <w:szCs w:val="22"/>
        </w:rPr>
        <w:t xml:space="preserve">bestaat uit drie pijlers: de beschikbaarheid van kwalitatief hoogwaardige data voor het trainen van </w:t>
      </w:r>
      <w:r w:rsidRPr="00517DF3">
        <w:rPr>
          <w:rFonts w:ascii="Calibri" w:hAnsi="Calibri" w:eastAsia="Verdana" w:cs="Calibri"/>
          <w:color w:val="000000" w:themeColor="text1"/>
          <w:szCs w:val="22"/>
        </w:rPr>
        <w:t>kunstmatige intelligentie (</w:t>
      </w:r>
      <w:r w:rsidRPr="00517DF3" w:rsidR="5F97366C">
        <w:rPr>
          <w:rFonts w:ascii="Calibri" w:hAnsi="Calibri" w:eastAsia="Verdana" w:cs="Calibri"/>
          <w:color w:val="000000" w:themeColor="text1"/>
          <w:szCs w:val="22"/>
        </w:rPr>
        <w:t>AI</w:t>
      </w:r>
      <w:r w:rsidRPr="00517DF3">
        <w:rPr>
          <w:rFonts w:ascii="Calibri" w:hAnsi="Calibri" w:eastAsia="Verdana" w:cs="Calibri"/>
          <w:color w:val="000000" w:themeColor="text1"/>
          <w:szCs w:val="22"/>
        </w:rPr>
        <w:t>)</w:t>
      </w:r>
      <w:r w:rsidRPr="00517DF3" w:rsidR="5F97366C">
        <w:rPr>
          <w:rFonts w:ascii="Calibri" w:hAnsi="Calibri" w:eastAsia="Verdana" w:cs="Calibri"/>
          <w:color w:val="000000" w:themeColor="text1"/>
          <w:szCs w:val="22"/>
        </w:rPr>
        <w:t xml:space="preserve">, het stroomlijnen van digitale wetgeving, en het strategisch internationaal databeleid in relatie tot derde landen buiten de EU. De Commissie adresseert hiermee drie strategische uitdagingen: dataschaarste als obstakel voor innovatie, complexe regelgeving die groei belemmert en de toenemende wereldwijde concurrentie met data als strategisch geopolitiek bezit. </w:t>
      </w:r>
    </w:p>
    <w:p w:rsidRPr="00517DF3" w:rsidR="00DF5CE1" w:rsidP="00517DF3" w:rsidRDefault="00DF5CE1" w14:paraId="194EFFB4" w14:textId="77777777">
      <w:pPr>
        <w:spacing w:line="240" w:lineRule="auto"/>
        <w:rPr>
          <w:rFonts w:ascii="Calibri" w:hAnsi="Calibri" w:eastAsia="Verdana" w:cs="Calibri"/>
          <w:color w:val="000000"/>
          <w:szCs w:val="22"/>
        </w:rPr>
      </w:pPr>
    </w:p>
    <w:p w:rsidRPr="00517DF3" w:rsidR="003C27BF" w:rsidP="00517DF3" w:rsidRDefault="3958735C" w14:paraId="5FA2F343" w14:textId="16BB1E02">
      <w:pPr>
        <w:spacing w:line="240" w:lineRule="auto"/>
        <w:rPr>
          <w:rFonts w:ascii="Calibri" w:hAnsi="Calibri" w:eastAsia="Verdana" w:cs="Calibri"/>
          <w:color w:val="000000" w:themeColor="text1"/>
          <w:szCs w:val="22"/>
        </w:rPr>
      </w:pPr>
      <w:r w:rsidRPr="00517DF3">
        <w:rPr>
          <w:rFonts w:ascii="Calibri" w:hAnsi="Calibri" w:eastAsia="Verdana" w:cs="Calibri"/>
          <w:color w:val="000000" w:themeColor="text1"/>
          <w:szCs w:val="22"/>
        </w:rPr>
        <w:t xml:space="preserve">In pijler I wordt, om grote hoeveelheden kwalitatief hoogwaardige data vrij te maken voor het ontwikkelen van AI-modellen, verder geïnvesteerd in </w:t>
      </w:r>
      <w:r w:rsidRPr="00517DF3">
        <w:rPr>
          <w:rFonts w:ascii="Calibri" w:hAnsi="Calibri" w:eastAsia="Verdana" w:cs="Calibri"/>
          <w:i/>
          <w:iCs/>
          <w:color w:val="000000" w:themeColor="text1"/>
          <w:szCs w:val="22"/>
        </w:rPr>
        <w:t xml:space="preserve">Common European Data Spaces </w:t>
      </w:r>
      <w:r w:rsidRPr="00517DF3">
        <w:rPr>
          <w:rFonts w:ascii="Calibri" w:hAnsi="Calibri" w:eastAsia="Verdana" w:cs="Calibri"/>
          <w:color w:val="000000" w:themeColor="text1"/>
          <w:szCs w:val="22"/>
        </w:rPr>
        <w:t xml:space="preserve">(hierna: data spaces). Data spaces zijn sectorale, gedeelde digitale omgevingen waar publieke en private partijen veilig, betrouwbaar en volgens uniforme regels data kunnen uitwisselen en hergebruiken. De Commissie richt zich in </w:t>
      </w:r>
      <w:r w:rsidRPr="00517DF3" w:rsidR="00C93E94">
        <w:rPr>
          <w:rFonts w:ascii="Calibri" w:hAnsi="Calibri" w:eastAsia="Verdana" w:cs="Calibri"/>
          <w:color w:val="000000" w:themeColor="text1"/>
          <w:szCs w:val="22"/>
        </w:rPr>
        <w:t xml:space="preserve">de mededeling </w:t>
      </w:r>
      <w:r w:rsidRPr="00517DF3">
        <w:rPr>
          <w:rFonts w:ascii="Calibri" w:hAnsi="Calibri" w:eastAsia="Verdana" w:cs="Calibri"/>
          <w:color w:val="000000" w:themeColor="text1"/>
          <w:szCs w:val="22"/>
        </w:rPr>
        <w:t xml:space="preserve">op de doorontwikkeling van data spaces in sectoren waar het maatschappelijk belang groot is: de gezondheid, mobiliteit, energie, publieke dienstverlening en duurzaamheid. Ook introduceert </w:t>
      </w:r>
      <w:r w:rsidRPr="00517DF3" w:rsidR="00C93E94">
        <w:rPr>
          <w:rFonts w:ascii="Calibri" w:hAnsi="Calibri" w:eastAsia="Verdana" w:cs="Calibri"/>
          <w:color w:val="000000" w:themeColor="text1"/>
          <w:szCs w:val="22"/>
        </w:rPr>
        <w:t>de mededeling</w:t>
      </w:r>
      <w:r w:rsidRPr="00517DF3">
        <w:rPr>
          <w:rFonts w:ascii="Calibri" w:hAnsi="Calibri" w:eastAsia="Verdana" w:cs="Calibri"/>
          <w:color w:val="000000" w:themeColor="text1"/>
          <w:szCs w:val="22"/>
        </w:rPr>
        <w:t xml:space="preserve"> twee nieuwe data spaces voor het delen van data in de rechtspraak en voor defensie. </w:t>
      </w:r>
    </w:p>
    <w:p w:rsidRPr="00517DF3" w:rsidR="003C27BF" w:rsidP="00517DF3" w:rsidRDefault="003C27BF" w14:paraId="0EBBBA07" w14:textId="77777777">
      <w:pPr>
        <w:spacing w:line="240" w:lineRule="auto"/>
        <w:rPr>
          <w:rFonts w:ascii="Calibri" w:hAnsi="Calibri" w:eastAsia="Verdana" w:cs="Calibri"/>
          <w:color w:val="000000"/>
          <w:szCs w:val="22"/>
        </w:rPr>
      </w:pPr>
    </w:p>
    <w:p w:rsidRPr="00517DF3" w:rsidR="003F4B19" w:rsidP="00517DF3" w:rsidRDefault="00C93E94" w14:paraId="29AF66F6" w14:textId="3BAD7846">
      <w:pPr>
        <w:spacing w:line="240" w:lineRule="auto"/>
        <w:rPr>
          <w:rFonts w:ascii="Calibri" w:hAnsi="Calibri" w:eastAsia="Verdana" w:cs="Calibri"/>
          <w:color w:val="000000" w:themeColor="text1"/>
          <w:szCs w:val="22"/>
        </w:rPr>
      </w:pPr>
      <w:r w:rsidRPr="00517DF3">
        <w:rPr>
          <w:rFonts w:ascii="Calibri" w:hAnsi="Calibri" w:eastAsia="Verdana" w:cs="Calibri"/>
          <w:color w:val="000000" w:themeColor="text1"/>
          <w:szCs w:val="22"/>
        </w:rPr>
        <w:t>De mededeling</w:t>
      </w:r>
      <w:r w:rsidRPr="00517DF3" w:rsidR="3958735C">
        <w:rPr>
          <w:rFonts w:ascii="Calibri" w:hAnsi="Calibri" w:eastAsia="Verdana" w:cs="Calibri"/>
          <w:color w:val="000000" w:themeColor="text1"/>
          <w:szCs w:val="22"/>
        </w:rPr>
        <w:t xml:space="preserve"> introduceert het concept Data Labs. Data Labs zullen datahouders, data spaces en andere domein specifieke data-ecosystemen verbinden aan het AI-ecosysteem en de Europese AI</w:t>
      </w:r>
      <w:r w:rsidRPr="00517DF3" w:rsidR="009963BC">
        <w:rPr>
          <w:rFonts w:ascii="Calibri" w:hAnsi="Calibri" w:eastAsia="Verdana" w:cs="Calibri"/>
          <w:color w:val="000000" w:themeColor="text1"/>
          <w:szCs w:val="22"/>
        </w:rPr>
        <w:t>-</w:t>
      </w:r>
      <w:r w:rsidRPr="00517DF3" w:rsidR="3958735C">
        <w:rPr>
          <w:rFonts w:ascii="Calibri" w:hAnsi="Calibri" w:eastAsia="Verdana" w:cs="Calibri"/>
          <w:color w:val="000000" w:themeColor="text1"/>
          <w:szCs w:val="22"/>
        </w:rPr>
        <w:t xml:space="preserve">fabrieken. Data Labs zullen praktische diensten aanbieden, zoals datapooling, datacuratie, en het </w:t>
      </w:r>
      <w:r w:rsidRPr="00517DF3" w:rsidR="3958735C">
        <w:rPr>
          <w:rFonts w:ascii="Calibri" w:hAnsi="Calibri" w:eastAsia="Verdana" w:cs="Calibri"/>
          <w:color w:val="000000" w:themeColor="text1"/>
          <w:szCs w:val="22"/>
        </w:rPr>
        <w:lastRenderedPageBreak/>
        <w:t>labelen en pseudonimiseren van data, om organisaties, met name het MKB en startups, te helpen bij het veilig delen en gebruiken van data.</w:t>
      </w:r>
    </w:p>
    <w:p w:rsidRPr="00517DF3" w:rsidR="003C27BF" w:rsidP="00517DF3" w:rsidRDefault="003C27BF" w14:paraId="7538F9EA" w14:textId="77777777">
      <w:pPr>
        <w:spacing w:line="240" w:lineRule="auto"/>
        <w:rPr>
          <w:rFonts w:ascii="Calibri" w:hAnsi="Calibri" w:eastAsia="Verdana" w:cs="Calibri"/>
          <w:color w:val="000000"/>
          <w:szCs w:val="22"/>
        </w:rPr>
      </w:pPr>
    </w:p>
    <w:p w:rsidRPr="00517DF3" w:rsidR="00816807" w:rsidP="00517DF3" w:rsidRDefault="3958735C" w14:paraId="470ACE84" w14:textId="5E377EE4">
      <w:pPr>
        <w:spacing w:line="240" w:lineRule="auto"/>
        <w:rPr>
          <w:rFonts w:ascii="Calibri" w:hAnsi="Calibri" w:eastAsia="Verdana" w:cs="Calibri"/>
          <w:color w:val="000000" w:themeColor="text1"/>
          <w:szCs w:val="22"/>
        </w:rPr>
      </w:pPr>
      <w:r w:rsidRPr="00517DF3">
        <w:rPr>
          <w:rFonts w:ascii="Calibri" w:hAnsi="Calibri" w:eastAsia="Verdana" w:cs="Calibri"/>
          <w:color w:val="000000" w:themeColor="text1"/>
          <w:szCs w:val="22"/>
        </w:rPr>
        <w:t>Via de doorontwikkeling van SIMPL</w:t>
      </w:r>
      <w:r w:rsidRPr="00517DF3" w:rsidR="00556DA8">
        <w:rPr>
          <w:rStyle w:val="Voetnootmarkering"/>
          <w:rFonts w:ascii="Calibri" w:hAnsi="Calibri" w:eastAsia="Verdana" w:cs="Calibri"/>
          <w:color w:val="000000" w:themeColor="text1"/>
          <w:szCs w:val="22"/>
        </w:rPr>
        <w:footnoteReference w:id="2"/>
      </w:r>
      <w:r w:rsidRPr="00517DF3">
        <w:rPr>
          <w:rFonts w:ascii="Calibri" w:hAnsi="Calibri" w:eastAsia="Verdana" w:cs="Calibri"/>
          <w:color w:val="000000" w:themeColor="text1"/>
          <w:szCs w:val="22"/>
        </w:rPr>
        <w:t xml:space="preserve"> wil de Commissie de verschillende data spaces met elkaar verbinden. De Commissie kondigt verder de </w:t>
      </w:r>
      <w:r w:rsidRPr="00517DF3" w:rsidR="00D52418">
        <w:rPr>
          <w:rFonts w:ascii="Calibri" w:hAnsi="Calibri" w:eastAsia="Verdana" w:cs="Calibri"/>
          <w:color w:val="000000" w:themeColor="text1"/>
          <w:szCs w:val="22"/>
        </w:rPr>
        <w:t xml:space="preserve">publicatie van de </w:t>
      </w:r>
      <w:r w:rsidRPr="00517DF3">
        <w:rPr>
          <w:rFonts w:ascii="Calibri" w:hAnsi="Calibri" w:eastAsia="Verdana" w:cs="Calibri"/>
          <w:color w:val="000000" w:themeColor="text1"/>
          <w:szCs w:val="22"/>
        </w:rPr>
        <w:t>Cloud and AI Development Act aan</w:t>
      </w:r>
      <w:r w:rsidRPr="00517DF3" w:rsidR="00D52418">
        <w:rPr>
          <w:rFonts w:ascii="Calibri" w:hAnsi="Calibri" w:eastAsia="Verdana" w:cs="Calibri"/>
          <w:color w:val="000000" w:themeColor="text1"/>
          <w:szCs w:val="22"/>
        </w:rPr>
        <w:t xml:space="preserve"> (verwacht in Q1 2026)</w:t>
      </w:r>
      <w:r w:rsidRPr="00517DF3">
        <w:rPr>
          <w:rFonts w:ascii="Calibri" w:hAnsi="Calibri" w:eastAsia="Verdana" w:cs="Calibri"/>
          <w:color w:val="000000" w:themeColor="text1"/>
          <w:szCs w:val="22"/>
        </w:rPr>
        <w:t xml:space="preserve">, een </w:t>
      </w:r>
      <w:r w:rsidRPr="00517DF3" w:rsidR="00556DA8">
        <w:rPr>
          <w:rFonts w:ascii="Calibri" w:hAnsi="Calibri" w:eastAsia="Verdana" w:cs="Calibri"/>
          <w:color w:val="000000" w:themeColor="text1"/>
          <w:szCs w:val="22"/>
        </w:rPr>
        <w:t xml:space="preserve">verordening </w:t>
      </w:r>
      <w:r w:rsidRPr="00517DF3">
        <w:rPr>
          <w:rFonts w:ascii="Calibri" w:hAnsi="Calibri" w:eastAsia="Verdana" w:cs="Calibri"/>
          <w:color w:val="000000" w:themeColor="text1"/>
          <w:szCs w:val="22"/>
        </w:rPr>
        <w:t xml:space="preserve">die zich richt op het promoten van duurzame datacentercapaciteit en </w:t>
      </w:r>
      <w:r w:rsidRPr="00517DF3" w:rsidR="00D52418">
        <w:rPr>
          <w:rFonts w:ascii="Calibri" w:hAnsi="Calibri" w:eastAsia="Verdana" w:cs="Calibri"/>
          <w:color w:val="000000" w:themeColor="text1"/>
          <w:szCs w:val="22"/>
        </w:rPr>
        <w:t xml:space="preserve">een </w:t>
      </w:r>
      <w:r w:rsidRPr="00517DF3">
        <w:rPr>
          <w:rFonts w:ascii="Calibri" w:hAnsi="Calibri" w:eastAsia="Verdana" w:cs="Calibri"/>
          <w:color w:val="000000" w:themeColor="text1"/>
          <w:szCs w:val="22"/>
        </w:rPr>
        <w:t>so</w:t>
      </w:r>
      <w:r w:rsidRPr="00517DF3" w:rsidR="00D52418">
        <w:rPr>
          <w:rFonts w:ascii="Calibri" w:hAnsi="Calibri" w:eastAsia="Verdana" w:cs="Calibri"/>
          <w:color w:val="000000" w:themeColor="text1"/>
          <w:szCs w:val="22"/>
        </w:rPr>
        <w:t>e</w:t>
      </w:r>
      <w:r w:rsidRPr="00517DF3">
        <w:rPr>
          <w:rFonts w:ascii="Calibri" w:hAnsi="Calibri" w:eastAsia="Verdana" w:cs="Calibri"/>
          <w:color w:val="000000" w:themeColor="text1"/>
          <w:szCs w:val="22"/>
        </w:rPr>
        <w:t>vereine cloud. Ook introduceert de Commissie plannen voor het uitbreiden van de high value datasets als onderdeel van het open databeleid. Daarnaast worden nieuwe activiteiten voor synthetische data</w:t>
      </w:r>
      <w:r w:rsidRPr="00517DF3" w:rsidR="00506AB2">
        <w:rPr>
          <w:rStyle w:val="Voetnootmarkering"/>
          <w:rFonts w:ascii="Calibri" w:hAnsi="Calibri" w:eastAsia="Verdana" w:cs="Calibri"/>
          <w:color w:val="000000" w:themeColor="text1"/>
          <w:szCs w:val="22"/>
        </w:rPr>
        <w:footnoteReference w:id="3"/>
      </w:r>
      <w:r w:rsidRPr="00517DF3">
        <w:rPr>
          <w:rFonts w:ascii="Calibri" w:hAnsi="Calibri" w:eastAsia="Verdana" w:cs="Calibri"/>
          <w:color w:val="000000" w:themeColor="text1"/>
          <w:szCs w:val="22"/>
        </w:rPr>
        <w:t xml:space="preserve"> gelanceerd, waaronder juridische ondersteuning, standaarden, certificering en een synthetische datafabriek. Ook introduceert de Commissie de ontwikkeling van nieuwe standaarden voor datakwaliteit en</w:t>
      </w:r>
      <w:r w:rsidRPr="00517DF3" w:rsidR="00CE2A2C">
        <w:rPr>
          <w:rFonts w:ascii="Calibri" w:hAnsi="Calibri" w:eastAsia="Verdana" w:cs="Calibri"/>
          <w:color w:val="000000" w:themeColor="text1"/>
          <w:szCs w:val="22"/>
        </w:rPr>
        <w:t xml:space="preserve"> data</w:t>
      </w:r>
      <w:r w:rsidRPr="00517DF3">
        <w:rPr>
          <w:rFonts w:ascii="Calibri" w:hAnsi="Calibri" w:eastAsia="Verdana" w:cs="Calibri"/>
          <w:color w:val="000000" w:themeColor="text1"/>
          <w:szCs w:val="22"/>
        </w:rPr>
        <w:t xml:space="preserve"> </w:t>
      </w:r>
      <w:r w:rsidRPr="00517DF3" w:rsidR="00CE2A2C">
        <w:rPr>
          <w:rFonts w:ascii="Calibri" w:hAnsi="Calibri" w:eastAsia="Verdana" w:cs="Calibri"/>
          <w:color w:val="000000" w:themeColor="text1"/>
          <w:szCs w:val="22"/>
        </w:rPr>
        <w:t>etikettering</w:t>
      </w:r>
    </w:p>
    <w:p w:rsidRPr="00517DF3" w:rsidR="007E1176" w:rsidP="00517DF3" w:rsidRDefault="007E1176" w14:paraId="6B06C7F9" w14:textId="77777777">
      <w:pPr>
        <w:spacing w:line="240" w:lineRule="auto"/>
        <w:rPr>
          <w:rFonts w:ascii="Calibri" w:hAnsi="Calibri" w:eastAsia="Verdana" w:cs="Calibri"/>
          <w:color w:val="000000"/>
          <w:szCs w:val="22"/>
        </w:rPr>
      </w:pPr>
    </w:p>
    <w:p w:rsidRPr="00517DF3" w:rsidR="007E1176" w:rsidP="00517DF3" w:rsidRDefault="3958735C" w14:paraId="7E329D74" w14:textId="3E87C61E">
      <w:pPr>
        <w:spacing w:line="240" w:lineRule="auto"/>
        <w:rPr>
          <w:rFonts w:ascii="Calibri" w:hAnsi="Calibri" w:eastAsia="Verdana" w:cs="Calibri"/>
          <w:b/>
          <w:bCs/>
          <w:color w:val="000000" w:themeColor="text1"/>
          <w:szCs w:val="22"/>
        </w:rPr>
      </w:pPr>
      <w:r w:rsidRPr="00517DF3">
        <w:rPr>
          <w:rFonts w:ascii="Calibri" w:hAnsi="Calibri" w:eastAsia="Verdana" w:cs="Calibri"/>
          <w:color w:val="000000" w:themeColor="text1"/>
          <w:szCs w:val="22"/>
        </w:rPr>
        <w:t>Pijler II gaat in op het stroomlijnen van Europese digitale wetgeving. Hiervoor heeft de Commissie de Omnibus Digitaal en de Omnibus AI geïntroduceerd</w:t>
      </w:r>
      <w:r w:rsidRPr="00517DF3" w:rsidR="00685BE6">
        <w:rPr>
          <w:rFonts w:ascii="Calibri" w:hAnsi="Calibri" w:eastAsia="Verdana" w:cs="Calibri"/>
          <w:color w:val="000000" w:themeColor="text1"/>
          <w:szCs w:val="22"/>
        </w:rPr>
        <w:t>, waarin</w:t>
      </w:r>
      <w:r w:rsidRPr="00517DF3">
        <w:rPr>
          <w:rFonts w:ascii="Calibri" w:hAnsi="Calibri" w:eastAsia="Verdana" w:cs="Calibri"/>
          <w:color w:val="000000" w:themeColor="text1"/>
          <w:szCs w:val="22"/>
        </w:rPr>
        <w:t xml:space="preserve"> Europese datawetgeving </w:t>
      </w:r>
      <w:r w:rsidRPr="00517DF3" w:rsidR="00685BE6">
        <w:rPr>
          <w:rFonts w:ascii="Calibri" w:hAnsi="Calibri" w:eastAsia="Verdana" w:cs="Calibri"/>
          <w:color w:val="000000" w:themeColor="text1"/>
          <w:szCs w:val="22"/>
        </w:rPr>
        <w:t xml:space="preserve">worden </w:t>
      </w:r>
      <w:r w:rsidRPr="00517DF3">
        <w:rPr>
          <w:rFonts w:ascii="Calibri" w:hAnsi="Calibri" w:eastAsia="Verdana" w:cs="Calibri"/>
          <w:color w:val="000000" w:themeColor="text1"/>
          <w:szCs w:val="22"/>
        </w:rPr>
        <w:t xml:space="preserve">gestroomlijnd en samengebracht. Daarnaast introduceert </w:t>
      </w:r>
      <w:r w:rsidRPr="00517DF3" w:rsidR="008F6B4C">
        <w:rPr>
          <w:rFonts w:ascii="Calibri" w:hAnsi="Calibri" w:eastAsia="Verdana" w:cs="Calibri"/>
          <w:color w:val="000000" w:themeColor="text1"/>
          <w:szCs w:val="22"/>
        </w:rPr>
        <w:t>de mededeling</w:t>
      </w:r>
      <w:r w:rsidRPr="00517DF3">
        <w:rPr>
          <w:rFonts w:ascii="Calibri" w:hAnsi="Calibri" w:eastAsia="Verdana" w:cs="Calibri"/>
          <w:color w:val="000000" w:themeColor="text1"/>
          <w:szCs w:val="22"/>
        </w:rPr>
        <w:t xml:space="preserve"> een Digitale Fitness Check, waarin de raakvlakken en eventuele overlap tussen digitale wetgeving geanalyseerd zal worden. Daarnaast wordt ingezet op geautomatiseerd rapporteren, </w:t>
      </w:r>
      <w:r w:rsidRPr="00517DF3" w:rsidR="005A017A">
        <w:rPr>
          <w:rFonts w:ascii="Calibri" w:hAnsi="Calibri" w:eastAsia="Verdana" w:cs="Calibri"/>
          <w:color w:val="000000" w:themeColor="text1"/>
          <w:szCs w:val="22"/>
        </w:rPr>
        <w:t>zogenoemde</w:t>
      </w:r>
      <w:r w:rsidRPr="00517DF3">
        <w:rPr>
          <w:rFonts w:ascii="Calibri" w:hAnsi="Calibri" w:eastAsia="Verdana" w:cs="Calibri"/>
          <w:color w:val="000000" w:themeColor="text1"/>
          <w:szCs w:val="22"/>
        </w:rPr>
        <w:t xml:space="preserve"> </w:t>
      </w:r>
      <w:r w:rsidRPr="00517DF3">
        <w:rPr>
          <w:rFonts w:ascii="Calibri" w:hAnsi="Calibri" w:eastAsia="Verdana" w:cs="Calibri"/>
          <w:i/>
          <w:iCs/>
          <w:color w:val="000000" w:themeColor="text1"/>
          <w:szCs w:val="22"/>
        </w:rPr>
        <w:t>one-click-compliance</w:t>
      </w:r>
      <w:r w:rsidRPr="00517DF3">
        <w:rPr>
          <w:rFonts w:ascii="Calibri" w:hAnsi="Calibri" w:eastAsia="Verdana" w:cs="Calibri"/>
          <w:color w:val="000000" w:themeColor="text1"/>
          <w:szCs w:val="22"/>
        </w:rPr>
        <w:t xml:space="preserve">, via de Europese business wallet. Ook zal de Commissie bedrijven en organisaties ondersteuning bieden </w:t>
      </w:r>
      <w:r w:rsidRPr="00517DF3" w:rsidR="005A017A">
        <w:rPr>
          <w:rFonts w:ascii="Calibri" w:hAnsi="Calibri" w:eastAsia="Verdana" w:cs="Calibri"/>
          <w:color w:val="000000" w:themeColor="text1"/>
          <w:szCs w:val="22"/>
        </w:rPr>
        <w:t xml:space="preserve">bij </w:t>
      </w:r>
      <w:r w:rsidRPr="00517DF3">
        <w:rPr>
          <w:rFonts w:ascii="Calibri" w:hAnsi="Calibri" w:eastAsia="Verdana" w:cs="Calibri"/>
          <w:color w:val="000000" w:themeColor="text1"/>
          <w:szCs w:val="22"/>
        </w:rPr>
        <w:t xml:space="preserve">het voldoen aan de Dataverordening door model-contracten voor data delen en standaard contractclausules voor cloud-computing te ontwikkelen, uitleg te geven over vergoeding voor het beschikbaar stellen van data en over bedrijfsgeheimen, en een </w:t>
      </w:r>
      <w:r w:rsidRPr="00517DF3" w:rsidR="005A017A">
        <w:rPr>
          <w:rFonts w:ascii="Calibri" w:hAnsi="Calibri" w:eastAsia="Verdana" w:cs="Calibri"/>
          <w:color w:val="000000" w:themeColor="text1"/>
          <w:szCs w:val="22"/>
        </w:rPr>
        <w:t>j</w:t>
      </w:r>
      <w:r w:rsidRPr="00517DF3">
        <w:rPr>
          <w:rFonts w:ascii="Calibri" w:hAnsi="Calibri" w:eastAsia="Verdana" w:cs="Calibri"/>
          <w:color w:val="000000" w:themeColor="text1"/>
          <w:szCs w:val="22"/>
        </w:rPr>
        <w:t xml:space="preserve">uridische </w:t>
      </w:r>
      <w:r w:rsidRPr="00517DF3" w:rsidR="005A017A">
        <w:rPr>
          <w:rFonts w:ascii="Calibri" w:hAnsi="Calibri" w:eastAsia="Verdana" w:cs="Calibri"/>
          <w:color w:val="000000" w:themeColor="text1"/>
          <w:szCs w:val="22"/>
        </w:rPr>
        <w:t>h</w:t>
      </w:r>
      <w:r w:rsidRPr="00517DF3">
        <w:rPr>
          <w:rFonts w:ascii="Calibri" w:hAnsi="Calibri" w:eastAsia="Verdana" w:cs="Calibri"/>
          <w:color w:val="000000" w:themeColor="text1"/>
          <w:szCs w:val="22"/>
        </w:rPr>
        <w:t>elpdesk op</w:t>
      </w:r>
      <w:r w:rsidRPr="00517DF3" w:rsidR="00425D40">
        <w:rPr>
          <w:rFonts w:ascii="Calibri" w:hAnsi="Calibri" w:eastAsia="Verdana" w:cs="Calibri"/>
          <w:color w:val="000000" w:themeColor="text1"/>
          <w:szCs w:val="22"/>
        </w:rPr>
        <w:t xml:space="preserve"> te </w:t>
      </w:r>
      <w:r w:rsidRPr="00517DF3">
        <w:rPr>
          <w:rFonts w:ascii="Calibri" w:hAnsi="Calibri" w:eastAsia="Verdana" w:cs="Calibri"/>
          <w:color w:val="000000" w:themeColor="text1"/>
          <w:szCs w:val="22"/>
        </w:rPr>
        <w:t>richten.</w:t>
      </w:r>
    </w:p>
    <w:p w:rsidRPr="00517DF3" w:rsidR="007E1176" w:rsidP="00517DF3" w:rsidRDefault="007E1176" w14:paraId="76CF7109" w14:textId="77777777">
      <w:pPr>
        <w:spacing w:line="240" w:lineRule="auto"/>
        <w:rPr>
          <w:rFonts w:ascii="Calibri" w:hAnsi="Calibri" w:eastAsia="Verdana" w:cs="Calibri"/>
          <w:color w:val="000000"/>
          <w:szCs w:val="22"/>
        </w:rPr>
      </w:pPr>
    </w:p>
    <w:p w:rsidRPr="00517DF3" w:rsidR="007E1176" w:rsidP="00517DF3" w:rsidRDefault="3958735C" w14:paraId="0F3056E4" w14:textId="150EFE29">
      <w:pPr>
        <w:spacing w:line="240" w:lineRule="auto"/>
        <w:rPr>
          <w:rFonts w:ascii="Calibri" w:hAnsi="Calibri" w:eastAsia="Verdana" w:cs="Calibri"/>
          <w:color w:val="000000" w:themeColor="text1"/>
          <w:szCs w:val="22"/>
        </w:rPr>
      </w:pPr>
      <w:r w:rsidRPr="00517DF3">
        <w:rPr>
          <w:rFonts w:ascii="Calibri" w:hAnsi="Calibri" w:eastAsia="Verdana" w:cs="Calibri"/>
          <w:color w:val="000000" w:themeColor="text1"/>
          <w:szCs w:val="22"/>
        </w:rPr>
        <w:t>Pijler III richt zich op het strategisch internationaal databeleid van de EU in relatie tot derde landen. Ten eerste wil de Commissie Europese gevoelige niet-persoonlijke data beter beschermen, in lijn met de adequaatsheidsbesluiten voor persoonlijke databescherming. Ook wil het een anti-datalek toolbox introduceren. Ten tweede zal de Commissie zich focussen op het versterken van partnerschappen met gelijkgestemde landen, door het inzetten van data spaces in internationale datastromen, het opstellen van gestandaardiseerde contracten, en door internationale datastromen op te nemen in internationale en bilaterale verdragen. Ten derde wil de Commissie, in relatie tot internationaal databeleid, haar inzet in internationale fora als de G7, G20, OESO en VN vergroten.</w:t>
      </w:r>
    </w:p>
    <w:p w:rsidRPr="00517DF3" w:rsidR="00066C36" w:rsidP="00517DF3" w:rsidRDefault="00066C36" w14:paraId="5323AAFD" w14:textId="77777777">
      <w:pPr>
        <w:tabs>
          <w:tab w:val="left" w:pos="360"/>
          <w:tab w:val="left" w:pos="4500"/>
          <w:tab w:val="left" w:pos="5580"/>
        </w:tabs>
        <w:spacing w:line="240" w:lineRule="auto"/>
        <w:rPr>
          <w:rFonts w:ascii="Calibri" w:hAnsi="Calibri" w:cs="Calibri"/>
          <w:szCs w:val="22"/>
        </w:rPr>
      </w:pPr>
    </w:p>
    <w:p w:rsidRPr="00517DF3" w:rsidR="00587F45" w:rsidP="00517DF3" w:rsidRDefault="5F97366C" w14:paraId="5E589E00" w14:textId="40429DDE">
      <w:pPr>
        <w:numPr>
          <w:ilvl w:val="0"/>
          <w:numId w:val="21"/>
        </w:numPr>
        <w:tabs>
          <w:tab w:val="left" w:pos="360"/>
        </w:tabs>
        <w:spacing w:line="240" w:lineRule="auto"/>
        <w:rPr>
          <w:rFonts w:ascii="Calibri" w:hAnsi="Calibri" w:cs="Calibri"/>
          <w:b/>
          <w:bCs/>
          <w:szCs w:val="22"/>
        </w:rPr>
      </w:pPr>
      <w:r w:rsidRPr="00517DF3">
        <w:rPr>
          <w:rFonts w:ascii="Calibri" w:hAnsi="Calibri" w:cs="Calibri"/>
          <w:b/>
          <w:bCs/>
          <w:szCs w:val="22"/>
        </w:rPr>
        <w:t>Nederlandse positie ten aanzien van het voorstel</w:t>
      </w:r>
    </w:p>
    <w:p w:rsidRPr="00517DF3" w:rsidR="3BFA72AB" w:rsidP="00517DF3" w:rsidRDefault="5F97366C" w14:paraId="0BC0F1C6" w14:textId="18694441">
      <w:pPr>
        <w:pStyle w:val="Lijstalinea"/>
        <w:numPr>
          <w:ilvl w:val="0"/>
          <w:numId w:val="44"/>
        </w:numPr>
        <w:spacing w:line="240" w:lineRule="auto"/>
        <w:rPr>
          <w:rFonts w:ascii="Calibri" w:hAnsi="Calibri" w:eastAsia="Verdana" w:cs="Calibri"/>
          <w:i/>
          <w:iCs/>
          <w:szCs w:val="22"/>
        </w:rPr>
      </w:pPr>
      <w:r w:rsidRPr="00517DF3">
        <w:rPr>
          <w:rFonts w:ascii="Calibri" w:hAnsi="Calibri" w:eastAsia="Verdana" w:cs="Calibri"/>
          <w:i/>
          <w:iCs/>
          <w:szCs w:val="22"/>
        </w:rPr>
        <w:t>Essentie Nederlands beleid op dit terrein</w:t>
      </w:r>
    </w:p>
    <w:p w:rsidRPr="00517DF3" w:rsidR="3BFA72AB" w:rsidP="00517DF3" w:rsidRDefault="5B05B317" w14:paraId="4E49F5CF" w14:textId="1D94ECF6">
      <w:pPr>
        <w:spacing w:line="240" w:lineRule="auto"/>
        <w:rPr>
          <w:rFonts w:ascii="Calibri" w:hAnsi="Calibri" w:eastAsia="Verdana" w:cs="Calibri"/>
          <w:szCs w:val="22"/>
        </w:rPr>
      </w:pPr>
      <w:r w:rsidRPr="00517DF3">
        <w:rPr>
          <w:rFonts w:ascii="Calibri" w:hAnsi="Calibri" w:eastAsia="Verdana" w:cs="Calibri"/>
          <w:szCs w:val="22"/>
        </w:rPr>
        <w:t xml:space="preserve">Het nationaal beleid rondom data delen vindt zijn oorsprong in </w:t>
      </w:r>
      <w:r w:rsidRPr="00517DF3" w:rsidR="00742B98">
        <w:rPr>
          <w:rFonts w:ascii="Calibri" w:hAnsi="Calibri" w:eastAsia="Verdana" w:cs="Calibri"/>
          <w:szCs w:val="22"/>
        </w:rPr>
        <w:t>diverse overheidsdocumenten</w:t>
      </w:r>
      <w:r w:rsidRPr="00517DF3" w:rsidR="00A86A81">
        <w:rPr>
          <w:rFonts w:ascii="Calibri" w:hAnsi="Calibri" w:eastAsia="Verdana" w:cs="Calibri"/>
          <w:szCs w:val="22"/>
        </w:rPr>
        <w:t>,</w:t>
      </w:r>
      <w:r w:rsidRPr="00517DF3" w:rsidR="00742B98">
        <w:rPr>
          <w:rFonts w:ascii="Calibri" w:hAnsi="Calibri" w:eastAsia="Verdana" w:cs="Calibri"/>
          <w:szCs w:val="22"/>
        </w:rPr>
        <w:t xml:space="preserve"> waaronder </w:t>
      </w:r>
      <w:r w:rsidRPr="00517DF3" w:rsidR="00A86A81">
        <w:rPr>
          <w:rFonts w:ascii="Calibri" w:hAnsi="Calibri" w:eastAsia="Verdana" w:cs="Calibri"/>
          <w:szCs w:val="22"/>
        </w:rPr>
        <w:t>d</w:t>
      </w:r>
      <w:r w:rsidRPr="00517DF3">
        <w:rPr>
          <w:rFonts w:ascii="Calibri" w:hAnsi="Calibri" w:eastAsia="Verdana" w:cs="Calibri"/>
          <w:szCs w:val="22"/>
        </w:rPr>
        <w:t xml:space="preserve">e Nederlandse </w:t>
      </w:r>
      <w:r w:rsidRPr="00517DF3" w:rsidR="00A86A81">
        <w:rPr>
          <w:rFonts w:ascii="Calibri" w:hAnsi="Calibri" w:eastAsia="Verdana" w:cs="Calibri"/>
          <w:szCs w:val="22"/>
        </w:rPr>
        <w:t xml:space="preserve">visie </w:t>
      </w:r>
      <w:r w:rsidRPr="00517DF3">
        <w:rPr>
          <w:rFonts w:ascii="Calibri" w:hAnsi="Calibri" w:eastAsia="Verdana" w:cs="Calibri"/>
          <w:szCs w:val="22"/>
        </w:rPr>
        <w:t>op datadeling tussen bedrijven</w:t>
      </w:r>
      <w:r w:rsidRPr="00517DF3" w:rsidR="00436ACB">
        <w:rPr>
          <w:rFonts w:ascii="Calibri" w:hAnsi="Calibri" w:eastAsia="Verdana" w:cs="Calibri"/>
          <w:szCs w:val="22"/>
        </w:rPr>
        <w:t xml:space="preserve"> (2019)</w:t>
      </w:r>
      <w:r w:rsidRPr="00517DF3" w:rsidR="00A86A81">
        <w:rPr>
          <w:rFonts w:ascii="Calibri" w:hAnsi="Calibri" w:eastAsia="Verdana" w:cs="Calibri"/>
          <w:szCs w:val="22"/>
        </w:rPr>
        <w:t>,</w:t>
      </w:r>
      <w:r w:rsidRPr="00517DF3" w:rsidR="00436ACB">
        <w:rPr>
          <w:rStyle w:val="Voetnootmarkering"/>
          <w:rFonts w:ascii="Calibri" w:hAnsi="Calibri" w:eastAsia="Verdana" w:cs="Calibri"/>
          <w:szCs w:val="22"/>
        </w:rPr>
        <w:footnoteReference w:id="4"/>
      </w:r>
      <w:r w:rsidRPr="00517DF3">
        <w:rPr>
          <w:rFonts w:ascii="Calibri" w:hAnsi="Calibri" w:eastAsia="Verdana" w:cs="Calibri"/>
          <w:szCs w:val="22"/>
        </w:rPr>
        <w:t xml:space="preserve"> waarin de grote economische en maatschappelijke kansen die datadeling door bedrijven biedt </w:t>
      </w:r>
      <w:r w:rsidRPr="00517DF3" w:rsidR="00EC56FC">
        <w:rPr>
          <w:rFonts w:ascii="Calibri" w:hAnsi="Calibri" w:eastAsia="Verdana" w:cs="Calibri"/>
          <w:szCs w:val="22"/>
        </w:rPr>
        <w:t xml:space="preserve">worden </w:t>
      </w:r>
      <w:r w:rsidRPr="00517DF3">
        <w:rPr>
          <w:rFonts w:ascii="Calibri" w:hAnsi="Calibri" w:eastAsia="Verdana" w:cs="Calibri"/>
          <w:szCs w:val="22"/>
        </w:rPr>
        <w:t>onderkend</w:t>
      </w:r>
      <w:r w:rsidRPr="00517DF3" w:rsidR="00661EA1">
        <w:rPr>
          <w:rFonts w:ascii="Calibri" w:hAnsi="Calibri" w:eastAsia="Verdana" w:cs="Calibri"/>
          <w:szCs w:val="22"/>
        </w:rPr>
        <w:t>. O</w:t>
      </w:r>
      <w:r w:rsidRPr="00517DF3">
        <w:rPr>
          <w:rFonts w:ascii="Calibri" w:hAnsi="Calibri" w:eastAsia="Verdana" w:cs="Calibri"/>
          <w:szCs w:val="22"/>
        </w:rPr>
        <w:t xml:space="preserve">p basis van de ambities en principes die in de visie worden beschreven </w:t>
      </w:r>
      <w:r w:rsidRPr="00517DF3" w:rsidR="00661EA1">
        <w:rPr>
          <w:rFonts w:ascii="Calibri" w:hAnsi="Calibri" w:eastAsia="Verdana" w:cs="Calibri"/>
          <w:szCs w:val="22"/>
        </w:rPr>
        <w:t xml:space="preserve">is </w:t>
      </w:r>
      <w:r w:rsidRPr="00517DF3" w:rsidR="00345095">
        <w:rPr>
          <w:rFonts w:ascii="Calibri" w:hAnsi="Calibri" w:eastAsia="Verdana" w:cs="Calibri"/>
          <w:szCs w:val="22"/>
        </w:rPr>
        <w:t xml:space="preserve">het </w:t>
      </w:r>
      <w:r w:rsidRPr="00517DF3" w:rsidR="00345095">
        <w:rPr>
          <w:rFonts w:ascii="Calibri" w:hAnsi="Calibri" w:eastAsia="Verdana" w:cs="Calibri"/>
          <w:i/>
          <w:iCs/>
          <w:szCs w:val="22"/>
        </w:rPr>
        <w:t>Centre of Excellence for Data Sharing &amp; Cloud</w:t>
      </w:r>
      <w:r w:rsidRPr="00517DF3" w:rsidR="00345095">
        <w:rPr>
          <w:rFonts w:ascii="Calibri" w:hAnsi="Calibri" w:eastAsia="Verdana" w:cs="Calibri"/>
          <w:szCs w:val="22"/>
        </w:rPr>
        <w:t xml:space="preserve"> </w:t>
      </w:r>
      <w:r w:rsidRPr="00517DF3">
        <w:rPr>
          <w:rFonts w:ascii="Calibri" w:hAnsi="Calibri" w:eastAsia="Verdana" w:cs="Calibri"/>
          <w:szCs w:val="22"/>
        </w:rPr>
        <w:t>opgericht.</w:t>
      </w:r>
    </w:p>
    <w:p w:rsidRPr="00517DF3" w:rsidR="3BFA72AB" w:rsidP="00517DF3" w:rsidRDefault="3958735C" w14:paraId="6F3AE306" w14:textId="755349C5">
      <w:pPr>
        <w:spacing w:line="240" w:lineRule="auto"/>
        <w:rPr>
          <w:rFonts w:ascii="Calibri" w:hAnsi="Calibri" w:eastAsia="Verdana" w:cs="Calibri"/>
          <w:szCs w:val="22"/>
        </w:rPr>
      </w:pPr>
      <w:r w:rsidRPr="00517DF3">
        <w:rPr>
          <w:rFonts w:ascii="Calibri" w:hAnsi="Calibri" w:eastAsia="Verdana" w:cs="Calibri"/>
          <w:szCs w:val="22"/>
        </w:rPr>
        <w:t xml:space="preserve">In de Nationale Technologiestrategie (NTS) is prioriteit gegeven aan de ontwikkeling van </w:t>
      </w:r>
      <w:r w:rsidRPr="00517DF3" w:rsidR="00EC56FC">
        <w:rPr>
          <w:rFonts w:ascii="Calibri" w:hAnsi="Calibri" w:eastAsia="Verdana" w:cs="Calibri"/>
          <w:szCs w:val="22"/>
        </w:rPr>
        <w:t>tien</w:t>
      </w:r>
      <w:r w:rsidRPr="00517DF3">
        <w:rPr>
          <w:rFonts w:ascii="Calibri" w:hAnsi="Calibri" w:eastAsia="Verdana" w:cs="Calibri"/>
          <w:szCs w:val="22"/>
        </w:rPr>
        <w:t xml:space="preserve"> sleuteltechnologieën.</w:t>
      </w:r>
      <w:r w:rsidRPr="00517DF3" w:rsidR="5B05B317">
        <w:rPr>
          <w:rStyle w:val="Voetnootmarkering"/>
          <w:rFonts w:ascii="Calibri" w:hAnsi="Calibri" w:eastAsia="Verdana" w:cs="Calibri"/>
          <w:szCs w:val="22"/>
        </w:rPr>
        <w:footnoteReference w:id="5"/>
      </w:r>
      <w:r w:rsidRPr="00517DF3">
        <w:rPr>
          <w:rFonts w:ascii="Calibri" w:hAnsi="Calibri" w:eastAsia="Verdana" w:cs="Calibri"/>
          <w:szCs w:val="22"/>
        </w:rPr>
        <w:t xml:space="preserve"> AI en data zijn gezamenlijk</w:t>
      </w:r>
      <w:r w:rsidRPr="00517DF3">
        <w:rPr>
          <w:rFonts w:ascii="Calibri" w:hAnsi="Calibri" w:eastAsia="Verdana" w:cs="Calibri"/>
          <w:color w:val="FF0000"/>
          <w:szCs w:val="22"/>
        </w:rPr>
        <w:t xml:space="preserve"> </w:t>
      </w:r>
      <w:r w:rsidRPr="00517DF3">
        <w:rPr>
          <w:rFonts w:ascii="Calibri" w:hAnsi="Calibri" w:eastAsia="Verdana" w:cs="Calibri"/>
          <w:szCs w:val="22"/>
        </w:rPr>
        <w:t xml:space="preserve">gecategoriseerd als één sleuteltechnologie om de synergie tussen de data en AI-ecosystemen in Nederland verder te versterken. Een uitgewerkte actieagenda wordt in Q1 2026 verwacht. Ook in het industriebeleid wordt ingezet op digitale </w:t>
      </w:r>
      <w:r w:rsidRPr="00517DF3">
        <w:rPr>
          <w:rFonts w:ascii="Calibri" w:hAnsi="Calibri" w:eastAsia="Verdana" w:cs="Calibri"/>
          <w:szCs w:val="22"/>
        </w:rPr>
        <w:lastRenderedPageBreak/>
        <w:t>diensten en AI.</w:t>
      </w:r>
      <w:r w:rsidRPr="00517DF3" w:rsidR="5B05B317">
        <w:rPr>
          <w:rStyle w:val="Voetnootmarkering"/>
          <w:rFonts w:ascii="Calibri" w:hAnsi="Calibri" w:eastAsia="Verdana" w:cs="Calibri"/>
          <w:szCs w:val="22"/>
        </w:rPr>
        <w:footnoteReference w:id="6"/>
      </w:r>
      <w:r w:rsidRPr="00517DF3">
        <w:rPr>
          <w:rFonts w:ascii="Calibri" w:hAnsi="Calibri" w:eastAsia="Verdana" w:cs="Calibri"/>
          <w:szCs w:val="22"/>
        </w:rPr>
        <w:t xml:space="preserve"> Daarnaast heeft de Nederlandse Digitaliseringsstrategie (NDS)</w:t>
      </w:r>
      <w:r w:rsidRPr="00517DF3" w:rsidR="5B05B317">
        <w:rPr>
          <w:rStyle w:val="Voetnootmarkering"/>
          <w:rFonts w:ascii="Calibri" w:hAnsi="Calibri" w:eastAsia="Verdana" w:cs="Calibri"/>
          <w:szCs w:val="22"/>
        </w:rPr>
        <w:footnoteReference w:id="7"/>
      </w:r>
      <w:r w:rsidRPr="00517DF3">
        <w:rPr>
          <w:rFonts w:ascii="Calibri" w:hAnsi="Calibri" w:eastAsia="Verdana" w:cs="Calibri"/>
          <w:szCs w:val="22"/>
        </w:rPr>
        <w:t xml:space="preserve"> onder meer AI en data geprioriteerd met de ambitie om als één overheid hieraan te gaan werken.</w:t>
      </w:r>
    </w:p>
    <w:p w:rsidRPr="00517DF3" w:rsidR="3BFA72AB" w:rsidP="00517DF3" w:rsidRDefault="3958735C" w14:paraId="6F1D9981" w14:textId="1E7E0F84">
      <w:pPr>
        <w:spacing w:line="240" w:lineRule="auto"/>
        <w:rPr>
          <w:rFonts w:ascii="Calibri" w:hAnsi="Calibri" w:eastAsia="Verdana" w:cs="Calibri"/>
          <w:szCs w:val="22"/>
        </w:rPr>
      </w:pPr>
      <w:r w:rsidRPr="00517DF3">
        <w:rPr>
          <w:rFonts w:ascii="Calibri" w:hAnsi="Calibri" w:eastAsia="Verdana" w:cs="Calibri"/>
          <w:szCs w:val="22"/>
        </w:rPr>
        <w:t xml:space="preserve">Gelet op het belang van rekeninfrastructuur en de beschikbaarheid van hoogwaardige data voor de ontwikkeling van AI, investeert Nederland in een nationale AI-fabriek in Groningen. Op 13 oktober jl. is de Tweede Kamer geïnformeerd over het besluit van de EuroHPC </w:t>
      </w:r>
      <w:r w:rsidRPr="00517DF3">
        <w:rPr>
          <w:rFonts w:ascii="Calibri" w:hAnsi="Calibri" w:eastAsia="Verdana" w:cs="Calibri"/>
          <w:i/>
          <w:iCs/>
          <w:szCs w:val="22"/>
        </w:rPr>
        <w:t xml:space="preserve">Joint Undertaking </w:t>
      </w:r>
      <w:r w:rsidRPr="00517DF3">
        <w:rPr>
          <w:rFonts w:ascii="Calibri" w:hAnsi="Calibri" w:eastAsia="Verdana" w:cs="Calibri"/>
          <w:szCs w:val="22"/>
        </w:rPr>
        <w:t>(JU) om EU-cofinanciering voor deze AI-fabriek toe te kennen.</w:t>
      </w:r>
      <w:r w:rsidRPr="00517DF3" w:rsidR="5B05B317">
        <w:rPr>
          <w:rStyle w:val="Voetnootmarkering"/>
          <w:rFonts w:ascii="Calibri" w:hAnsi="Calibri" w:eastAsia="Verdana" w:cs="Calibri"/>
          <w:szCs w:val="22"/>
        </w:rPr>
        <w:footnoteReference w:id="8"/>
      </w:r>
      <w:r w:rsidRPr="00517DF3">
        <w:rPr>
          <w:rFonts w:ascii="Calibri" w:hAnsi="Calibri" w:eastAsia="Verdana" w:cs="Calibri"/>
          <w:szCs w:val="22"/>
        </w:rPr>
        <w:t xml:space="preserve"> Hierdoor kan het consortium, bestaande uit de Stichting Nederlandse AI-fabriek, SURF, de AI Coalitie voor Nederland (AIC4NL), TNO en Samenwerking Noord, starten met de realisatie van de AI-fabriek.</w:t>
      </w:r>
    </w:p>
    <w:p w:rsidRPr="00517DF3" w:rsidR="4DEA029F" w:rsidP="00517DF3" w:rsidRDefault="3958735C" w14:paraId="6A1B053C" w14:textId="57D86506">
      <w:pPr>
        <w:spacing w:line="240" w:lineRule="auto"/>
        <w:rPr>
          <w:rFonts w:ascii="Calibri" w:hAnsi="Calibri" w:eastAsia="Verdana" w:cs="Calibri"/>
          <w:szCs w:val="22"/>
        </w:rPr>
      </w:pPr>
      <w:r w:rsidRPr="00517DF3">
        <w:rPr>
          <w:rFonts w:ascii="Calibri" w:hAnsi="Calibri" w:eastAsia="Verdana" w:cs="Calibri"/>
          <w:szCs w:val="22"/>
        </w:rPr>
        <w:t xml:space="preserve">In de afgelopen jaren hebben veel Nederlandse organisaties en bedrijven op deze manier financiering ontvangen voor hun deelname aan </w:t>
      </w:r>
      <w:r w:rsidRPr="00517DF3">
        <w:rPr>
          <w:rFonts w:ascii="Calibri" w:hAnsi="Calibri" w:eastAsia="Verdana" w:cs="Calibri"/>
          <w:i/>
          <w:iCs/>
          <w:szCs w:val="22"/>
        </w:rPr>
        <w:t>Common European Data Spaces</w:t>
      </w:r>
      <w:r w:rsidRPr="00517DF3">
        <w:rPr>
          <w:rFonts w:ascii="Calibri" w:hAnsi="Calibri" w:eastAsia="Verdana" w:cs="Calibri"/>
          <w:szCs w:val="22"/>
        </w:rPr>
        <w:t xml:space="preserve"> als onderdeel van het </w:t>
      </w:r>
      <w:r w:rsidRPr="00517DF3">
        <w:rPr>
          <w:rFonts w:ascii="Calibri" w:hAnsi="Calibri" w:eastAsia="Verdana" w:cs="Calibri"/>
          <w:i/>
          <w:iCs/>
          <w:szCs w:val="22"/>
        </w:rPr>
        <w:t>Digital Europe Program</w:t>
      </w:r>
      <w:r w:rsidRPr="00517DF3" w:rsidR="00CE2A2C">
        <w:rPr>
          <w:rFonts w:ascii="Calibri" w:hAnsi="Calibri" w:eastAsia="Verdana" w:cs="Calibri"/>
          <w:i/>
          <w:iCs/>
          <w:szCs w:val="22"/>
        </w:rPr>
        <w:t xml:space="preserve"> of Horizon Europe</w:t>
      </w:r>
      <w:r w:rsidRPr="00517DF3">
        <w:rPr>
          <w:rFonts w:ascii="Calibri" w:hAnsi="Calibri" w:eastAsia="Verdana" w:cs="Calibri"/>
          <w:szCs w:val="22"/>
        </w:rPr>
        <w:t xml:space="preserve">. Dit heeft geholpen in de positionering van Nederlandse initiatieven voor datadeling en gerelateerde dienstverleners in Europa, en </w:t>
      </w:r>
      <w:r w:rsidRPr="00517DF3" w:rsidR="00A25BC8">
        <w:rPr>
          <w:rFonts w:ascii="Calibri" w:hAnsi="Calibri" w:eastAsia="Verdana" w:cs="Calibri"/>
          <w:szCs w:val="22"/>
        </w:rPr>
        <w:t xml:space="preserve">heeft </w:t>
      </w:r>
      <w:r w:rsidRPr="00517DF3">
        <w:rPr>
          <w:rFonts w:ascii="Calibri" w:hAnsi="Calibri" w:eastAsia="Verdana" w:cs="Calibri"/>
          <w:szCs w:val="22"/>
        </w:rPr>
        <w:t>de betrokkenheid van het MKB bij datadeelinitiatieven vergroot.</w:t>
      </w:r>
      <w:r w:rsidRPr="00517DF3" w:rsidR="00CE2A2C">
        <w:rPr>
          <w:rFonts w:ascii="Calibri" w:hAnsi="Calibri" w:eastAsia="Verdana" w:cs="Calibri"/>
          <w:szCs w:val="22"/>
        </w:rPr>
        <w:t xml:space="preserve"> </w:t>
      </w:r>
    </w:p>
    <w:p w:rsidRPr="00517DF3" w:rsidR="3958735C" w:rsidP="00517DF3" w:rsidRDefault="3958735C" w14:paraId="3BB77CAA" w14:textId="12C4DECE">
      <w:pPr>
        <w:spacing w:line="240" w:lineRule="auto"/>
        <w:rPr>
          <w:rFonts w:ascii="Calibri" w:hAnsi="Calibri" w:eastAsia="Verdana" w:cs="Calibri"/>
          <w:szCs w:val="22"/>
        </w:rPr>
      </w:pPr>
      <w:r w:rsidRPr="00517DF3">
        <w:rPr>
          <w:rFonts w:ascii="Calibri" w:hAnsi="Calibri" w:eastAsia="Verdana" w:cs="Calibri"/>
          <w:szCs w:val="22"/>
        </w:rPr>
        <w:t xml:space="preserve">Het Nationaal Groeifonds is ook een katalysator geweest voor de ontwikkeling van data-ecosystemen in Nederland. Meerdere groeifondsprojecten en (sectorale) nationale programma's richten zich op het veilig hergebruik en delen van data, denk aan Health-RI, Digitale Infrastructuur Logistiek (DIL), </w:t>
      </w:r>
      <w:r w:rsidRPr="00517DF3">
        <w:rPr>
          <w:rFonts w:ascii="Calibri" w:hAnsi="Calibri" w:eastAsia="Verdana" w:cs="Calibri"/>
          <w:i/>
          <w:iCs/>
          <w:szCs w:val="22"/>
        </w:rPr>
        <w:t xml:space="preserve">Dutch Metropolitan Innovations </w:t>
      </w:r>
      <w:r w:rsidRPr="00517DF3">
        <w:rPr>
          <w:rFonts w:ascii="Calibri" w:hAnsi="Calibri" w:eastAsia="Verdana" w:cs="Calibri"/>
          <w:szCs w:val="22"/>
        </w:rPr>
        <w:t>(DMI), NOLAI</w:t>
      </w:r>
      <w:r w:rsidRPr="00517DF3" w:rsidR="007D36BF">
        <w:rPr>
          <w:rFonts w:ascii="Calibri" w:hAnsi="Calibri" w:eastAsia="Verdana" w:cs="Calibri"/>
          <w:szCs w:val="22"/>
        </w:rPr>
        <w:t xml:space="preserve"> en</w:t>
      </w:r>
      <w:r w:rsidRPr="00517DF3">
        <w:rPr>
          <w:rFonts w:ascii="Calibri" w:hAnsi="Calibri" w:eastAsia="Verdana" w:cs="Calibri"/>
          <w:szCs w:val="22"/>
        </w:rPr>
        <w:t xml:space="preserve"> Nplus</w:t>
      </w:r>
      <w:r w:rsidRPr="00517DF3" w:rsidR="007D36BF">
        <w:rPr>
          <w:rFonts w:ascii="Calibri" w:hAnsi="Calibri" w:eastAsia="Verdana" w:cs="Calibri"/>
          <w:szCs w:val="22"/>
        </w:rPr>
        <w:t>.</w:t>
      </w:r>
      <w:r w:rsidRPr="00517DF3">
        <w:rPr>
          <w:rFonts w:ascii="Calibri" w:hAnsi="Calibri" w:eastAsia="Verdana" w:cs="Calibri"/>
          <w:szCs w:val="22"/>
        </w:rPr>
        <w:t xml:space="preserve"> Bovendien hebben verschillende ministeries projecten opgezet ter stimulering van digitalisering</w:t>
      </w:r>
      <w:r w:rsidRPr="00517DF3" w:rsidR="0084352C">
        <w:rPr>
          <w:rFonts w:ascii="Calibri" w:hAnsi="Calibri" w:eastAsia="Verdana" w:cs="Calibri"/>
          <w:szCs w:val="22"/>
        </w:rPr>
        <w:t xml:space="preserve"> en het beschikbaar maken van data</w:t>
      </w:r>
      <w:r w:rsidRPr="00517DF3">
        <w:rPr>
          <w:rFonts w:ascii="Calibri" w:hAnsi="Calibri" w:eastAsia="Verdana" w:cs="Calibri"/>
          <w:szCs w:val="22"/>
        </w:rPr>
        <w:t xml:space="preserve"> zoals het </w:t>
      </w:r>
      <w:r w:rsidRPr="00517DF3">
        <w:rPr>
          <w:rFonts w:ascii="Calibri" w:hAnsi="Calibri" w:eastAsia="Verdana" w:cs="Calibri"/>
          <w:i/>
          <w:iCs/>
          <w:szCs w:val="22"/>
        </w:rPr>
        <w:t>Actieprogramma Digitalisering</w:t>
      </w:r>
      <w:r w:rsidRPr="00517DF3">
        <w:rPr>
          <w:rFonts w:ascii="Calibri" w:hAnsi="Calibri" w:eastAsia="Verdana" w:cs="Calibri"/>
          <w:szCs w:val="22"/>
        </w:rPr>
        <w:t xml:space="preserve"> in de landbouw, het programma </w:t>
      </w:r>
      <w:r w:rsidRPr="00517DF3">
        <w:rPr>
          <w:rFonts w:ascii="Calibri" w:hAnsi="Calibri" w:eastAsia="Verdana" w:cs="Calibri"/>
          <w:i/>
          <w:iCs/>
          <w:szCs w:val="22"/>
        </w:rPr>
        <w:t xml:space="preserve">Zicht op Nederland, Innovatie en Opschaling Programma Woningbouw en het Bestuursakkoord Digitaal Gebouwde Omgeving 2027, </w:t>
      </w:r>
      <w:r w:rsidRPr="00517DF3">
        <w:rPr>
          <w:rFonts w:ascii="Calibri" w:hAnsi="Calibri" w:eastAsia="Verdana" w:cs="Calibri"/>
          <w:i/>
          <w:szCs w:val="22"/>
        </w:rPr>
        <w:t>het</w:t>
      </w:r>
      <w:r w:rsidRPr="00517DF3">
        <w:rPr>
          <w:rFonts w:ascii="Calibri" w:hAnsi="Calibri" w:eastAsia="Verdana" w:cs="Calibri"/>
          <w:i/>
          <w:iCs/>
          <w:szCs w:val="22"/>
        </w:rPr>
        <w:t xml:space="preserve"> </w:t>
      </w:r>
      <w:r w:rsidRPr="00517DF3">
        <w:rPr>
          <w:rFonts w:ascii="Calibri" w:hAnsi="Calibri" w:eastAsia="Verdana" w:cs="Calibri"/>
          <w:i/>
          <w:szCs w:val="22"/>
        </w:rPr>
        <w:t>Digitaal Stelsel Mobiliteitsdata</w:t>
      </w:r>
      <w:r w:rsidRPr="00517DF3" w:rsidR="000B0056">
        <w:rPr>
          <w:rFonts w:ascii="Calibri" w:hAnsi="Calibri" w:eastAsia="Verdana" w:cs="Calibri"/>
          <w:i/>
          <w:iCs/>
          <w:szCs w:val="22"/>
        </w:rPr>
        <w:t xml:space="preserve">, </w:t>
      </w:r>
      <w:r w:rsidRPr="00517DF3" w:rsidR="000B0056">
        <w:rPr>
          <w:rFonts w:ascii="Calibri" w:hAnsi="Calibri" w:eastAsia="Verdana" w:cs="Calibri"/>
          <w:szCs w:val="22"/>
        </w:rPr>
        <w:t>het nationale programma</w:t>
      </w:r>
      <w:r w:rsidRPr="00517DF3" w:rsidR="000B0056">
        <w:rPr>
          <w:rFonts w:ascii="Calibri" w:hAnsi="Calibri" w:eastAsia="Verdana" w:cs="Calibri"/>
          <w:i/>
          <w:iCs/>
          <w:szCs w:val="22"/>
        </w:rPr>
        <w:t xml:space="preserve"> OpenScienceNL</w:t>
      </w:r>
      <w:r w:rsidRPr="00517DF3">
        <w:rPr>
          <w:rFonts w:ascii="Calibri" w:hAnsi="Calibri" w:eastAsia="Verdana" w:cs="Calibri"/>
          <w:szCs w:val="22"/>
        </w:rPr>
        <w:t xml:space="preserve"> en de </w:t>
      </w:r>
      <w:r w:rsidRPr="00517DF3">
        <w:rPr>
          <w:rFonts w:ascii="Calibri" w:hAnsi="Calibri" w:eastAsia="Verdana" w:cs="Calibri"/>
          <w:i/>
          <w:szCs w:val="22"/>
        </w:rPr>
        <w:t>Nationale Strategie Digitaal Erfgoed</w:t>
      </w:r>
      <w:r w:rsidRPr="00517DF3">
        <w:rPr>
          <w:rFonts w:ascii="Calibri" w:hAnsi="Calibri" w:eastAsia="Verdana" w:cs="Calibri"/>
          <w:szCs w:val="22"/>
        </w:rPr>
        <w:t xml:space="preserve">. </w:t>
      </w:r>
    </w:p>
    <w:p w:rsidRPr="00517DF3" w:rsidR="1EA53811" w:rsidP="00517DF3" w:rsidRDefault="1EA53811" w14:paraId="523C56C0" w14:textId="474A8E39">
      <w:pPr>
        <w:spacing w:line="240" w:lineRule="auto"/>
        <w:rPr>
          <w:rFonts w:ascii="Calibri" w:hAnsi="Calibri" w:cs="Calibri"/>
          <w:szCs w:val="22"/>
        </w:rPr>
      </w:pPr>
    </w:p>
    <w:p w:rsidRPr="00517DF3" w:rsidR="003C6403" w:rsidP="00517DF3" w:rsidRDefault="5F97366C" w14:paraId="4C8C31C6" w14:textId="1B38EDE2">
      <w:pPr>
        <w:numPr>
          <w:ilvl w:val="0"/>
          <w:numId w:val="44"/>
        </w:numPr>
        <w:spacing w:line="240" w:lineRule="auto"/>
        <w:rPr>
          <w:rFonts w:ascii="Calibri" w:hAnsi="Calibri" w:cs="Calibri"/>
          <w:i/>
          <w:iCs/>
          <w:szCs w:val="22"/>
        </w:rPr>
      </w:pPr>
      <w:r w:rsidRPr="00517DF3">
        <w:rPr>
          <w:rFonts w:ascii="Calibri" w:hAnsi="Calibri" w:cs="Calibri"/>
          <w:i/>
          <w:iCs/>
          <w:szCs w:val="22"/>
        </w:rPr>
        <w:t>Beoordeling + inzet ten aanzien van dit voorstel</w:t>
      </w:r>
    </w:p>
    <w:p w:rsidRPr="00517DF3" w:rsidR="5F97366C" w:rsidP="00517DF3" w:rsidRDefault="3958735C" w14:paraId="23D97C5B" w14:textId="65535C66">
      <w:pPr>
        <w:spacing w:line="240" w:lineRule="auto"/>
        <w:rPr>
          <w:rFonts w:ascii="Calibri" w:hAnsi="Calibri" w:eastAsia="Verdana" w:cs="Calibri"/>
          <w:szCs w:val="22"/>
        </w:rPr>
      </w:pPr>
      <w:r w:rsidRPr="00517DF3">
        <w:rPr>
          <w:rFonts w:ascii="Calibri" w:hAnsi="Calibri" w:eastAsia="Verdana" w:cs="Calibri"/>
          <w:szCs w:val="22"/>
        </w:rPr>
        <w:t>Het kabinet verwelkomt de Data Unie Strategie. Het hergebruiken en delen van data biedt kansen in allerlei sectoren. Denk aan verbeterde informatie-uitwisseling in de zorg, voorspellend onderhoud in de maakindustrie, monitoring van voedselverspilling, verkeersvoorspellingsmodellen of flexibiliteitsdiensten om netcongestie te voorkomen. Meer kwalitatief hoogwaardige data (her)gebruiken draagt bij aan oplossingen voor maatschappelijke uitdagingen en aan het vergroten van toekomstig verdienvermogen. Het kabinet benadrukt het belang van het waarborgen van privacy, gegevensbescherming en andere grondrechten binnen deze strategie.</w:t>
      </w:r>
    </w:p>
    <w:p w:rsidRPr="00517DF3" w:rsidR="00B44148" w:rsidP="00517DF3" w:rsidRDefault="00B44148" w14:paraId="49EBFFAE" w14:textId="77777777">
      <w:pPr>
        <w:spacing w:line="240" w:lineRule="auto"/>
        <w:rPr>
          <w:rFonts w:ascii="Calibri" w:hAnsi="Calibri" w:cs="Calibri"/>
          <w:szCs w:val="22"/>
        </w:rPr>
      </w:pPr>
    </w:p>
    <w:p w:rsidRPr="00517DF3" w:rsidR="00D313F9" w:rsidP="00517DF3" w:rsidRDefault="6D9DC2FC" w14:paraId="4DA2318B" w14:textId="44B21F18">
      <w:pPr>
        <w:spacing w:line="240" w:lineRule="auto"/>
        <w:rPr>
          <w:rFonts w:ascii="Calibri" w:hAnsi="Calibri" w:eastAsia="Verdana" w:cs="Calibri"/>
          <w:szCs w:val="22"/>
        </w:rPr>
      </w:pPr>
      <w:r w:rsidRPr="00517DF3">
        <w:rPr>
          <w:rFonts w:ascii="Calibri" w:hAnsi="Calibri" w:eastAsia="Verdana" w:cs="Calibri"/>
          <w:szCs w:val="22"/>
        </w:rPr>
        <w:t>Aangaande pijler I waardeert het kabinet de nieuwe focus op databeschikbaarheid voor AI</w:t>
      </w:r>
      <w:r w:rsidRPr="00517DF3" w:rsidR="006501AF">
        <w:rPr>
          <w:rFonts w:ascii="Calibri" w:hAnsi="Calibri" w:eastAsia="Verdana" w:cs="Calibri"/>
          <w:szCs w:val="22"/>
        </w:rPr>
        <w:t xml:space="preserve"> en de prioritering van specifieke maatschappelijke opgaven</w:t>
      </w:r>
      <w:r w:rsidRPr="00517DF3">
        <w:rPr>
          <w:rFonts w:ascii="Calibri" w:hAnsi="Calibri" w:eastAsia="Verdana" w:cs="Calibri"/>
          <w:szCs w:val="22"/>
        </w:rPr>
        <w:t>. Dit is in lijn met de</w:t>
      </w:r>
      <w:r w:rsidRPr="00517DF3" w:rsidR="007A171A">
        <w:rPr>
          <w:rFonts w:ascii="Calibri" w:hAnsi="Calibri" w:eastAsia="Verdana" w:cs="Calibri"/>
          <w:szCs w:val="22"/>
        </w:rPr>
        <w:t xml:space="preserve"> nationale</w:t>
      </w:r>
      <w:r w:rsidRPr="00517DF3">
        <w:rPr>
          <w:rFonts w:ascii="Calibri" w:hAnsi="Calibri" w:eastAsia="Verdana" w:cs="Calibri"/>
          <w:szCs w:val="22"/>
        </w:rPr>
        <w:t xml:space="preserve"> inzet in de</w:t>
      </w:r>
      <w:r w:rsidRPr="00517DF3" w:rsidR="007A171A">
        <w:rPr>
          <w:rFonts w:ascii="Calibri" w:hAnsi="Calibri" w:eastAsia="Verdana" w:cs="Calibri"/>
          <w:szCs w:val="22"/>
        </w:rPr>
        <w:t xml:space="preserve"> NTS en NDS,</w:t>
      </w:r>
      <w:r w:rsidRPr="00517DF3">
        <w:rPr>
          <w:rFonts w:ascii="Calibri" w:hAnsi="Calibri" w:eastAsia="Verdana" w:cs="Calibri"/>
          <w:szCs w:val="22"/>
        </w:rPr>
        <w:t xml:space="preserve"> waarin nadrukkelijk wordt ingezet op de synergie tussen data- en AI-ecosystemen. De vraag naar data voor het trainen van AI kan volgens het kabinet een versneller zijn voor de uitrol en opschaling van datadeelinitiatieven.</w:t>
      </w:r>
      <w:r w:rsidRPr="00517DF3" w:rsidR="00556DA8">
        <w:rPr>
          <w:rFonts w:ascii="Calibri" w:hAnsi="Calibri" w:eastAsia="Verdana" w:cs="Calibri"/>
          <w:szCs w:val="22"/>
        </w:rPr>
        <w:t xml:space="preserve"> Wel heeft het kabinet vragen</w:t>
      </w:r>
      <w:r w:rsidRPr="00517DF3" w:rsidR="00506AB2">
        <w:rPr>
          <w:rFonts w:ascii="Calibri" w:hAnsi="Calibri" w:eastAsia="Verdana" w:cs="Calibri"/>
          <w:szCs w:val="22"/>
        </w:rPr>
        <w:t xml:space="preserve"> aan de Commissie</w:t>
      </w:r>
      <w:r w:rsidRPr="00517DF3" w:rsidR="00556DA8">
        <w:rPr>
          <w:rFonts w:ascii="Calibri" w:hAnsi="Calibri" w:eastAsia="Verdana" w:cs="Calibri"/>
          <w:szCs w:val="22"/>
        </w:rPr>
        <w:t xml:space="preserve"> of er in het beleid voldoende aandacht is voor referentie-data voor het succesvol gebruik van AI.</w:t>
      </w:r>
      <w:r w:rsidRPr="00517DF3">
        <w:rPr>
          <w:rFonts w:ascii="Calibri" w:hAnsi="Calibri" w:eastAsia="Verdana" w:cs="Calibri"/>
          <w:szCs w:val="22"/>
        </w:rPr>
        <w:t xml:space="preserve"> </w:t>
      </w:r>
      <w:r w:rsidRPr="00517DF3" w:rsidR="007A171A">
        <w:rPr>
          <w:rFonts w:ascii="Calibri" w:hAnsi="Calibri" w:eastAsia="Verdana" w:cs="Calibri"/>
          <w:szCs w:val="22"/>
        </w:rPr>
        <w:t xml:space="preserve">Het kabinet verwelkomt de oprichting van Data Labs als onderdeel van de AI-fabrieken en onderkent de uitdagingen waarmee AI-ontwikkelaars te maken hebben bij het verkrijgen van voldoende kwalitatief hoogwaardige data voor grootschalige AI-ontwikkeling. Wel vraagt het kabinet zich af of er geen overlap zal ontstaan tussen </w:t>
      </w:r>
      <w:r w:rsidRPr="00517DF3" w:rsidR="00313ABC">
        <w:rPr>
          <w:rFonts w:ascii="Calibri" w:hAnsi="Calibri" w:eastAsia="Verdana" w:cs="Calibri"/>
          <w:szCs w:val="22"/>
        </w:rPr>
        <w:t>bestaande</w:t>
      </w:r>
      <w:r w:rsidRPr="00517DF3" w:rsidR="007A171A">
        <w:rPr>
          <w:rFonts w:ascii="Calibri" w:hAnsi="Calibri" w:eastAsia="Verdana" w:cs="Calibri"/>
          <w:szCs w:val="22"/>
        </w:rPr>
        <w:t xml:space="preserve"> activiteiten en de Data Labs. Daarnaast merkt het kabinet op dat belangrijke details in de uitwerking nog ontbreken. Zo is nog niet duidelijk wie de Data Labs zullen operationaliseren en op welke wijze deze zullen worden ingebed in het AI-fabriekeninitiatief en de bestaande Europese Digitale Innovatie Hubs</w:t>
      </w:r>
      <w:r w:rsidRPr="00517DF3" w:rsidR="00313ABC">
        <w:rPr>
          <w:rFonts w:ascii="Calibri" w:hAnsi="Calibri" w:eastAsia="Verdana" w:cs="Calibri"/>
          <w:szCs w:val="22"/>
        </w:rPr>
        <w:t xml:space="preserve"> (EDIHs)</w:t>
      </w:r>
      <w:r w:rsidRPr="00517DF3" w:rsidR="007A171A">
        <w:rPr>
          <w:rFonts w:ascii="Calibri" w:hAnsi="Calibri" w:eastAsia="Verdana" w:cs="Calibri"/>
          <w:szCs w:val="22"/>
        </w:rPr>
        <w:t>.</w:t>
      </w:r>
      <w:r w:rsidRPr="00517DF3" w:rsidR="00313ABC">
        <w:rPr>
          <w:rFonts w:ascii="Calibri" w:hAnsi="Calibri" w:eastAsia="Verdana" w:cs="Calibri"/>
          <w:szCs w:val="22"/>
        </w:rPr>
        <w:t xml:space="preserve"> Ook ziet het kabinet dat er, naast de beschikbaarheid van data voor het trainen van AI, nog voldoende uitdagingen liggen in het op een verantwoorde manier delen van data. Tenslotte</w:t>
      </w:r>
      <w:r w:rsidRPr="00517DF3" w:rsidR="008A3D89">
        <w:rPr>
          <w:rFonts w:ascii="Calibri" w:hAnsi="Calibri" w:eastAsia="Verdana" w:cs="Calibri"/>
          <w:szCs w:val="22"/>
        </w:rPr>
        <w:t xml:space="preserve"> moet er nadrukkelijk aandacht zijn </w:t>
      </w:r>
      <w:r w:rsidRPr="00517DF3" w:rsidR="008A3D89">
        <w:rPr>
          <w:rFonts w:ascii="Calibri" w:hAnsi="Calibri" w:eastAsia="Verdana" w:cs="Calibri"/>
          <w:szCs w:val="22"/>
        </w:rPr>
        <w:lastRenderedPageBreak/>
        <w:t>voor het verduurzamen van de digitale infrastructuur als gevolg van toenemende rekenkracht in lijn met het Actieprogramma Duurzame Digitalisering van het kabinet.</w:t>
      </w:r>
      <w:r w:rsidRPr="00517DF3">
        <w:rPr>
          <w:rStyle w:val="Voetnootmarkering"/>
          <w:rFonts w:ascii="Calibri" w:hAnsi="Calibri" w:eastAsia="Verdana" w:cs="Calibri"/>
          <w:szCs w:val="22"/>
        </w:rPr>
        <w:footnoteReference w:id="9"/>
      </w:r>
    </w:p>
    <w:p w:rsidRPr="00517DF3" w:rsidR="00352985" w:rsidP="00517DF3" w:rsidRDefault="00352985" w14:paraId="1ECEA832" w14:textId="2D17D274">
      <w:pPr>
        <w:spacing w:line="240" w:lineRule="auto"/>
        <w:rPr>
          <w:rFonts w:ascii="Calibri" w:hAnsi="Calibri" w:eastAsia="Verdana" w:cs="Calibri"/>
          <w:szCs w:val="22"/>
        </w:rPr>
      </w:pPr>
    </w:p>
    <w:p w:rsidRPr="00517DF3" w:rsidR="6B39731E" w:rsidP="00517DF3" w:rsidRDefault="3958735C" w14:paraId="5CE2041B" w14:textId="755FB42E">
      <w:pPr>
        <w:spacing w:line="240" w:lineRule="auto"/>
        <w:rPr>
          <w:rFonts w:ascii="Calibri" w:hAnsi="Calibri" w:cs="Calibri"/>
          <w:szCs w:val="22"/>
        </w:rPr>
      </w:pPr>
      <w:r w:rsidRPr="00517DF3">
        <w:rPr>
          <w:rFonts w:ascii="Calibri" w:hAnsi="Calibri" w:eastAsia="Verdana" w:cs="Calibri"/>
          <w:szCs w:val="22"/>
        </w:rPr>
        <w:t>In beginsel staat het kabinet positief tegenover de ambitie van de Commissie voor het opschalen van de High Value- en de Referentiedatasets van de publieke sector</w:t>
      </w:r>
      <w:r w:rsidRPr="00517DF3" w:rsidR="00506AB2">
        <w:rPr>
          <w:rFonts w:ascii="Calibri" w:hAnsi="Calibri" w:eastAsia="Verdana" w:cs="Calibri"/>
          <w:szCs w:val="22"/>
        </w:rPr>
        <w:t>.</w:t>
      </w:r>
      <w:r w:rsidRPr="00517DF3">
        <w:rPr>
          <w:rFonts w:ascii="Calibri" w:hAnsi="Calibri" w:eastAsia="Verdana" w:cs="Calibri"/>
          <w:szCs w:val="22"/>
        </w:rPr>
        <w:t xml:space="preserve"> Het kabinet vraagt </w:t>
      </w:r>
      <w:r w:rsidRPr="00517DF3" w:rsidR="00506AB2">
        <w:rPr>
          <w:rFonts w:ascii="Calibri" w:hAnsi="Calibri" w:eastAsia="Verdana" w:cs="Calibri"/>
          <w:szCs w:val="22"/>
        </w:rPr>
        <w:t xml:space="preserve">aan de Commissie </w:t>
      </w:r>
      <w:r w:rsidRPr="00517DF3">
        <w:rPr>
          <w:rFonts w:ascii="Calibri" w:hAnsi="Calibri" w:eastAsia="Verdana" w:cs="Calibri"/>
          <w:szCs w:val="22"/>
        </w:rPr>
        <w:t>rekening te houden met de uitvoeringsconsequenties inclusief kosten en verwacht</w:t>
      </w:r>
      <w:r w:rsidRPr="00517DF3" w:rsidR="00EF1CCC">
        <w:rPr>
          <w:rFonts w:ascii="Calibri" w:hAnsi="Calibri" w:eastAsia="Verdana" w:cs="Calibri"/>
          <w:szCs w:val="22"/>
        </w:rPr>
        <w:t>e</w:t>
      </w:r>
      <w:r w:rsidRPr="00517DF3">
        <w:rPr>
          <w:rFonts w:ascii="Calibri" w:hAnsi="Calibri" w:eastAsia="Verdana" w:cs="Calibri"/>
          <w:szCs w:val="22"/>
        </w:rPr>
        <w:t xml:space="preserve"> betrokkenheid vanuit de EU-instituten. Ook is het kabinet van mening dat naast het opschalen van de Referentiedatasets, aanvullend beleid vanuit de Commissie nodig is om het gebruik van de high value datasets te stimuleren.</w:t>
      </w:r>
    </w:p>
    <w:p w:rsidRPr="00517DF3" w:rsidR="008A3D89" w:rsidP="00517DF3" w:rsidRDefault="008A3D89" w14:paraId="6AAE12DD" w14:textId="77777777">
      <w:pPr>
        <w:spacing w:line="240" w:lineRule="auto"/>
        <w:rPr>
          <w:rFonts w:ascii="Calibri" w:hAnsi="Calibri" w:cs="Calibri"/>
          <w:szCs w:val="22"/>
        </w:rPr>
      </w:pPr>
    </w:p>
    <w:p w:rsidRPr="00517DF3" w:rsidR="00352985" w:rsidP="00517DF3" w:rsidRDefault="1F3C8280" w14:paraId="13123B69" w14:textId="0FD586D8">
      <w:pPr>
        <w:spacing w:line="240" w:lineRule="auto"/>
        <w:rPr>
          <w:rFonts w:ascii="Calibri" w:hAnsi="Calibri" w:eastAsia="Verdana" w:cs="Calibri"/>
          <w:szCs w:val="22"/>
        </w:rPr>
      </w:pPr>
      <w:r w:rsidRPr="00517DF3">
        <w:rPr>
          <w:rFonts w:ascii="Calibri" w:hAnsi="Calibri" w:eastAsia="Verdana" w:cs="Calibri"/>
          <w:szCs w:val="22"/>
        </w:rPr>
        <w:t xml:space="preserve">Het kabinet verwelkomt de hernieuwde focus van de Commissie waar het </w:t>
      </w:r>
      <w:r w:rsidRPr="00517DF3" w:rsidR="00352985">
        <w:rPr>
          <w:rFonts w:ascii="Calibri" w:hAnsi="Calibri" w:eastAsia="Verdana" w:cs="Calibri"/>
          <w:szCs w:val="22"/>
        </w:rPr>
        <w:t>d</w:t>
      </w:r>
      <w:r w:rsidRPr="00517DF3">
        <w:rPr>
          <w:rFonts w:ascii="Calibri" w:hAnsi="Calibri" w:eastAsia="Verdana" w:cs="Calibri"/>
          <w:szCs w:val="22"/>
        </w:rPr>
        <w:t xml:space="preserve">ata </w:t>
      </w:r>
      <w:r w:rsidRPr="00517DF3" w:rsidR="00352985">
        <w:rPr>
          <w:rFonts w:ascii="Calibri" w:hAnsi="Calibri" w:eastAsia="Verdana" w:cs="Calibri"/>
          <w:szCs w:val="22"/>
        </w:rPr>
        <w:t>s</w:t>
      </w:r>
      <w:r w:rsidRPr="00517DF3">
        <w:rPr>
          <w:rFonts w:ascii="Calibri" w:hAnsi="Calibri" w:eastAsia="Verdana" w:cs="Calibri"/>
          <w:szCs w:val="22"/>
        </w:rPr>
        <w:t>paces betreft, waar data delen voor maatschappelijke meerwaarde de voorkeur krijgt. Het kabinet had deze aanpak graag verder uitgewerkt gezien. Een lange termijn visie ontbreekt</w:t>
      </w:r>
      <w:r w:rsidRPr="00517DF3" w:rsidR="008A3D89">
        <w:rPr>
          <w:rFonts w:ascii="Calibri" w:hAnsi="Calibri" w:eastAsia="Verdana" w:cs="Calibri"/>
          <w:szCs w:val="22"/>
        </w:rPr>
        <w:t>, terwijl de ontwikkeling van data spaces, zowel technisch als organisatorisch, nog in de kinderschoenen staat.</w:t>
      </w:r>
      <w:r w:rsidRPr="00517DF3" w:rsidR="001355F2">
        <w:rPr>
          <w:rFonts w:ascii="Calibri" w:hAnsi="Calibri" w:eastAsia="Verdana" w:cs="Calibri"/>
          <w:szCs w:val="22"/>
        </w:rPr>
        <w:t xml:space="preserve"> </w:t>
      </w:r>
      <w:r w:rsidRPr="00517DF3">
        <w:rPr>
          <w:rFonts w:ascii="Calibri" w:hAnsi="Calibri" w:eastAsia="Verdana" w:cs="Calibri"/>
          <w:szCs w:val="22"/>
        </w:rPr>
        <w:t>Daarnaast merkt het kabinet op dat in Nederland zowel de zorg- als energiesector een zekere mate van privatisering kent, waardoor enige zelfvoorzienendheid ook voor die sectoren voor de hand zou liggen. Het kabinet blijft pleiten voor de zelf</w:t>
      </w:r>
      <w:r w:rsidRPr="00517DF3" w:rsidR="008A3D89">
        <w:rPr>
          <w:rFonts w:ascii="Calibri" w:hAnsi="Calibri" w:eastAsia="Verdana" w:cs="Calibri"/>
          <w:szCs w:val="22"/>
        </w:rPr>
        <w:t>voorzienendheid</w:t>
      </w:r>
      <w:r w:rsidRPr="00517DF3">
        <w:rPr>
          <w:rFonts w:ascii="Calibri" w:hAnsi="Calibri" w:eastAsia="Verdana" w:cs="Calibri"/>
          <w:szCs w:val="22"/>
        </w:rPr>
        <w:t xml:space="preserve"> van datadeelinitiatieven</w:t>
      </w:r>
      <w:r w:rsidRPr="00517DF3" w:rsidR="008A3D89">
        <w:rPr>
          <w:rFonts w:ascii="Calibri" w:hAnsi="Calibri" w:eastAsia="Verdana" w:cs="Calibri"/>
          <w:szCs w:val="22"/>
        </w:rPr>
        <w:t xml:space="preserve"> in private sectoren,</w:t>
      </w:r>
      <w:r w:rsidRPr="00517DF3">
        <w:rPr>
          <w:rFonts w:ascii="Calibri" w:hAnsi="Calibri" w:eastAsia="Verdana" w:cs="Calibri"/>
          <w:szCs w:val="22"/>
        </w:rPr>
        <w:t xml:space="preserve"> op basis van eerder onderzoek naar verdienmodellen voor datadeelinitiatieven.</w:t>
      </w:r>
      <w:r w:rsidRPr="00517DF3" w:rsidR="00D313F9">
        <w:rPr>
          <w:rStyle w:val="Voetnootmarkering"/>
          <w:rFonts w:ascii="Calibri" w:hAnsi="Calibri" w:eastAsia="Verdana" w:cs="Calibri"/>
          <w:szCs w:val="22"/>
        </w:rPr>
        <w:footnoteReference w:id="10"/>
      </w:r>
      <w:r w:rsidRPr="00517DF3">
        <w:rPr>
          <w:rFonts w:ascii="Calibri" w:hAnsi="Calibri" w:eastAsia="Verdana" w:cs="Calibri"/>
          <w:szCs w:val="22"/>
        </w:rPr>
        <w:t xml:space="preserve"> </w:t>
      </w:r>
      <w:r w:rsidRPr="00517DF3" w:rsidR="005D577E">
        <w:rPr>
          <w:rFonts w:ascii="Calibri" w:hAnsi="Calibri" w:eastAsia="Verdana" w:cs="Calibri"/>
          <w:szCs w:val="22"/>
        </w:rPr>
        <w:t xml:space="preserve">Het kabinet is daarnaast voorstander van een nauwe samenwerking tussen alle data spaces en een gezamenlijke aanpak van vergelijkbare ontwikkelvraagstukken. </w:t>
      </w:r>
      <w:r w:rsidRPr="00517DF3" w:rsidR="001B4165">
        <w:rPr>
          <w:rFonts w:ascii="Calibri" w:hAnsi="Calibri" w:eastAsia="Verdana" w:cs="Calibri"/>
          <w:szCs w:val="22"/>
        </w:rPr>
        <w:t xml:space="preserve">Het </w:t>
      </w:r>
      <w:r w:rsidRPr="00517DF3" w:rsidR="00B202F4">
        <w:rPr>
          <w:rFonts w:ascii="Calibri" w:hAnsi="Calibri" w:eastAsia="Verdana" w:cs="Calibri"/>
          <w:szCs w:val="22"/>
        </w:rPr>
        <w:t>SIMPL-project</w:t>
      </w:r>
      <w:r w:rsidRPr="00517DF3" w:rsidR="001B4165">
        <w:rPr>
          <w:rFonts w:ascii="Calibri" w:hAnsi="Calibri" w:eastAsia="Verdana" w:cs="Calibri"/>
          <w:szCs w:val="22"/>
        </w:rPr>
        <w:t xml:space="preserve"> zou hier een rol in kunnen spelen, maar het kabinet</w:t>
      </w:r>
      <w:r w:rsidRPr="00517DF3" w:rsidR="00C668E4">
        <w:rPr>
          <w:rFonts w:ascii="Calibri" w:hAnsi="Calibri" w:eastAsia="Verdana" w:cs="Calibri"/>
          <w:szCs w:val="22"/>
        </w:rPr>
        <w:t xml:space="preserve"> maakt zich zorgen over</w:t>
      </w:r>
      <w:r w:rsidRPr="00517DF3" w:rsidR="001B4165">
        <w:rPr>
          <w:rFonts w:ascii="Calibri" w:hAnsi="Calibri" w:eastAsia="Verdana" w:cs="Calibri"/>
          <w:szCs w:val="22"/>
        </w:rPr>
        <w:t xml:space="preserve"> </w:t>
      </w:r>
      <w:r w:rsidRPr="00517DF3" w:rsidR="00B202F4">
        <w:rPr>
          <w:rFonts w:ascii="Calibri" w:hAnsi="Calibri" w:eastAsia="Verdana" w:cs="Calibri"/>
          <w:szCs w:val="22"/>
        </w:rPr>
        <w:t xml:space="preserve">de voortgang en </w:t>
      </w:r>
      <w:r w:rsidRPr="00517DF3" w:rsidR="001B4165">
        <w:rPr>
          <w:rFonts w:ascii="Calibri" w:hAnsi="Calibri" w:eastAsia="Verdana" w:cs="Calibri"/>
          <w:szCs w:val="22"/>
        </w:rPr>
        <w:t>het</w:t>
      </w:r>
      <w:r w:rsidRPr="00517DF3" w:rsidR="00C668E4">
        <w:rPr>
          <w:rFonts w:ascii="Calibri" w:hAnsi="Calibri" w:eastAsia="Verdana" w:cs="Calibri"/>
          <w:szCs w:val="22"/>
        </w:rPr>
        <w:t xml:space="preserve"> op tijd afronden</w:t>
      </w:r>
      <w:r w:rsidRPr="00517DF3" w:rsidR="001B4165">
        <w:rPr>
          <w:rFonts w:ascii="Calibri" w:hAnsi="Calibri" w:eastAsia="Verdana" w:cs="Calibri"/>
          <w:szCs w:val="22"/>
        </w:rPr>
        <w:t xml:space="preserve"> </w:t>
      </w:r>
      <w:r w:rsidRPr="00517DF3" w:rsidR="00B202F4">
        <w:rPr>
          <w:rFonts w:ascii="Calibri" w:hAnsi="Calibri" w:eastAsia="Verdana" w:cs="Calibri"/>
          <w:szCs w:val="22"/>
        </w:rPr>
        <w:t>van</w:t>
      </w:r>
      <w:r w:rsidRPr="00517DF3" w:rsidR="001B4165">
        <w:rPr>
          <w:rFonts w:ascii="Calibri" w:hAnsi="Calibri" w:eastAsia="Verdana" w:cs="Calibri"/>
          <w:szCs w:val="22"/>
        </w:rPr>
        <w:t xml:space="preserve"> dit initiatief.</w:t>
      </w:r>
      <w:r w:rsidRPr="00517DF3" w:rsidR="007D36BF">
        <w:rPr>
          <w:rFonts w:ascii="Calibri" w:hAnsi="Calibri" w:eastAsia="Verdana" w:cs="Calibri"/>
          <w:szCs w:val="22"/>
        </w:rPr>
        <w:t xml:space="preserve"> Het kabinet steunt</w:t>
      </w:r>
      <w:r w:rsidRPr="00517DF3" w:rsidR="001B4165">
        <w:rPr>
          <w:rFonts w:ascii="Calibri" w:hAnsi="Calibri" w:eastAsia="Verdana" w:cs="Calibri"/>
          <w:szCs w:val="22"/>
        </w:rPr>
        <w:t xml:space="preserve"> </w:t>
      </w:r>
      <w:r w:rsidRPr="00517DF3" w:rsidR="005D577E">
        <w:rPr>
          <w:rFonts w:ascii="Calibri" w:hAnsi="Calibri" w:eastAsia="Verdana" w:cs="Calibri"/>
          <w:szCs w:val="22"/>
        </w:rPr>
        <w:t>de European Open Science Cloud (EOSC)</w:t>
      </w:r>
      <w:r w:rsidRPr="00517DF3" w:rsidR="007D36BF">
        <w:rPr>
          <w:rFonts w:ascii="Calibri" w:hAnsi="Calibri" w:eastAsia="Verdana" w:cs="Calibri"/>
          <w:szCs w:val="22"/>
        </w:rPr>
        <w:t>, dat de FAIR-principes (vindbaarheid, toegankelijkheid, interoperabiliteit en herbruikbaarheid) voor data omarmt om data beter te kunnen beheren, delen, hergebruiken en machine-leesbaar te maken</w:t>
      </w:r>
      <w:r w:rsidRPr="00517DF3" w:rsidR="005D577E">
        <w:rPr>
          <w:rFonts w:ascii="Calibri" w:hAnsi="Calibri" w:eastAsia="Verdana" w:cs="Calibri"/>
          <w:szCs w:val="22"/>
        </w:rPr>
        <w:t>, zodat deze ook voor AI-toepassingen gebruikt k</w:t>
      </w:r>
      <w:r w:rsidRPr="00517DF3" w:rsidR="006B4DC9">
        <w:rPr>
          <w:rFonts w:ascii="Calibri" w:hAnsi="Calibri" w:eastAsia="Verdana" w:cs="Calibri"/>
          <w:szCs w:val="22"/>
        </w:rPr>
        <w:t>unnen</w:t>
      </w:r>
      <w:r w:rsidRPr="00517DF3" w:rsidR="005D577E">
        <w:rPr>
          <w:rFonts w:ascii="Calibri" w:hAnsi="Calibri" w:eastAsia="Verdana" w:cs="Calibri"/>
          <w:szCs w:val="22"/>
        </w:rPr>
        <w:t xml:space="preserve"> worden.</w:t>
      </w:r>
    </w:p>
    <w:p w:rsidRPr="00517DF3" w:rsidR="00D313F9" w:rsidP="00517DF3" w:rsidRDefault="00D313F9" w14:paraId="4C2AD199" w14:textId="1297FC4D">
      <w:pPr>
        <w:spacing w:line="240" w:lineRule="auto"/>
        <w:rPr>
          <w:rFonts w:ascii="Calibri" w:hAnsi="Calibri" w:cs="Calibri"/>
          <w:szCs w:val="22"/>
        </w:rPr>
      </w:pPr>
    </w:p>
    <w:p w:rsidRPr="00517DF3" w:rsidR="3EC02141" w:rsidP="00517DF3" w:rsidRDefault="3958735C" w14:paraId="0DE95DEB" w14:textId="5EE105E2">
      <w:pPr>
        <w:spacing w:line="240" w:lineRule="auto"/>
        <w:rPr>
          <w:rFonts w:ascii="Calibri" w:hAnsi="Calibri" w:eastAsia="Verdana" w:cs="Calibri"/>
          <w:szCs w:val="22"/>
        </w:rPr>
      </w:pPr>
      <w:r w:rsidRPr="00517DF3">
        <w:rPr>
          <w:rFonts w:ascii="Calibri" w:hAnsi="Calibri" w:eastAsia="Verdana" w:cs="Calibri"/>
          <w:szCs w:val="22"/>
        </w:rPr>
        <w:t xml:space="preserve">Naast het voortzetten van bestaande data spaces, worden in </w:t>
      </w:r>
      <w:r w:rsidRPr="00517DF3" w:rsidR="00B572F6">
        <w:rPr>
          <w:rFonts w:ascii="Calibri" w:hAnsi="Calibri" w:eastAsia="Verdana" w:cs="Calibri"/>
          <w:szCs w:val="22"/>
        </w:rPr>
        <w:t>de mededeling</w:t>
      </w:r>
      <w:r w:rsidRPr="00517DF3">
        <w:rPr>
          <w:rFonts w:ascii="Calibri" w:hAnsi="Calibri" w:eastAsia="Verdana" w:cs="Calibri"/>
          <w:szCs w:val="22"/>
        </w:rPr>
        <w:t xml:space="preserve"> twee additionele data spaces aangekondigd voor het delen van data in de rechtspraak en voor defensie.</w:t>
      </w:r>
      <w:r w:rsidRPr="00517DF3">
        <w:rPr>
          <w:rFonts w:ascii="Calibri" w:hAnsi="Calibri" w:cs="Calibri"/>
          <w:szCs w:val="22"/>
        </w:rPr>
        <w:t xml:space="preserve"> </w:t>
      </w:r>
      <w:r w:rsidRPr="00517DF3">
        <w:rPr>
          <w:rFonts w:ascii="Calibri" w:hAnsi="Calibri" w:eastAsia="Verdana" w:cs="Calibri"/>
          <w:szCs w:val="22"/>
        </w:rPr>
        <w:t xml:space="preserve">Het kabinet onderschrijft het maatschappelijk belang van openbaarheid van rechtspraak voor burgers, bedrijven, wetenschap en journalistiek. </w:t>
      </w:r>
      <w:r w:rsidRPr="00517DF3" w:rsidR="00B06D72">
        <w:rPr>
          <w:rFonts w:ascii="Calibri" w:hAnsi="Calibri" w:eastAsia="Verdana" w:cs="Calibri"/>
          <w:szCs w:val="22"/>
        </w:rPr>
        <w:t>H</w:t>
      </w:r>
      <w:r w:rsidRPr="00517DF3">
        <w:rPr>
          <w:rFonts w:ascii="Calibri" w:hAnsi="Calibri" w:eastAsia="Verdana" w:cs="Calibri"/>
          <w:szCs w:val="22"/>
        </w:rPr>
        <w:t>et kabinet is</w:t>
      </w:r>
      <w:r w:rsidRPr="00517DF3" w:rsidR="00B06D72">
        <w:rPr>
          <w:rFonts w:ascii="Calibri" w:hAnsi="Calibri" w:eastAsia="Verdana" w:cs="Calibri"/>
          <w:szCs w:val="22"/>
        </w:rPr>
        <w:t xml:space="preserve"> echter</w:t>
      </w:r>
      <w:r w:rsidRPr="00517DF3">
        <w:rPr>
          <w:rFonts w:ascii="Calibri" w:hAnsi="Calibri" w:eastAsia="Verdana" w:cs="Calibri"/>
          <w:szCs w:val="22"/>
        </w:rPr>
        <w:t xml:space="preserve">, gelet op de aard van de gegevens, terughoudend ten </w:t>
      </w:r>
      <w:r w:rsidRPr="00517DF3" w:rsidR="00C41B26">
        <w:rPr>
          <w:rFonts w:ascii="Calibri" w:hAnsi="Calibri" w:eastAsia="Verdana" w:cs="Calibri"/>
          <w:szCs w:val="22"/>
        </w:rPr>
        <w:t xml:space="preserve">aanzien </w:t>
      </w:r>
      <w:r w:rsidRPr="00517DF3">
        <w:rPr>
          <w:rFonts w:ascii="Calibri" w:hAnsi="Calibri" w:eastAsia="Verdana" w:cs="Calibri"/>
          <w:szCs w:val="22"/>
        </w:rPr>
        <w:t>van de voorstellen om juridische data en justitiële data aan te wijzen als open data (high value dataset) en om een ‘data space’ in te richten voor de rechtspraak met als doel deze data geschikt te maken voor het trainen van AI. Het kabinet heeft vragen over de scope, de impact op privacy, gegevensbescherming en andere relevante grondrechten, en de uitvoeringsconsequenties voor de rechtsprekende instanties</w:t>
      </w:r>
      <w:r w:rsidRPr="00517DF3" w:rsidR="2DFF7057">
        <w:rPr>
          <w:rFonts w:ascii="Calibri" w:hAnsi="Calibri" w:eastAsia="Verdana" w:cs="Calibri"/>
          <w:szCs w:val="22"/>
        </w:rPr>
        <w:t xml:space="preserve"> alsmede datahouders op het gebied van vergunningen en administratieve </w:t>
      </w:r>
      <w:r w:rsidRPr="00517DF3" w:rsidR="5C64462B">
        <w:rPr>
          <w:rFonts w:ascii="Calibri" w:hAnsi="Calibri" w:eastAsia="Verdana" w:cs="Calibri"/>
          <w:szCs w:val="22"/>
        </w:rPr>
        <w:t>beschikkingen</w:t>
      </w:r>
      <w:r w:rsidRPr="00517DF3">
        <w:rPr>
          <w:rFonts w:ascii="Calibri" w:hAnsi="Calibri" w:eastAsia="Verdana" w:cs="Calibri"/>
          <w:szCs w:val="22"/>
        </w:rPr>
        <w:t xml:space="preserve">. </w:t>
      </w:r>
    </w:p>
    <w:p w:rsidRPr="00517DF3" w:rsidR="6B39731E" w:rsidP="00517DF3" w:rsidRDefault="6B39731E" w14:paraId="2BBE22A8" w14:textId="77AC1E3B">
      <w:pPr>
        <w:spacing w:line="240" w:lineRule="auto"/>
        <w:rPr>
          <w:rFonts w:ascii="Calibri" w:hAnsi="Calibri" w:eastAsia="Verdana" w:cs="Calibri"/>
          <w:szCs w:val="22"/>
        </w:rPr>
      </w:pPr>
    </w:p>
    <w:p w:rsidRPr="00517DF3" w:rsidR="6B39731E" w:rsidP="00517DF3" w:rsidRDefault="3958735C" w14:paraId="626ABA05" w14:textId="79ABA57C">
      <w:pPr>
        <w:spacing w:line="240" w:lineRule="auto"/>
        <w:rPr>
          <w:rFonts w:ascii="Calibri" w:hAnsi="Calibri" w:eastAsia="Verdana" w:cs="Calibri"/>
          <w:szCs w:val="22"/>
        </w:rPr>
      </w:pPr>
      <w:r w:rsidRPr="00517DF3">
        <w:rPr>
          <w:rFonts w:ascii="Calibri" w:hAnsi="Calibri" w:eastAsia="Verdana" w:cs="Calibri"/>
          <w:szCs w:val="22"/>
        </w:rPr>
        <w:t>Het kabinet onderschrijft het belang van betrouwbare, integere en veilige data</w:t>
      </w:r>
      <w:r w:rsidRPr="00517DF3" w:rsidR="002022FC">
        <w:rPr>
          <w:rFonts w:ascii="Calibri" w:hAnsi="Calibri" w:eastAsia="Verdana" w:cs="Calibri"/>
          <w:szCs w:val="22"/>
        </w:rPr>
        <w:t>-</w:t>
      </w:r>
      <w:r w:rsidRPr="00517DF3">
        <w:rPr>
          <w:rFonts w:ascii="Calibri" w:hAnsi="Calibri" w:eastAsia="Verdana" w:cs="Calibri"/>
          <w:szCs w:val="22"/>
        </w:rPr>
        <w:t xml:space="preserve">uitwisseling voor defensie, maar heeft zorgen over de beveiligingsrisico's van een Europese defensie data space. Daarnaast benadrukt het kabinet de vrijwilligheid van deelname, aangezien de bevoegdheden op het gebied van defensie en nationale veiligheid zijn voorbehouden aan de lidstaten. De uiteindelijke positie van het kabinet is afhankelijk van de verdere uitwerking in de haalbaarheidsstudie van de Europese Defensieagentschap (EDA).  </w:t>
      </w:r>
    </w:p>
    <w:p w:rsidRPr="00517DF3" w:rsidR="6B39731E" w:rsidP="00517DF3" w:rsidRDefault="6B39731E" w14:paraId="13A957A5" w14:textId="5682A211">
      <w:pPr>
        <w:spacing w:line="240" w:lineRule="auto"/>
        <w:rPr>
          <w:rFonts w:ascii="Calibri" w:hAnsi="Calibri" w:eastAsia="Verdana" w:cs="Calibri"/>
          <w:szCs w:val="22"/>
        </w:rPr>
      </w:pPr>
    </w:p>
    <w:p w:rsidRPr="00517DF3" w:rsidR="00D313F9" w:rsidP="00517DF3" w:rsidRDefault="6D9DC2FC" w14:paraId="369ACB92" w14:textId="0206A725">
      <w:pPr>
        <w:spacing w:line="240" w:lineRule="auto"/>
        <w:rPr>
          <w:rFonts w:ascii="Calibri" w:hAnsi="Calibri" w:cs="Calibri"/>
          <w:szCs w:val="22"/>
        </w:rPr>
      </w:pPr>
      <w:r w:rsidRPr="00517DF3">
        <w:rPr>
          <w:rFonts w:ascii="Calibri" w:hAnsi="Calibri" w:eastAsia="Verdana" w:cs="Calibri"/>
          <w:szCs w:val="22"/>
        </w:rPr>
        <w:t xml:space="preserve">Het kabinet verwelkomt juridische ondersteuning door de Commissie voor het </w:t>
      </w:r>
      <w:r w:rsidRPr="00517DF3" w:rsidR="005D577E">
        <w:rPr>
          <w:rFonts w:ascii="Calibri" w:hAnsi="Calibri" w:eastAsia="Verdana" w:cs="Calibri"/>
          <w:szCs w:val="22"/>
        </w:rPr>
        <w:t xml:space="preserve">aanbieden, publiceren en </w:t>
      </w:r>
      <w:r w:rsidRPr="00517DF3">
        <w:rPr>
          <w:rFonts w:ascii="Calibri" w:hAnsi="Calibri" w:eastAsia="Verdana" w:cs="Calibri"/>
          <w:szCs w:val="22"/>
        </w:rPr>
        <w:t>gebruik</w:t>
      </w:r>
      <w:r w:rsidRPr="00517DF3" w:rsidR="005D577E">
        <w:rPr>
          <w:rFonts w:ascii="Calibri" w:hAnsi="Calibri" w:eastAsia="Verdana" w:cs="Calibri"/>
          <w:szCs w:val="22"/>
        </w:rPr>
        <w:t>en</w:t>
      </w:r>
      <w:r w:rsidRPr="00517DF3">
        <w:rPr>
          <w:rFonts w:ascii="Calibri" w:hAnsi="Calibri" w:eastAsia="Verdana" w:cs="Calibri"/>
          <w:szCs w:val="22"/>
        </w:rPr>
        <w:t xml:space="preserve"> van synthetische data en de ontwikkeling van standaarden op dit gebied, maar twijfelt over de </w:t>
      </w:r>
      <w:r w:rsidRPr="00517DF3" w:rsidR="00775907">
        <w:rPr>
          <w:rFonts w:ascii="Calibri" w:hAnsi="Calibri" w:eastAsia="Verdana" w:cs="Calibri"/>
          <w:szCs w:val="22"/>
        </w:rPr>
        <w:t xml:space="preserve">reikwijdte </w:t>
      </w:r>
      <w:r w:rsidRPr="00517DF3">
        <w:rPr>
          <w:rFonts w:ascii="Calibri" w:hAnsi="Calibri" w:eastAsia="Verdana" w:cs="Calibri"/>
          <w:szCs w:val="22"/>
        </w:rPr>
        <w:t xml:space="preserve">omdat juridische onzekerheid ook voor de inzet van andere </w:t>
      </w:r>
      <w:r w:rsidRPr="00517DF3" w:rsidR="00775907">
        <w:rPr>
          <w:rFonts w:ascii="Calibri" w:hAnsi="Calibri" w:eastAsia="Verdana" w:cs="Calibri"/>
          <w:szCs w:val="22"/>
        </w:rPr>
        <w:lastRenderedPageBreak/>
        <w:t>zogenoemde</w:t>
      </w:r>
      <w:r w:rsidRPr="00517DF3">
        <w:rPr>
          <w:rFonts w:ascii="Calibri" w:hAnsi="Calibri" w:eastAsia="Verdana" w:cs="Calibri"/>
          <w:szCs w:val="22"/>
        </w:rPr>
        <w:t xml:space="preserve"> </w:t>
      </w:r>
      <w:r w:rsidRPr="00517DF3">
        <w:rPr>
          <w:rFonts w:ascii="Calibri" w:hAnsi="Calibri" w:eastAsia="Verdana" w:cs="Calibri"/>
          <w:i/>
          <w:iCs/>
          <w:szCs w:val="22"/>
        </w:rPr>
        <w:t>Privacy Enhancing Technologies</w:t>
      </w:r>
      <w:r w:rsidRPr="00517DF3">
        <w:rPr>
          <w:rFonts w:ascii="Calibri" w:hAnsi="Calibri" w:eastAsia="Verdana" w:cs="Calibri"/>
          <w:szCs w:val="22"/>
        </w:rPr>
        <w:t xml:space="preserve"> (hierna: PETs) speelt. Het kabinet twijfelt over de meerwaarde van een synthetische data factory en een certificeringschema voor synthetische data. Nederland kent private PET-providers. Waar activiteiten door de markt uitgevoerd kunnen worden, moet voorkomen worden dat de Commissie verstorend optreedt. Additionele certificering zou bovendien </w:t>
      </w:r>
      <w:r w:rsidRPr="00517DF3" w:rsidR="005D577E">
        <w:rPr>
          <w:rFonts w:ascii="Calibri" w:hAnsi="Calibri" w:eastAsia="Verdana" w:cs="Calibri"/>
          <w:szCs w:val="22"/>
        </w:rPr>
        <w:t xml:space="preserve">kunnen </w:t>
      </w:r>
      <w:r w:rsidRPr="00517DF3">
        <w:rPr>
          <w:rFonts w:ascii="Calibri" w:hAnsi="Calibri" w:eastAsia="Verdana" w:cs="Calibri"/>
          <w:szCs w:val="22"/>
        </w:rPr>
        <w:t xml:space="preserve">zorgen voor een toename van regeldruk. Dit </w:t>
      </w:r>
      <w:r w:rsidRPr="00517DF3" w:rsidR="005D577E">
        <w:rPr>
          <w:rFonts w:ascii="Calibri" w:hAnsi="Calibri" w:eastAsia="Verdana" w:cs="Calibri"/>
          <w:szCs w:val="22"/>
        </w:rPr>
        <w:t>acht</w:t>
      </w:r>
      <w:r w:rsidRPr="00517DF3">
        <w:rPr>
          <w:rFonts w:ascii="Calibri" w:hAnsi="Calibri" w:eastAsia="Verdana" w:cs="Calibri"/>
          <w:szCs w:val="22"/>
        </w:rPr>
        <w:t xml:space="preserve"> het kabinet niet wenselijk.</w:t>
      </w:r>
    </w:p>
    <w:p w:rsidRPr="00517DF3" w:rsidR="00D313F9" w:rsidP="00517DF3" w:rsidRDefault="00D313F9" w14:paraId="2A67B4C2" w14:textId="1637A8EE">
      <w:pPr>
        <w:tabs>
          <w:tab w:val="center" w:pos="4513"/>
        </w:tabs>
        <w:spacing w:line="240" w:lineRule="auto"/>
        <w:rPr>
          <w:rFonts w:ascii="Calibri" w:hAnsi="Calibri" w:cs="Calibri"/>
          <w:szCs w:val="22"/>
        </w:rPr>
      </w:pPr>
    </w:p>
    <w:p w:rsidRPr="00517DF3" w:rsidR="00D313F9" w:rsidP="00517DF3" w:rsidRDefault="5F97366C" w14:paraId="0660FC65" w14:textId="5658C85C">
      <w:pPr>
        <w:spacing w:line="240" w:lineRule="auto"/>
        <w:rPr>
          <w:rFonts w:ascii="Calibri" w:hAnsi="Calibri" w:eastAsia="Verdana" w:cs="Calibri"/>
          <w:szCs w:val="22"/>
        </w:rPr>
      </w:pPr>
      <w:r w:rsidRPr="00517DF3">
        <w:rPr>
          <w:rFonts w:ascii="Calibri" w:hAnsi="Calibri" w:eastAsia="Verdana" w:cs="Calibri"/>
          <w:szCs w:val="22"/>
        </w:rPr>
        <w:t>Het kabinet ziet meerwaarde in het ontwikkelen van datakwaliteitsstandaarden maar heeft vragen over de kwantificeerbaarheid van datakwaliteit voor ongestructureerde data, zoals teksten of afbeeldingen</w:t>
      </w:r>
      <w:r w:rsidRPr="00517DF3" w:rsidR="00855717">
        <w:rPr>
          <w:rFonts w:ascii="Calibri" w:hAnsi="Calibri" w:eastAsia="Verdana" w:cs="Calibri"/>
          <w:szCs w:val="22"/>
        </w:rPr>
        <w:t>,</w:t>
      </w:r>
      <w:r w:rsidRPr="00517DF3" w:rsidR="5FF0B7ED">
        <w:rPr>
          <w:rFonts w:ascii="Calibri" w:hAnsi="Calibri" w:eastAsia="Verdana" w:cs="Calibri"/>
          <w:szCs w:val="22"/>
        </w:rPr>
        <w:t xml:space="preserve"> en over de uitvoeringslast</w:t>
      </w:r>
      <w:r w:rsidRPr="00517DF3" w:rsidR="00855717">
        <w:rPr>
          <w:rFonts w:ascii="Calibri" w:hAnsi="Calibri" w:eastAsia="Verdana" w:cs="Calibri"/>
          <w:szCs w:val="22"/>
        </w:rPr>
        <w:t xml:space="preserve"> en kosten voor datahouders</w:t>
      </w:r>
      <w:r w:rsidRPr="00517DF3" w:rsidR="5FF0B7ED">
        <w:rPr>
          <w:rFonts w:ascii="Calibri" w:hAnsi="Calibri" w:eastAsia="Verdana" w:cs="Calibri"/>
          <w:szCs w:val="22"/>
        </w:rPr>
        <w:t xml:space="preserve"> die dit met zich mee</w:t>
      </w:r>
      <w:r w:rsidRPr="00517DF3" w:rsidR="00855717">
        <w:rPr>
          <w:rFonts w:ascii="Calibri" w:hAnsi="Calibri" w:eastAsia="Verdana" w:cs="Calibri"/>
          <w:szCs w:val="22"/>
        </w:rPr>
        <w:t xml:space="preserve"> kan </w:t>
      </w:r>
      <w:r w:rsidRPr="00517DF3" w:rsidR="5FF0B7ED">
        <w:rPr>
          <w:rFonts w:ascii="Calibri" w:hAnsi="Calibri" w:eastAsia="Verdana" w:cs="Calibri"/>
          <w:szCs w:val="22"/>
        </w:rPr>
        <w:t>breng</w:t>
      </w:r>
      <w:r w:rsidRPr="00517DF3" w:rsidR="00855717">
        <w:rPr>
          <w:rFonts w:ascii="Calibri" w:hAnsi="Calibri" w:eastAsia="Verdana" w:cs="Calibri"/>
          <w:szCs w:val="22"/>
        </w:rPr>
        <w:t>en.</w:t>
      </w:r>
      <w:r w:rsidRPr="00517DF3">
        <w:rPr>
          <w:rFonts w:ascii="Calibri" w:hAnsi="Calibri" w:eastAsia="Verdana" w:cs="Calibri"/>
          <w:szCs w:val="22"/>
        </w:rPr>
        <w:t>. Het structureren van data door middel van nauwkeurige, eenduidige annotaties en labels kan de kwaliteit van data verbeteren en de waarde van data vergroten – b</w:t>
      </w:r>
      <w:r w:rsidRPr="00517DF3" w:rsidR="00BD11F7">
        <w:rPr>
          <w:rFonts w:ascii="Calibri" w:hAnsi="Calibri" w:eastAsia="Verdana" w:cs="Calibri"/>
          <w:szCs w:val="22"/>
        </w:rPr>
        <w:t>ijvoorbeeld</w:t>
      </w:r>
      <w:r w:rsidRPr="00517DF3">
        <w:rPr>
          <w:rFonts w:ascii="Calibri" w:hAnsi="Calibri" w:eastAsia="Verdana" w:cs="Calibri"/>
          <w:szCs w:val="22"/>
        </w:rPr>
        <w:t xml:space="preserve"> voor het trainen van AI. Naar aanleiding van de te ontwikkelen standaarden onder de Data Act, is in opdracht van het Ministerie van Economische Zaken bij</w:t>
      </w:r>
      <w:r w:rsidRPr="00517DF3" w:rsidR="00855717">
        <w:rPr>
          <w:rFonts w:ascii="Calibri" w:hAnsi="Calibri" w:eastAsia="Verdana" w:cs="Calibri"/>
          <w:szCs w:val="22"/>
        </w:rPr>
        <w:t xml:space="preserve"> het</w:t>
      </w:r>
      <w:r w:rsidRPr="00517DF3">
        <w:rPr>
          <w:rFonts w:ascii="Calibri" w:hAnsi="Calibri" w:eastAsia="Verdana" w:cs="Calibri"/>
          <w:szCs w:val="22"/>
        </w:rPr>
        <w:t xml:space="preserve"> N</w:t>
      </w:r>
      <w:r w:rsidRPr="00517DF3" w:rsidR="00855717">
        <w:rPr>
          <w:rFonts w:ascii="Calibri" w:hAnsi="Calibri" w:eastAsia="Verdana" w:cs="Calibri"/>
          <w:szCs w:val="22"/>
        </w:rPr>
        <w:t>ederlands Normalisatie Instituut (N</w:t>
      </w:r>
      <w:r w:rsidRPr="00517DF3">
        <w:rPr>
          <w:rFonts w:ascii="Calibri" w:hAnsi="Calibri" w:eastAsia="Verdana" w:cs="Calibri"/>
          <w:szCs w:val="22"/>
        </w:rPr>
        <w:t>EN</w:t>
      </w:r>
      <w:r w:rsidRPr="00517DF3" w:rsidR="00855717">
        <w:rPr>
          <w:rFonts w:ascii="Calibri" w:hAnsi="Calibri" w:eastAsia="Verdana" w:cs="Calibri"/>
          <w:szCs w:val="22"/>
        </w:rPr>
        <w:t>)</w:t>
      </w:r>
      <w:r w:rsidRPr="00517DF3">
        <w:rPr>
          <w:rFonts w:ascii="Calibri" w:hAnsi="Calibri" w:eastAsia="Verdana" w:cs="Calibri"/>
          <w:szCs w:val="22"/>
        </w:rPr>
        <w:t xml:space="preserve"> een normcommissie Data &amp; Cloud opgericht, waar Nederlandse stakeholders kunnen bijdragen aan de ontwikkeling van Europese standaarden op dit gebied. Met deze normcommissie is Nederland ook bij de komst van nieuwe standaarden goed georganiseerd</w:t>
      </w:r>
      <w:r w:rsidRPr="00517DF3">
        <w:rPr>
          <w:rStyle w:val="Verwijzingopmerking"/>
          <w:rFonts w:ascii="Calibri" w:hAnsi="Calibri" w:cs="Calibri"/>
          <w:sz w:val="22"/>
          <w:szCs w:val="22"/>
        </w:rPr>
        <w:t>.</w:t>
      </w:r>
      <w:r w:rsidRPr="00517DF3">
        <w:rPr>
          <w:rFonts w:ascii="Calibri" w:hAnsi="Calibri" w:eastAsia="Verdana" w:cs="Calibri"/>
          <w:szCs w:val="22"/>
        </w:rPr>
        <w:t xml:space="preserve"> </w:t>
      </w:r>
    </w:p>
    <w:p w:rsidRPr="00517DF3" w:rsidR="00D313F9" w:rsidP="00517DF3" w:rsidRDefault="00D313F9" w14:paraId="2843C39C" w14:textId="1F3A5186">
      <w:pPr>
        <w:spacing w:line="240" w:lineRule="auto"/>
        <w:rPr>
          <w:rFonts w:ascii="Calibri" w:hAnsi="Calibri" w:eastAsia="Verdana" w:cs="Calibri"/>
          <w:szCs w:val="22"/>
        </w:rPr>
      </w:pPr>
    </w:p>
    <w:p w:rsidRPr="00517DF3" w:rsidR="00D313F9" w:rsidP="00517DF3" w:rsidRDefault="6D9DC2FC" w14:paraId="3EF3CC01" w14:textId="3F082542">
      <w:pPr>
        <w:spacing w:line="240" w:lineRule="auto"/>
        <w:rPr>
          <w:rFonts w:ascii="Calibri" w:hAnsi="Calibri" w:cs="Calibri"/>
          <w:szCs w:val="22"/>
        </w:rPr>
      </w:pPr>
      <w:r w:rsidRPr="00517DF3">
        <w:rPr>
          <w:rFonts w:ascii="Calibri" w:hAnsi="Calibri" w:eastAsia="Verdana" w:cs="Calibri"/>
          <w:szCs w:val="22"/>
        </w:rPr>
        <w:t xml:space="preserve">Met betrekking tot pijler II kan het kabinet het samenbrengen van de verschillende wetten met betrekking tot data in de Dataverordening en de wijzigingen die daarmee gepaard gaan in grote mate steunen. Zie voor een uitgebreidere appreciatie het BNC-fiche </w:t>
      </w:r>
      <w:r w:rsidRPr="00517DF3">
        <w:rPr>
          <w:rFonts w:ascii="Calibri" w:hAnsi="Calibri" w:eastAsia="Verdana" w:cs="Calibri"/>
          <w:i/>
          <w:iCs/>
          <w:szCs w:val="22"/>
        </w:rPr>
        <w:t>Omnibus AI en Omnibus Digitaal</w:t>
      </w:r>
      <w:r w:rsidRPr="00517DF3">
        <w:rPr>
          <w:rFonts w:ascii="Calibri" w:hAnsi="Calibri" w:eastAsia="Verdana" w:cs="Calibri"/>
          <w:szCs w:val="22"/>
        </w:rPr>
        <w:t>, die recent met de Kamer gedeeld is.</w:t>
      </w:r>
      <w:r w:rsidRPr="00517DF3" w:rsidR="00B202F4">
        <w:rPr>
          <w:rStyle w:val="Voetnootmarkering"/>
          <w:rFonts w:ascii="Calibri" w:hAnsi="Calibri" w:eastAsia="Verdana" w:cs="Calibri"/>
          <w:szCs w:val="22"/>
        </w:rPr>
        <w:footnoteReference w:id="11"/>
      </w:r>
      <w:r w:rsidRPr="00517DF3">
        <w:rPr>
          <w:rFonts w:ascii="Calibri" w:hAnsi="Calibri" w:eastAsia="Verdana" w:cs="Calibri"/>
          <w:szCs w:val="22"/>
        </w:rPr>
        <w:t xml:space="preserve"> Het kabinet steunt het uitvoeren van een Digitale Fitness Check. Een gedegen </w:t>
      </w:r>
      <w:bookmarkStart w:name="_Hlk215496176" w:id="1"/>
      <w:r w:rsidRPr="00517DF3">
        <w:rPr>
          <w:rFonts w:ascii="Calibri" w:hAnsi="Calibri" w:eastAsia="Verdana" w:cs="Calibri"/>
          <w:szCs w:val="22"/>
        </w:rPr>
        <w:t>analyse van de raakvlakken van, en eventuele overlap tussen, digitale wetgeving</w:t>
      </w:r>
      <w:bookmarkEnd w:id="1"/>
      <w:r w:rsidRPr="00517DF3">
        <w:rPr>
          <w:rFonts w:ascii="Calibri" w:hAnsi="Calibri" w:eastAsia="Verdana" w:cs="Calibri"/>
          <w:szCs w:val="22"/>
        </w:rPr>
        <w:t xml:space="preserve"> is nodig. Een Fitness Check biedt hiervoor meer ruimte dan de Digitale Omnibus.</w:t>
      </w:r>
      <w:r w:rsidRPr="00517DF3" w:rsidR="006B4DC9">
        <w:rPr>
          <w:rFonts w:ascii="Calibri" w:hAnsi="Calibri" w:cs="Calibri"/>
          <w:szCs w:val="22"/>
        </w:rPr>
        <w:t xml:space="preserve"> </w:t>
      </w:r>
      <w:r w:rsidRPr="00517DF3" w:rsidR="00276C52">
        <w:rPr>
          <w:rFonts w:ascii="Calibri" w:hAnsi="Calibri" w:eastAsia="Verdana" w:cs="Calibri"/>
          <w:szCs w:val="22"/>
        </w:rPr>
        <w:t xml:space="preserve">Het </w:t>
      </w:r>
      <w:r w:rsidRPr="00517DF3" w:rsidR="00886EDB">
        <w:rPr>
          <w:rFonts w:ascii="Calibri" w:hAnsi="Calibri" w:eastAsia="Verdana" w:cs="Calibri"/>
          <w:szCs w:val="22"/>
        </w:rPr>
        <w:t>k</w:t>
      </w:r>
      <w:r w:rsidRPr="00517DF3" w:rsidR="00276C52">
        <w:rPr>
          <w:rFonts w:ascii="Calibri" w:hAnsi="Calibri" w:eastAsia="Verdana" w:cs="Calibri"/>
          <w:szCs w:val="22"/>
        </w:rPr>
        <w:t xml:space="preserve">abinet steunt in algemene zin het voorstel voor een Europese Business Wallet voor bedrijven. Een uitgebreidere appreciatie volgt in het BNC-fiche </w:t>
      </w:r>
      <w:r w:rsidRPr="00517DF3" w:rsidR="00276C52">
        <w:rPr>
          <w:rFonts w:ascii="Calibri" w:hAnsi="Calibri" w:eastAsia="Verdana" w:cs="Calibri"/>
          <w:i/>
          <w:iCs/>
          <w:szCs w:val="22"/>
        </w:rPr>
        <w:t>EU Business Wallet</w:t>
      </w:r>
      <w:r w:rsidRPr="00517DF3" w:rsidR="00276C52">
        <w:rPr>
          <w:rFonts w:ascii="Calibri" w:hAnsi="Calibri" w:eastAsia="Verdana" w:cs="Calibri"/>
          <w:szCs w:val="22"/>
        </w:rPr>
        <w:t>, dat met de Kamer zal worden gedeeld.</w:t>
      </w:r>
      <w:r w:rsidRPr="00517DF3" w:rsidR="006B4DC9">
        <w:rPr>
          <w:rFonts w:ascii="Calibri" w:hAnsi="Calibri" w:cs="Calibri"/>
          <w:szCs w:val="22"/>
        </w:rPr>
        <w:t xml:space="preserve"> </w:t>
      </w:r>
      <w:r w:rsidRPr="00517DF3">
        <w:rPr>
          <w:rFonts w:ascii="Calibri" w:hAnsi="Calibri" w:eastAsia="Verdana" w:cs="Calibri"/>
          <w:szCs w:val="22"/>
        </w:rPr>
        <w:t>Het kabinet verwelkomt additionele juridische ondersteuning voor het voldoen aan de Data</w:t>
      </w:r>
      <w:r w:rsidRPr="00517DF3" w:rsidR="00AE4F45">
        <w:rPr>
          <w:rFonts w:ascii="Calibri" w:hAnsi="Calibri" w:eastAsia="Verdana" w:cs="Calibri"/>
          <w:szCs w:val="22"/>
        </w:rPr>
        <w:t>verordening</w:t>
      </w:r>
      <w:r w:rsidRPr="00517DF3">
        <w:rPr>
          <w:rFonts w:ascii="Calibri" w:hAnsi="Calibri" w:eastAsia="Verdana" w:cs="Calibri"/>
          <w:szCs w:val="22"/>
        </w:rPr>
        <w:t xml:space="preserve">. Wel heeft het kabinet vragen over de rolverdeling </w:t>
      </w:r>
      <w:r w:rsidRPr="00517DF3" w:rsidR="00FE7AD5">
        <w:rPr>
          <w:rFonts w:ascii="Calibri" w:hAnsi="Calibri" w:eastAsia="Verdana" w:cs="Calibri"/>
          <w:szCs w:val="22"/>
        </w:rPr>
        <w:t xml:space="preserve">tussen </w:t>
      </w:r>
      <w:r w:rsidRPr="00517DF3">
        <w:rPr>
          <w:rFonts w:ascii="Calibri" w:hAnsi="Calibri" w:eastAsia="Verdana" w:cs="Calibri"/>
          <w:szCs w:val="22"/>
        </w:rPr>
        <w:t xml:space="preserve">een Europese helpdesk </w:t>
      </w:r>
      <w:r w:rsidRPr="00517DF3" w:rsidR="00FE7AD5">
        <w:rPr>
          <w:rFonts w:ascii="Calibri" w:hAnsi="Calibri" w:eastAsia="Verdana" w:cs="Calibri"/>
          <w:szCs w:val="22"/>
        </w:rPr>
        <w:t>en</w:t>
      </w:r>
      <w:r w:rsidRPr="00517DF3">
        <w:rPr>
          <w:rFonts w:ascii="Calibri" w:hAnsi="Calibri" w:eastAsia="Verdana" w:cs="Calibri"/>
          <w:szCs w:val="22"/>
        </w:rPr>
        <w:t xml:space="preserve"> het nationale toezicht.</w:t>
      </w:r>
    </w:p>
    <w:p w:rsidRPr="00517DF3" w:rsidR="00D313F9" w:rsidP="00517DF3" w:rsidRDefault="00D313F9" w14:paraId="05753A35" w14:textId="57E253A6">
      <w:pPr>
        <w:spacing w:line="240" w:lineRule="auto"/>
        <w:rPr>
          <w:rFonts w:ascii="Calibri" w:hAnsi="Calibri" w:eastAsia="Verdana" w:cs="Calibri"/>
          <w:szCs w:val="22"/>
        </w:rPr>
      </w:pPr>
    </w:p>
    <w:p w:rsidRPr="00517DF3" w:rsidR="00D313F9" w:rsidP="00517DF3" w:rsidRDefault="3958735C" w14:paraId="77F59221" w14:textId="4CF38EE1">
      <w:pPr>
        <w:spacing w:line="240" w:lineRule="auto"/>
        <w:rPr>
          <w:rFonts w:ascii="Calibri" w:hAnsi="Calibri" w:eastAsia="Verdana" w:cs="Calibri"/>
          <w:szCs w:val="22"/>
        </w:rPr>
      </w:pPr>
      <w:r w:rsidRPr="00517DF3">
        <w:rPr>
          <w:rFonts w:ascii="Calibri" w:hAnsi="Calibri" w:eastAsia="Verdana" w:cs="Calibri"/>
          <w:szCs w:val="22"/>
        </w:rPr>
        <w:t xml:space="preserve">Met betrekking tot pijler III steunt het kabinet de </w:t>
      </w:r>
      <w:r w:rsidRPr="00517DF3" w:rsidR="00744FF3">
        <w:rPr>
          <w:rFonts w:ascii="Calibri" w:hAnsi="Calibri" w:eastAsia="Verdana" w:cs="Calibri"/>
          <w:szCs w:val="22"/>
        </w:rPr>
        <w:t>geïntensiveerde</w:t>
      </w:r>
      <w:r w:rsidRPr="00517DF3">
        <w:rPr>
          <w:rFonts w:ascii="Calibri" w:hAnsi="Calibri" w:eastAsia="Verdana" w:cs="Calibri"/>
          <w:szCs w:val="22"/>
        </w:rPr>
        <w:t xml:space="preserve"> aandacht voor internationale datastromen. Het investeren in de bescherming van</w:t>
      </w:r>
      <w:r w:rsidRPr="00517DF3" w:rsidR="00744FF3">
        <w:rPr>
          <w:rFonts w:ascii="Calibri" w:hAnsi="Calibri" w:eastAsia="Verdana" w:cs="Calibri"/>
          <w:szCs w:val="22"/>
        </w:rPr>
        <w:t xml:space="preserve"> bedrijfsgeheimen, waaronder</w:t>
      </w:r>
      <w:r w:rsidRPr="00517DF3">
        <w:rPr>
          <w:rFonts w:ascii="Calibri" w:hAnsi="Calibri" w:eastAsia="Verdana" w:cs="Calibri"/>
          <w:szCs w:val="22"/>
        </w:rPr>
        <w:t xml:space="preserve"> bedrijfsgevoelige data blijft daarbij een belangrijk aandachtspunt. Het kabinet verwelkomt, in lijn met haar consultatiereactie</w:t>
      </w:r>
      <w:r w:rsidRPr="00517DF3" w:rsidR="00855717">
        <w:rPr>
          <w:rStyle w:val="Voetnootmarkering"/>
          <w:rFonts w:ascii="Calibri" w:hAnsi="Calibri" w:eastAsia="Verdana" w:cs="Calibri"/>
          <w:szCs w:val="22"/>
        </w:rPr>
        <w:footnoteReference w:id="12"/>
      </w:r>
      <w:r w:rsidRPr="00517DF3">
        <w:rPr>
          <w:rFonts w:ascii="Calibri" w:hAnsi="Calibri" w:eastAsia="Verdana" w:cs="Calibri"/>
          <w:szCs w:val="22"/>
        </w:rPr>
        <w:t>, het opstellen van gestandaardiseerde richtlijnen en wegingscriteria voor het onderzoeken en beoordelen van de veiligheid van derde landen voor het delen van data buiten de EU. Ook staat het kabinet open voor het doorontwikkel</w:t>
      </w:r>
      <w:r w:rsidRPr="00517DF3" w:rsidR="000D6756">
        <w:rPr>
          <w:rFonts w:ascii="Calibri" w:hAnsi="Calibri" w:eastAsia="Verdana" w:cs="Calibri"/>
          <w:szCs w:val="22"/>
        </w:rPr>
        <w:t>en</w:t>
      </w:r>
      <w:r w:rsidRPr="00517DF3">
        <w:rPr>
          <w:rFonts w:ascii="Calibri" w:hAnsi="Calibri" w:eastAsia="Verdana" w:cs="Calibri"/>
          <w:szCs w:val="22"/>
        </w:rPr>
        <w:t xml:space="preserve"> en bevorderen van internationale datastromen met gelijkgestemde partnerlanden in internationale en in bilaterale context.</w:t>
      </w:r>
      <w:r w:rsidRPr="00517DF3">
        <w:rPr>
          <w:rFonts w:ascii="Calibri" w:hAnsi="Calibri" w:eastAsia="Verdana" w:cs="Calibri"/>
          <w:color w:val="FF0000"/>
          <w:szCs w:val="22"/>
        </w:rPr>
        <w:t xml:space="preserve"> </w:t>
      </w:r>
      <w:r w:rsidRPr="00517DF3">
        <w:rPr>
          <w:rFonts w:ascii="Calibri" w:hAnsi="Calibri" w:eastAsia="Verdana" w:cs="Calibri"/>
          <w:szCs w:val="22"/>
        </w:rPr>
        <w:t xml:space="preserve">Het kabinet steunt eveneens de promotie van de EU-aanpak en het uitdragen van haar normen en waarden in internationale fora. Hierbij dient wel aandacht geschonken te worden aan het behoud van de individuele rol van lidstaten in deze gremia. </w:t>
      </w:r>
    </w:p>
    <w:p w:rsidRPr="00517DF3" w:rsidR="000F43B2" w:rsidP="00517DF3" w:rsidRDefault="000F43B2" w14:paraId="5BC4A09A" w14:textId="77777777">
      <w:pPr>
        <w:spacing w:line="240" w:lineRule="auto"/>
        <w:rPr>
          <w:rFonts w:ascii="Calibri" w:hAnsi="Calibri" w:cs="Calibri"/>
          <w:szCs w:val="22"/>
          <w:u w:val="single"/>
        </w:rPr>
      </w:pPr>
    </w:p>
    <w:p w:rsidRPr="00517DF3" w:rsidR="00FD0CBD" w:rsidP="00517DF3" w:rsidRDefault="5F97366C" w14:paraId="7013A988" w14:textId="77777777">
      <w:pPr>
        <w:numPr>
          <w:ilvl w:val="0"/>
          <w:numId w:val="44"/>
        </w:numPr>
        <w:spacing w:line="240" w:lineRule="auto"/>
        <w:rPr>
          <w:rFonts w:ascii="Calibri" w:hAnsi="Calibri" w:cs="Calibri"/>
          <w:i/>
          <w:iCs/>
          <w:szCs w:val="22"/>
        </w:rPr>
      </w:pPr>
      <w:r w:rsidRPr="00517DF3">
        <w:rPr>
          <w:rFonts w:ascii="Calibri" w:hAnsi="Calibri" w:cs="Calibri"/>
          <w:i/>
          <w:iCs/>
          <w:szCs w:val="22"/>
        </w:rPr>
        <w:t>Eerste inschatting van krachtenveld</w:t>
      </w:r>
    </w:p>
    <w:p w:rsidRPr="00517DF3" w:rsidR="000F5306" w:rsidP="00517DF3" w:rsidRDefault="5F97366C" w14:paraId="33C5B4D3" w14:textId="138FB453">
      <w:pPr>
        <w:spacing w:line="240" w:lineRule="auto"/>
        <w:rPr>
          <w:rFonts w:ascii="Calibri" w:hAnsi="Calibri" w:cs="Calibri"/>
          <w:szCs w:val="22"/>
        </w:rPr>
      </w:pPr>
      <w:r w:rsidRPr="00517DF3">
        <w:rPr>
          <w:rFonts w:ascii="Calibri" w:hAnsi="Calibri" w:cs="Calibri"/>
          <w:szCs w:val="22"/>
        </w:rPr>
        <w:t xml:space="preserve">De meerderheid van lidstaten </w:t>
      </w:r>
      <w:r w:rsidRPr="00517DF3" w:rsidR="002436FF">
        <w:rPr>
          <w:rFonts w:ascii="Calibri" w:hAnsi="Calibri" w:cs="Calibri"/>
          <w:szCs w:val="22"/>
        </w:rPr>
        <w:t xml:space="preserve">is </w:t>
      </w:r>
      <w:r w:rsidRPr="00517DF3">
        <w:rPr>
          <w:rFonts w:ascii="Calibri" w:hAnsi="Calibri" w:cs="Calibri"/>
          <w:szCs w:val="22"/>
        </w:rPr>
        <w:t xml:space="preserve">naar verwachting positief over </w:t>
      </w:r>
      <w:r w:rsidRPr="00517DF3" w:rsidR="002436FF">
        <w:rPr>
          <w:rFonts w:ascii="Calibri" w:hAnsi="Calibri" w:cs="Calibri"/>
          <w:szCs w:val="22"/>
        </w:rPr>
        <w:t>de mededeling</w:t>
      </w:r>
      <w:r w:rsidRPr="00517DF3">
        <w:rPr>
          <w:rFonts w:ascii="Calibri" w:hAnsi="Calibri" w:cs="Calibri"/>
          <w:szCs w:val="22"/>
        </w:rPr>
        <w:t>. De positie van het Europees Parlement is nog onbekend.</w:t>
      </w:r>
    </w:p>
    <w:p w:rsidRPr="00517DF3" w:rsidR="009513C7" w:rsidP="00517DF3" w:rsidRDefault="009513C7" w14:paraId="50047DFC" w14:textId="77777777">
      <w:pPr>
        <w:tabs>
          <w:tab w:val="left" w:pos="360"/>
          <w:tab w:val="left" w:pos="4500"/>
          <w:tab w:val="left" w:pos="5580"/>
        </w:tabs>
        <w:spacing w:line="240" w:lineRule="auto"/>
        <w:rPr>
          <w:rFonts w:ascii="Calibri" w:hAnsi="Calibri" w:cs="Calibri"/>
          <w:szCs w:val="22"/>
        </w:rPr>
      </w:pPr>
    </w:p>
    <w:p w:rsidRPr="00517DF3" w:rsidR="00F54AFF" w:rsidP="00517DF3" w:rsidRDefault="5F97366C" w14:paraId="57621A17" w14:textId="33FB4336">
      <w:pPr>
        <w:numPr>
          <w:ilvl w:val="0"/>
          <w:numId w:val="21"/>
        </w:numPr>
        <w:spacing w:line="240" w:lineRule="auto"/>
        <w:rPr>
          <w:rFonts w:ascii="Calibri" w:hAnsi="Calibri" w:cs="Calibri"/>
          <w:b/>
          <w:bCs/>
          <w:szCs w:val="22"/>
        </w:rPr>
      </w:pPr>
      <w:r w:rsidRPr="00517DF3">
        <w:rPr>
          <w:rFonts w:ascii="Calibri" w:hAnsi="Calibri" w:cs="Calibri"/>
          <w:b/>
          <w:bCs/>
          <w:szCs w:val="22"/>
        </w:rPr>
        <w:t xml:space="preserve">Grondhouding ten aanzien van bevoegdheid, subsidiariteit, proportionaliteit, financiële gevolgen en gevolgen voor regeldruk, concurrentiekracht en geopolitieke aspecten </w:t>
      </w:r>
    </w:p>
    <w:p w:rsidRPr="00517DF3" w:rsidR="000F5306" w:rsidP="00517DF3" w:rsidRDefault="000F5306" w14:paraId="31C4A6A9" w14:textId="77777777">
      <w:pPr>
        <w:spacing w:line="240" w:lineRule="auto"/>
        <w:ind w:left="360"/>
        <w:rPr>
          <w:rFonts w:ascii="Calibri" w:hAnsi="Calibri" w:cs="Calibri"/>
          <w:b/>
          <w:bCs/>
          <w:szCs w:val="22"/>
        </w:rPr>
      </w:pPr>
    </w:p>
    <w:p w:rsidRPr="00517DF3" w:rsidR="00FD0CBD" w:rsidP="00517DF3" w:rsidRDefault="5F97366C" w14:paraId="698FD39F" w14:textId="77777777">
      <w:pPr>
        <w:numPr>
          <w:ilvl w:val="0"/>
          <w:numId w:val="28"/>
        </w:numPr>
        <w:spacing w:line="240" w:lineRule="auto"/>
        <w:rPr>
          <w:rFonts w:ascii="Calibri" w:hAnsi="Calibri" w:cs="Calibri"/>
          <w:i/>
          <w:iCs/>
          <w:szCs w:val="22"/>
        </w:rPr>
      </w:pPr>
      <w:r w:rsidRPr="00517DF3">
        <w:rPr>
          <w:rFonts w:ascii="Calibri" w:hAnsi="Calibri" w:cs="Calibri"/>
          <w:i/>
          <w:iCs/>
          <w:szCs w:val="22"/>
        </w:rPr>
        <w:t>Bevoegdheid</w:t>
      </w:r>
    </w:p>
    <w:p w:rsidRPr="00517DF3" w:rsidR="006F1B7D" w:rsidP="00517DF3" w:rsidRDefault="6E92A01C" w14:paraId="2BADC05B" w14:textId="4A70FA2C">
      <w:pPr>
        <w:tabs>
          <w:tab w:val="left" w:pos="340"/>
          <w:tab w:val="left" w:pos="680"/>
          <w:tab w:val="left" w:pos="1021"/>
          <w:tab w:val="left" w:pos="1361"/>
          <w:tab w:val="left" w:pos="1701"/>
          <w:tab w:val="left" w:pos="3402"/>
        </w:tabs>
        <w:spacing w:line="240" w:lineRule="auto"/>
        <w:rPr>
          <w:rFonts w:ascii="Calibri" w:hAnsi="Calibri" w:cs="Calibri"/>
          <w:szCs w:val="22"/>
        </w:rPr>
      </w:pPr>
      <w:r w:rsidRPr="00517DF3">
        <w:rPr>
          <w:rFonts w:ascii="Calibri" w:hAnsi="Calibri" w:cs="Calibri"/>
          <w:szCs w:val="22"/>
        </w:rPr>
        <w:lastRenderedPageBreak/>
        <w:t xml:space="preserve">De grondhouding van het kabinet is positief. </w:t>
      </w:r>
      <w:r w:rsidRPr="00517DF3" w:rsidR="00D776F7">
        <w:rPr>
          <w:rFonts w:ascii="Calibri" w:hAnsi="Calibri" w:cs="Calibri"/>
          <w:szCs w:val="22"/>
        </w:rPr>
        <w:t>De mededeling</w:t>
      </w:r>
      <w:r w:rsidRPr="00517DF3">
        <w:rPr>
          <w:rFonts w:ascii="Calibri" w:hAnsi="Calibri" w:cs="Calibri"/>
          <w:szCs w:val="22"/>
        </w:rPr>
        <w:t xml:space="preserve"> heeft betrekking op meerdere beleidsterreinen: onderzoek en technologische ontwikkelingsbeleid, beleid omtrent de interne markt en het industriebeleid.</w:t>
      </w:r>
      <w:r w:rsidRPr="00517DF3">
        <w:rPr>
          <w:rFonts w:ascii="Calibri" w:hAnsi="Calibri" w:cs="Calibri"/>
          <w:i/>
          <w:iCs/>
          <w:szCs w:val="22"/>
        </w:rPr>
        <w:t xml:space="preserve"> </w:t>
      </w:r>
      <w:r w:rsidRPr="00517DF3">
        <w:rPr>
          <w:rFonts w:ascii="Calibri" w:hAnsi="Calibri" w:cs="Calibri"/>
          <w:szCs w:val="22"/>
        </w:rPr>
        <w:t xml:space="preserve">Op het terrein van onderzoek en technologische ontwikkeling is sprake van een </w:t>
      </w:r>
      <w:r w:rsidRPr="00517DF3" w:rsidR="00C87F0F">
        <w:rPr>
          <w:rFonts w:ascii="Calibri" w:hAnsi="Calibri" w:cs="Calibri"/>
          <w:szCs w:val="22"/>
        </w:rPr>
        <w:t xml:space="preserve">parallelle </w:t>
      </w:r>
      <w:r w:rsidRPr="00517DF3">
        <w:rPr>
          <w:rFonts w:ascii="Calibri" w:hAnsi="Calibri" w:cs="Calibri"/>
          <w:szCs w:val="22"/>
        </w:rPr>
        <w:t>bevoegdheid van de EU en de lidstaten</w:t>
      </w:r>
      <w:r w:rsidRPr="00517DF3" w:rsidDel="00855717" w:rsidR="00855717">
        <w:rPr>
          <w:rFonts w:ascii="Calibri" w:hAnsi="Calibri" w:cs="Calibri"/>
          <w:szCs w:val="22"/>
        </w:rPr>
        <w:t xml:space="preserve"> </w:t>
      </w:r>
      <w:r w:rsidRPr="00517DF3">
        <w:rPr>
          <w:rFonts w:ascii="Calibri" w:hAnsi="Calibri" w:cs="Calibri"/>
          <w:szCs w:val="22"/>
        </w:rPr>
        <w:t>(artikel 4, lid 3, VWEU). Op het terrein van interne markt is sprake van een gedeelde bevoegdheid van de Unie en de lidstaten (artikel 4, lid 2, onder a, VWEU). Op het terrein van industriebeleid is sprake van een aanvullende bevoegdheid (artikel 6, onder b, VWEU). De Commissie is derhalve bevoegd om op dit terrein een mededeling te doen.</w:t>
      </w:r>
    </w:p>
    <w:p w:rsidRPr="00517DF3" w:rsidR="006F1B7D" w:rsidP="00517DF3" w:rsidRDefault="006F1B7D" w14:paraId="58EBCFE7" w14:textId="77777777">
      <w:pPr>
        <w:tabs>
          <w:tab w:val="left" w:pos="340"/>
          <w:tab w:val="left" w:pos="680"/>
          <w:tab w:val="left" w:pos="1021"/>
          <w:tab w:val="left" w:pos="1361"/>
          <w:tab w:val="left" w:pos="1701"/>
          <w:tab w:val="left" w:pos="3402"/>
        </w:tabs>
        <w:spacing w:line="240" w:lineRule="auto"/>
        <w:rPr>
          <w:rFonts w:ascii="Calibri" w:hAnsi="Calibri" w:cs="Calibri"/>
          <w:szCs w:val="22"/>
        </w:rPr>
      </w:pPr>
    </w:p>
    <w:p w:rsidRPr="00517DF3" w:rsidR="00FD0CBD" w:rsidP="00517DF3" w:rsidRDefault="5F97366C" w14:paraId="1B254F34" w14:textId="172D89E5">
      <w:pPr>
        <w:numPr>
          <w:ilvl w:val="0"/>
          <w:numId w:val="28"/>
        </w:numPr>
        <w:spacing w:line="240" w:lineRule="auto"/>
        <w:rPr>
          <w:rFonts w:ascii="Calibri" w:hAnsi="Calibri" w:cs="Calibri"/>
          <w:i/>
          <w:iCs/>
          <w:szCs w:val="22"/>
        </w:rPr>
      </w:pPr>
      <w:r w:rsidRPr="00517DF3">
        <w:rPr>
          <w:rFonts w:ascii="Calibri" w:hAnsi="Calibri" w:cs="Calibri"/>
          <w:i/>
          <w:iCs/>
          <w:szCs w:val="22"/>
        </w:rPr>
        <w:t>Subsidiariteit</w:t>
      </w:r>
    </w:p>
    <w:p w:rsidRPr="00517DF3" w:rsidR="00A936B3" w:rsidP="00517DF3" w:rsidRDefault="5F97366C" w14:paraId="7D4C1009" w14:textId="6B3A3FED">
      <w:pPr>
        <w:spacing w:line="240" w:lineRule="auto"/>
        <w:rPr>
          <w:rFonts w:ascii="Calibri" w:hAnsi="Calibri" w:cs="Calibri"/>
          <w:szCs w:val="22"/>
        </w:rPr>
      </w:pPr>
      <w:r w:rsidRPr="00517DF3">
        <w:rPr>
          <w:rFonts w:ascii="Calibri" w:hAnsi="Calibri" w:cs="Calibri"/>
          <w:szCs w:val="22"/>
        </w:rPr>
        <w:t xml:space="preserve">De grondhouding van het kabinet is positief. </w:t>
      </w:r>
      <w:r w:rsidRPr="00517DF3" w:rsidR="00A937E8">
        <w:rPr>
          <w:rFonts w:ascii="Calibri" w:hAnsi="Calibri" w:cs="Calibri"/>
          <w:szCs w:val="22"/>
        </w:rPr>
        <w:t>De mededeling heeft tot doel om databeschikbaarheid voor AI in Europa te vergroten, de Europese datawetgeving te versimpelen en de bescherming van data in relatie tot derde landen te vergroten</w:t>
      </w:r>
      <w:r w:rsidRPr="00517DF3">
        <w:rPr>
          <w:rFonts w:ascii="Calibri" w:hAnsi="Calibri" w:cs="Calibri"/>
          <w:szCs w:val="22"/>
        </w:rPr>
        <w:t xml:space="preserve">. </w:t>
      </w:r>
      <w:r w:rsidRPr="00517DF3" w:rsidR="00754C14">
        <w:rPr>
          <w:rFonts w:ascii="Calibri" w:hAnsi="Calibri" w:cs="Calibri"/>
          <w:szCs w:val="22"/>
        </w:rPr>
        <w:t>Vanwege het grensoverschrijdend karakter van deze doelstelling, kan dit</w:t>
      </w:r>
      <w:r w:rsidRPr="00517DF3">
        <w:rPr>
          <w:rFonts w:ascii="Calibri" w:hAnsi="Calibri" w:cs="Calibri"/>
          <w:szCs w:val="22"/>
        </w:rPr>
        <w:t xml:space="preserve"> onvoldoende door de lidstaten individueel, of op regionaal of lokaal niveau worden verwezenlijkt. Door op Europees niveau optimale randvoorwaarden te creëren kan het potentieel van de Europese data-economie pas volledig tot wasdom komen. Om die redenen is optreden op het niveau van de EU gerechtvaardigd.</w:t>
      </w:r>
    </w:p>
    <w:p w:rsidRPr="00517DF3" w:rsidR="009A5FD1" w:rsidP="00517DF3" w:rsidRDefault="009A5FD1" w14:paraId="49F4A65C" w14:textId="77777777">
      <w:pPr>
        <w:spacing w:line="240" w:lineRule="auto"/>
        <w:rPr>
          <w:rFonts w:ascii="Calibri" w:hAnsi="Calibri" w:cs="Calibri"/>
          <w:szCs w:val="22"/>
        </w:rPr>
      </w:pPr>
    </w:p>
    <w:p w:rsidRPr="00517DF3" w:rsidR="00FD0CBD" w:rsidP="00517DF3" w:rsidRDefault="5F97366C" w14:paraId="2E957C74" w14:textId="77777777">
      <w:pPr>
        <w:numPr>
          <w:ilvl w:val="0"/>
          <w:numId w:val="28"/>
        </w:numPr>
        <w:spacing w:line="240" w:lineRule="auto"/>
        <w:rPr>
          <w:rFonts w:ascii="Calibri" w:hAnsi="Calibri" w:cs="Calibri"/>
          <w:i/>
          <w:iCs/>
          <w:szCs w:val="22"/>
        </w:rPr>
      </w:pPr>
      <w:r w:rsidRPr="00517DF3">
        <w:rPr>
          <w:rFonts w:ascii="Calibri" w:hAnsi="Calibri" w:cs="Calibri"/>
          <w:i/>
          <w:iCs/>
          <w:szCs w:val="22"/>
        </w:rPr>
        <w:t>Proportionaliteit</w:t>
      </w:r>
    </w:p>
    <w:p w:rsidRPr="00517DF3" w:rsidR="00D635C6" w:rsidP="00517DF3" w:rsidRDefault="5F97366C" w14:paraId="1C60B6F4" w14:textId="4BF0A78D">
      <w:pPr>
        <w:spacing w:line="240" w:lineRule="auto"/>
        <w:rPr>
          <w:rFonts w:ascii="Calibri" w:hAnsi="Calibri" w:cs="Calibri"/>
          <w:szCs w:val="22"/>
        </w:rPr>
      </w:pPr>
      <w:r w:rsidRPr="00517DF3">
        <w:rPr>
          <w:rFonts w:ascii="Calibri" w:hAnsi="Calibri" w:cs="Calibri"/>
          <w:szCs w:val="22"/>
        </w:rPr>
        <w:t xml:space="preserve">De grondhouding van het kabinet </w:t>
      </w:r>
      <w:r w:rsidRPr="00517DF3" w:rsidR="00ED40F5">
        <w:rPr>
          <w:rFonts w:ascii="Calibri" w:hAnsi="Calibri" w:cs="Calibri"/>
          <w:szCs w:val="22"/>
        </w:rPr>
        <w:t xml:space="preserve">ten aanzien van de </w:t>
      </w:r>
      <w:r w:rsidRPr="00517DF3" w:rsidR="007D2228">
        <w:rPr>
          <w:rFonts w:ascii="Calibri" w:hAnsi="Calibri" w:cs="Calibri"/>
          <w:szCs w:val="22"/>
        </w:rPr>
        <w:t>proportionaliteit is</w:t>
      </w:r>
      <w:r w:rsidRPr="00517DF3">
        <w:rPr>
          <w:rFonts w:ascii="Calibri" w:hAnsi="Calibri" w:cs="Calibri"/>
          <w:szCs w:val="22"/>
        </w:rPr>
        <w:t xml:space="preserve"> positief. De mededeling heeft tot doel om databeschikbaarheid voor AI in Europa te vergroten, de Europese datawetgeving te versimpelen en de bescherming van data in relatie tot derde landen te vergroten. Het voorgestelde optreden is geschikt om deze doelstelling te bereiken</w:t>
      </w:r>
      <w:r w:rsidRPr="00517DF3" w:rsidR="000A3BE1">
        <w:rPr>
          <w:rFonts w:ascii="Calibri" w:hAnsi="Calibri" w:cs="Calibri"/>
          <w:szCs w:val="22"/>
        </w:rPr>
        <w:t xml:space="preserve">, omdat </w:t>
      </w:r>
      <w:r w:rsidRPr="00517DF3" w:rsidR="00F24495">
        <w:rPr>
          <w:rFonts w:ascii="Calibri" w:hAnsi="Calibri" w:cs="Calibri"/>
          <w:szCs w:val="22"/>
        </w:rPr>
        <w:t xml:space="preserve">de mededeling </w:t>
      </w:r>
      <w:r w:rsidRPr="00517DF3" w:rsidR="000A3BE1">
        <w:rPr>
          <w:rFonts w:ascii="Calibri" w:hAnsi="Calibri" w:cs="Calibri"/>
          <w:szCs w:val="22"/>
        </w:rPr>
        <w:t>acties</w:t>
      </w:r>
      <w:r w:rsidRPr="00517DF3" w:rsidR="00F24495">
        <w:rPr>
          <w:rFonts w:ascii="Calibri" w:hAnsi="Calibri" w:cs="Calibri"/>
          <w:szCs w:val="22"/>
        </w:rPr>
        <w:t xml:space="preserve"> van de Commissie</w:t>
      </w:r>
      <w:r w:rsidRPr="00517DF3" w:rsidR="000A3BE1">
        <w:rPr>
          <w:rFonts w:ascii="Calibri" w:hAnsi="Calibri" w:cs="Calibri"/>
          <w:szCs w:val="22"/>
        </w:rPr>
        <w:t xml:space="preserve"> presenteert</w:t>
      </w:r>
      <w:r w:rsidRPr="00517DF3" w:rsidR="00D03F18">
        <w:rPr>
          <w:rFonts w:ascii="Calibri" w:hAnsi="Calibri" w:cs="Calibri"/>
          <w:szCs w:val="22"/>
        </w:rPr>
        <w:t xml:space="preserve"> </w:t>
      </w:r>
      <w:r w:rsidRPr="00517DF3" w:rsidR="00F24495">
        <w:rPr>
          <w:rFonts w:ascii="Calibri" w:hAnsi="Calibri" w:cs="Calibri"/>
          <w:szCs w:val="22"/>
        </w:rPr>
        <w:t>die</w:t>
      </w:r>
      <w:r w:rsidRPr="00517DF3" w:rsidR="00B46F1E">
        <w:rPr>
          <w:rFonts w:ascii="Calibri" w:hAnsi="Calibri" w:cs="Calibri"/>
          <w:szCs w:val="22"/>
        </w:rPr>
        <w:t xml:space="preserve"> de kansen en uitdagingen </w:t>
      </w:r>
      <w:r w:rsidRPr="00517DF3" w:rsidR="003F708E">
        <w:rPr>
          <w:rFonts w:ascii="Calibri" w:hAnsi="Calibri" w:cs="Calibri"/>
          <w:szCs w:val="22"/>
        </w:rPr>
        <w:t>in</w:t>
      </w:r>
      <w:r w:rsidRPr="00517DF3" w:rsidR="00B46F1E">
        <w:rPr>
          <w:rFonts w:ascii="Calibri" w:hAnsi="Calibri" w:cs="Calibri"/>
          <w:szCs w:val="22"/>
        </w:rPr>
        <w:t xml:space="preserve"> de data-economie adresseren</w:t>
      </w:r>
      <w:r w:rsidRPr="00517DF3" w:rsidR="003F708E">
        <w:rPr>
          <w:rFonts w:ascii="Calibri" w:hAnsi="Calibri" w:cs="Calibri"/>
          <w:szCs w:val="22"/>
        </w:rPr>
        <w:t xml:space="preserve"> en bijdragen aan </w:t>
      </w:r>
      <w:r w:rsidRPr="00517DF3" w:rsidR="000B7A49">
        <w:rPr>
          <w:rFonts w:ascii="Calibri" w:hAnsi="Calibri" w:cs="Calibri"/>
          <w:szCs w:val="22"/>
        </w:rPr>
        <w:t>de</w:t>
      </w:r>
      <w:r w:rsidRPr="00517DF3" w:rsidR="003F708E">
        <w:rPr>
          <w:rFonts w:ascii="Calibri" w:hAnsi="Calibri" w:cs="Calibri"/>
          <w:szCs w:val="22"/>
        </w:rPr>
        <w:t xml:space="preserve"> versterking van de positie van de EU</w:t>
      </w:r>
      <w:r w:rsidRPr="00517DF3">
        <w:rPr>
          <w:rFonts w:ascii="Calibri" w:hAnsi="Calibri" w:cs="Calibri"/>
          <w:szCs w:val="22"/>
        </w:rPr>
        <w:t>.</w:t>
      </w:r>
      <w:r w:rsidRPr="00517DF3" w:rsidR="00322AB1">
        <w:rPr>
          <w:rFonts w:ascii="Calibri" w:hAnsi="Calibri" w:cs="Calibri"/>
          <w:szCs w:val="22"/>
        </w:rPr>
        <w:t xml:space="preserve"> </w:t>
      </w:r>
      <w:r w:rsidRPr="00517DF3" w:rsidR="00D03F18">
        <w:rPr>
          <w:rFonts w:ascii="Calibri" w:hAnsi="Calibri" w:cs="Calibri"/>
          <w:szCs w:val="22"/>
        </w:rPr>
        <w:t xml:space="preserve"> </w:t>
      </w:r>
      <w:r w:rsidRPr="00517DF3" w:rsidR="00D03F18">
        <w:rPr>
          <w:rFonts w:ascii="Calibri" w:hAnsi="Calibri" w:cs="Calibri"/>
          <w:iCs/>
          <w:szCs w:val="22"/>
        </w:rPr>
        <w:t>Het voorgestelde optreden gaat niet verder dan noodzakelijk</w:t>
      </w:r>
      <w:r w:rsidRPr="00517DF3" w:rsidR="00903515">
        <w:rPr>
          <w:rFonts w:ascii="Calibri" w:hAnsi="Calibri" w:cs="Calibri"/>
          <w:iCs/>
          <w:szCs w:val="22"/>
        </w:rPr>
        <w:t>, omdat</w:t>
      </w:r>
      <w:r w:rsidRPr="00517DF3" w:rsidR="00EF24CB">
        <w:rPr>
          <w:rFonts w:ascii="Calibri" w:hAnsi="Calibri" w:cs="Calibri"/>
          <w:iCs/>
          <w:szCs w:val="22"/>
        </w:rPr>
        <w:t xml:space="preserve"> de mededeling zich richt op</w:t>
      </w:r>
      <w:r w:rsidRPr="00517DF3" w:rsidR="0067534B">
        <w:rPr>
          <w:rFonts w:ascii="Calibri" w:hAnsi="Calibri" w:cs="Calibri"/>
          <w:iCs/>
          <w:szCs w:val="22"/>
        </w:rPr>
        <w:t xml:space="preserve"> Europese uitdagingen</w:t>
      </w:r>
      <w:r w:rsidRPr="00517DF3" w:rsidR="00DB0559">
        <w:rPr>
          <w:rFonts w:ascii="Calibri" w:hAnsi="Calibri" w:cs="Calibri"/>
          <w:iCs/>
          <w:szCs w:val="22"/>
        </w:rPr>
        <w:t xml:space="preserve"> </w:t>
      </w:r>
      <w:r w:rsidRPr="00517DF3" w:rsidR="00F87F4F">
        <w:rPr>
          <w:rFonts w:ascii="Calibri" w:hAnsi="Calibri" w:cs="Calibri"/>
          <w:iCs/>
          <w:szCs w:val="22"/>
        </w:rPr>
        <w:t>en</w:t>
      </w:r>
      <w:r w:rsidRPr="00517DF3" w:rsidR="00DB0559">
        <w:rPr>
          <w:rFonts w:ascii="Calibri" w:hAnsi="Calibri" w:cs="Calibri"/>
          <w:iCs/>
          <w:szCs w:val="22"/>
        </w:rPr>
        <w:t xml:space="preserve"> voldoende ruimte </w:t>
      </w:r>
      <w:r w:rsidRPr="00517DF3" w:rsidR="0067534B">
        <w:rPr>
          <w:rFonts w:ascii="Calibri" w:hAnsi="Calibri" w:cs="Calibri"/>
          <w:iCs/>
          <w:szCs w:val="22"/>
        </w:rPr>
        <w:t xml:space="preserve">biedt </w:t>
      </w:r>
      <w:r w:rsidRPr="00517DF3" w:rsidR="00DB0559">
        <w:rPr>
          <w:rFonts w:ascii="Calibri" w:hAnsi="Calibri" w:cs="Calibri"/>
          <w:iCs/>
          <w:szCs w:val="22"/>
        </w:rPr>
        <w:t xml:space="preserve">aan </w:t>
      </w:r>
      <w:r w:rsidRPr="00517DF3" w:rsidR="00F87F4F">
        <w:rPr>
          <w:rFonts w:ascii="Calibri" w:hAnsi="Calibri" w:cs="Calibri"/>
          <w:iCs/>
          <w:szCs w:val="22"/>
        </w:rPr>
        <w:t>de lidstaten om eigen nationale initiatieven te ontplooien.</w:t>
      </w:r>
    </w:p>
    <w:p w:rsidRPr="00517DF3" w:rsidR="00D635C6" w:rsidP="00517DF3" w:rsidRDefault="00D635C6" w14:paraId="4758882B" w14:textId="77777777">
      <w:pPr>
        <w:spacing w:line="240" w:lineRule="auto"/>
        <w:rPr>
          <w:rFonts w:ascii="Calibri" w:hAnsi="Calibri" w:cs="Calibri"/>
          <w:i/>
          <w:iCs/>
          <w:szCs w:val="22"/>
        </w:rPr>
      </w:pPr>
    </w:p>
    <w:p w:rsidRPr="00517DF3" w:rsidR="002B6A9E" w:rsidP="00517DF3" w:rsidRDefault="5F97366C" w14:paraId="098C9E4B" w14:textId="2F9903B0">
      <w:pPr>
        <w:numPr>
          <w:ilvl w:val="0"/>
          <w:numId w:val="28"/>
        </w:numPr>
        <w:spacing w:line="240" w:lineRule="auto"/>
        <w:rPr>
          <w:rFonts w:ascii="Calibri" w:hAnsi="Calibri" w:cs="Calibri"/>
          <w:i/>
          <w:iCs/>
          <w:szCs w:val="22"/>
        </w:rPr>
      </w:pPr>
      <w:r w:rsidRPr="00517DF3">
        <w:rPr>
          <w:rFonts w:ascii="Calibri" w:hAnsi="Calibri" w:cs="Calibri"/>
          <w:i/>
          <w:iCs/>
          <w:szCs w:val="22"/>
        </w:rPr>
        <w:t>Financiële gevolgen</w:t>
      </w:r>
    </w:p>
    <w:p w:rsidRPr="00517DF3" w:rsidR="002B6A9E" w:rsidP="00517DF3" w:rsidRDefault="5F97366C" w14:paraId="6D70CB72" w14:textId="6A58BC9D">
      <w:pPr>
        <w:spacing w:line="240" w:lineRule="auto"/>
        <w:rPr>
          <w:rFonts w:ascii="Calibri" w:hAnsi="Calibri" w:cs="Calibri"/>
          <w:szCs w:val="22"/>
        </w:rPr>
      </w:pPr>
      <w:r w:rsidRPr="00517DF3">
        <w:rPr>
          <w:rFonts w:ascii="Calibri" w:hAnsi="Calibri" w:cs="Calibri"/>
          <w:szCs w:val="22"/>
        </w:rPr>
        <w:t xml:space="preserve">Het kabinet zal de Commissie vragen om verduidelijking over de financiële gevolgen van </w:t>
      </w:r>
      <w:r w:rsidRPr="00517DF3" w:rsidR="001D4E44">
        <w:rPr>
          <w:rFonts w:ascii="Calibri" w:hAnsi="Calibri" w:cs="Calibri"/>
          <w:szCs w:val="22"/>
        </w:rPr>
        <w:t>de mededeling</w:t>
      </w:r>
      <w:r w:rsidRPr="00517DF3">
        <w:rPr>
          <w:rFonts w:ascii="Calibri" w:hAnsi="Calibri" w:cs="Calibri"/>
          <w:szCs w:val="22"/>
        </w:rPr>
        <w:t>. Nederland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r w:rsidRPr="00517DF3">
        <w:rPr>
          <w:rFonts w:ascii="Calibri" w:hAnsi="Calibri" w:cs="Calibri"/>
          <w:color w:val="FF0000"/>
          <w:szCs w:val="22"/>
        </w:rPr>
        <w:t xml:space="preserve"> </w:t>
      </w:r>
      <w:r w:rsidRPr="00517DF3">
        <w:rPr>
          <w:rFonts w:ascii="Calibri" w:hAnsi="Calibri" w:eastAsia="Calibri" w:cs="Calibri"/>
          <w:szCs w:val="22"/>
          <w:lang w:eastAsia="en-US"/>
        </w:rPr>
        <w:t>Daarnaast moet de ontwikkeling van de administratieve uitgaven in lijn zijn met de ER-conclusies van juli 2020 over het MFK-akkoord. Het kabinet is kritisch over de stijging van het aantal werknemers.</w:t>
      </w:r>
    </w:p>
    <w:p w:rsidRPr="00517DF3" w:rsidR="00D635C6" w:rsidP="00517DF3" w:rsidRDefault="00D635C6" w14:paraId="3B2E45EE" w14:textId="77777777">
      <w:pPr>
        <w:spacing w:line="240" w:lineRule="auto"/>
        <w:rPr>
          <w:rFonts w:ascii="Calibri" w:hAnsi="Calibri" w:cs="Calibri"/>
          <w:szCs w:val="22"/>
        </w:rPr>
      </w:pPr>
    </w:p>
    <w:p w:rsidRPr="00517DF3" w:rsidR="005E321D" w:rsidP="00517DF3" w:rsidRDefault="5F97366C" w14:paraId="0FC2F3C3" w14:textId="26C34087">
      <w:pPr>
        <w:spacing w:line="240" w:lineRule="auto"/>
        <w:rPr>
          <w:rFonts w:ascii="Calibri" w:hAnsi="Calibri" w:cs="Calibri"/>
          <w:szCs w:val="22"/>
        </w:rPr>
      </w:pPr>
      <w:r w:rsidRPr="00517DF3">
        <w:rPr>
          <w:rFonts w:ascii="Calibri" w:hAnsi="Calibri" w:cs="Calibri"/>
          <w:szCs w:val="22"/>
        </w:rPr>
        <w:t xml:space="preserve">De budgettaire gevolgen worden ingepast op de begroting van </w:t>
      </w:r>
      <w:r w:rsidRPr="00517DF3" w:rsidR="00113A19">
        <w:rPr>
          <w:rFonts w:ascii="Calibri" w:hAnsi="Calibri" w:cs="Calibri"/>
          <w:szCs w:val="22"/>
        </w:rPr>
        <w:t>het</w:t>
      </w:r>
      <w:r w:rsidRPr="00517DF3">
        <w:rPr>
          <w:rFonts w:ascii="Calibri" w:hAnsi="Calibri" w:cs="Calibri"/>
          <w:szCs w:val="22"/>
        </w:rPr>
        <w:t xml:space="preserve"> beleidsverantwoordelijke departement, conform de regels van de budgetdiscipline. </w:t>
      </w:r>
    </w:p>
    <w:p w:rsidRPr="00517DF3" w:rsidR="009B088C" w:rsidP="00517DF3" w:rsidRDefault="009B088C" w14:paraId="262A89D1" w14:textId="77777777">
      <w:pPr>
        <w:spacing w:line="240" w:lineRule="auto"/>
        <w:rPr>
          <w:rFonts w:ascii="Calibri" w:hAnsi="Calibri" w:cs="Calibri"/>
          <w:i/>
          <w:iCs/>
          <w:szCs w:val="22"/>
        </w:rPr>
      </w:pPr>
    </w:p>
    <w:p w:rsidRPr="00517DF3" w:rsidR="006810FB" w:rsidP="00517DF3" w:rsidRDefault="5F97366C" w14:paraId="3C1AD64A" w14:textId="77777777">
      <w:pPr>
        <w:numPr>
          <w:ilvl w:val="0"/>
          <w:numId w:val="28"/>
        </w:numPr>
        <w:spacing w:line="240" w:lineRule="auto"/>
        <w:rPr>
          <w:rFonts w:ascii="Calibri" w:hAnsi="Calibri" w:cs="Calibri"/>
          <w:i/>
          <w:iCs/>
          <w:szCs w:val="22"/>
        </w:rPr>
      </w:pPr>
      <w:r w:rsidRPr="00517DF3">
        <w:rPr>
          <w:rFonts w:ascii="Calibri" w:hAnsi="Calibri" w:cs="Calibri"/>
          <w:i/>
          <w:iCs/>
          <w:szCs w:val="22"/>
        </w:rPr>
        <w:t>Gevolgen voor regeldruk, concurrentiekracht en geopolitieke aspecten</w:t>
      </w:r>
    </w:p>
    <w:p w:rsidRPr="00517DF3" w:rsidR="66F1539C" w:rsidP="00517DF3" w:rsidRDefault="005466FF" w14:paraId="38F3D2B2" w14:textId="68E7DAD4">
      <w:pPr>
        <w:spacing w:line="240" w:lineRule="auto"/>
        <w:rPr>
          <w:rFonts w:ascii="Calibri" w:hAnsi="Calibri" w:cs="Calibri"/>
          <w:szCs w:val="22"/>
        </w:rPr>
      </w:pPr>
      <w:r w:rsidRPr="00517DF3">
        <w:rPr>
          <w:rFonts w:ascii="Calibri" w:hAnsi="Calibri" w:cs="Calibri"/>
          <w:szCs w:val="22"/>
        </w:rPr>
        <w:t>De mededeling</w:t>
      </w:r>
      <w:r w:rsidRPr="00517DF3" w:rsidR="638A1AAE">
        <w:rPr>
          <w:rFonts w:ascii="Calibri" w:hAnsi="Calibri" w:cs="Calibri"/>
          <w:szCs w:val="22"/>
        </w:rPr>
        <w:t xml:space="preserve"> heeft nadrukkelijk als doel de regeldruk te verlagen, onder andere door het harmoniseren van bestaande wet- en regelgeving en het vereenvoudigen van rapportageverplichtingen via </w:t>
      </w:r>
      <w:r w:rsidRPr="00517DF3">
        <w:rPr>
          <w:rFonts w:ascii="Calibri" w:hAnsi="Calibri" w:cs="Calibri"/>
          <w:szCs w:val="22"/>
        </w:rPr>
        <w:t>zogenoemde</w:t>
      </w:r>
      <w:r w:rsidRPr="00517DF3" w:rsidR="638A1AAE">
        <w:rPr>
          <w:rFonts w:ascii="Calibri" w:hAnsi="Calibri" w:cs="Calibri"/>
          <w:szCs w:val="22"/>
        </w:rPr>
        <w:t xml:space="preserve"> </w:t>
      </w:r>
      <w:r w:rsidRPr="00517DF3" w:rsidR="638A1AAE">
        <w:rPr>
          <w:rFonts w:ascii="Calibri" w:hAnsi="Calibri" w:cs="Calibri"/>
          <w:i/>
          <w:iCs/>
          <w:szCs w:val="22"/>
        </w:rPr>
        <w:t>one-click compliance</w:t>
      </w:r>
      <w:r w:rsidRPr="00517DF3" w:rsidR="638A1AAE">
        <w:rPr>
          <w:rFonts w:ascii="Calibri" w:hAnsi="Calibri" w:cs="Calibri"/>
          <w:szCs w:val="22"/>
        </w:rPr>
        <w:t xml:space="preserve">. Het kabinet </w:t>
      </w:r>
      <w:r w:rsidRPr="00517DF3" w:rsidR="00CE570D">
        <w:rPr>
          <w:rFonts w:ascii="Calibri" w:hAnsi="Calibri" w:cs="Calibri"/>
          <w:szCs w:val="22"/>
        </w:rPr>
        <w:t xml:space="preserve">is van mening </w:t>
      </w:r>
      <w:r w:rsidRPr="00517DF3" w:rsidR="638A1AAE">
        <w:rPr>
          <w:rFonts w:ascii="Calibri" w:hAnsi="Calibri" w:cs="Calibri"/>
          <w:szCs w:val="22"/>
        </w:rPr>
        <w:t xml:space="preserve">dat </w:t>
      </w:r>
      <w:r w:rsidRPr="00517DF3" w:rsidR="00CE570D">
        <w:rPr>
          <w:rFonts w:ascii="Calibri" w:hAnsi="Calibri" w:cs="Calibri"/>
          <w:szCs w:val="22"/>
        </w:rPr>
        <w:t xml:space="preserve">de meeste </w:t>
      </w:r>
      <w:r w:rsidRPr="00517DF3" w:rsidR="638A1AAE">
        <w:rPr>
          <w:rFonts w:ascii="Calibri" w:hAnsi="Calibri" w:cs="Calibri"/>
          <w:szCs w:val="22"/>
        </w:rPr>
        <w:t xml:space="preserve">acties uit de strategie een positieve bijdrage kunnen leveren aan het verlagen van de regeldruk, en zet hier in de Omnibus Digitaal onderhandelingen ook actief op in. Wel heeft het kabinet zorgen over de toename van regeldruk waar het additionele certificering voor synthetische data </w:t>
      </w:r>
      <w:r w:rsidRPr="00517DF3" w:rsidR="005C743C">
        <w:rPr>
          <w:rFonts w:ascii="Calibri" w:hAnsi="Calibri" w:cs="Calibri"/>
          <w:szCs w:val="22"/>
        </w:rPr>
        <w:t xml:space="preserve"> </w:t>
      </w:r>
      <w:r w:rsidRPr="00517DF3" w:rsidR="005C743C">
        <w:rPr>
          <w:rFonts w:ascii="Calibri" w:hAnsi="Calibri" w:eastAsia="Verdana" w:cs="Calibri"/>
          <w:szCs w:val="22"/>
        </w:rPr>
        <w:t>en de uitvoeringslast en kosten voor datahouders</w:t>
      </w:r>
      <w:r w:rsidRPr="00517DF3" w:rsidR="00854431">
        <w:rPr>
          <w:rFonts w:ascii="Calibri" w:hAnsi="Calibri" w:eastAsia="Verdana" w:cs="Calibri"/>
          <w:szCs w:val="22"/>
        </w:rPr>
        <w:t xml:space="preserve"> betreft</w:t>
      </w:r>
      <w:r w:rsidRPr="00517DF3" w:rsidR="638A1AAE">
        <w:rPr>
          <w:rFonts w:ascii="Calibri" w:hAnsi="Calibri" w:cs="Calibri"/>
          <w:szCs w:val="22"/>
        </w:rPr>
        <w:t>.</w:t>
      </w:r>
      <w:r w:rsidRPr="00517DF3" w:rsidR="00066E3F">
        <w:rPr>
          <w:rFonts w:ascii="Calibri" w:hAnsi="Calibri" w:cs="Calibri"/>
          <w:szCs w:val="22"/>
        </w:rPr>
        <w:t xml:space="preserve"> </w:t>
      </w:r>
      <w:r w:rsidRPr="00517DF3" w:rsidR="00CE570D">
        <w:rPr>
          <w:rFonts w:ascii="Calibri" w:hAnsi="Calibri" w:cs="Calibri"/>
          <w:szCs w:val="22"/>
        </w:rPr>
        <w:t xml:space="preserve">Het ontbreken van een impact assessment maakt het voor het kabinet moeilijk om de voornemens van de Commissie volledig te kunnen beoordelen. Daarom </w:t>
      </w:r>
      <w:r w:rsidRPr="00517DF3" w:rsidR="00133B37">
        <w:rPr>
          <w:rFonts w:ascii="Calibri" w:hAnsi="Calibri" w:cs="Calibri"/>
          <w:szCs w:val="22"/>
        </w:rPr>
        <w:t>verzoekt het kabinet de Commissie v</w:t>
      </w:r>
      <w:r w:rsidRPr="00517DF3" w:rsidR="00066E3F">
        <w:rPr>
          <w:rFonts w:ascii="Calibri" w:hAnsi="Calibri" w:cs="Calibri"/>
          <w:szCs w:val="22"/>
        </w:rPr>
        <w:t xml:space="preserve">oor de verdere uitwerking van de </w:t>
      </w:r>
      <w:r w:rsidRPr="00517DF3" w:rsidR="00066E3F">
        <w:rPr>
          <w:rFonts w:ascii="Calibri" w:hAnsi="Calibri" w:cs="Calibri"/>
          <w:szCs w:val="22"/>
        </w:rPr>
        <w:lastRenderedPageBreak/>
        <w:t xml:space="preserve">acties </w:t>
      </w:r>
      <w:r w:rsidRPr="00517DF3" w:rsidR="00133B37">
        <w:rPr>
          <w:rFonts w:ascii="Calibri" w:hAnsi="Calibri" w:cs="Calibri"/>
          <w:szCs w:val="22"/>
        </w:rPr>
        <w:t xml:space="preserve">uit deze mededeling </w:t>
      </w:r>
      <w:r w:rsidRPr="00517DF3" w:rsidR="00066E3F">
        <w:rPr>
          <w:rFonts w:ascii="Calibri" w:hAnsi="Calibri" w:cs="Calibri"/>
          <w:szCs w:val="22"/>
        </w:rPr>
        <w:t>een impact assessment uit te voeren.</w:t>
      </w:r>
      <w:r w:rsidRPr="00517DF3" w:rsidR="00CE570D">
        <w:rPr>
          <w:rFonts w:ascii="Calibri" w:hAnsi="Calibri" w:cs="Calibri"/>
          <w:szCs w:val="22"/>
        </w:rPr>
        <w:t xml:space="preserve"> Indien nodig zal het kabinet in gesprek gaan met stakeholders om een beeld te vormen van de regeldrukeffecten.</w:t>
      </w:r>
    </w:p>
    <w:p w:rsidRPr="00517DF3" w:rsidR="00940D8B" w:rsidP="00517DF3" w:rsidRDefault="00940D8B" w14:paraId="470FC28F" w14:textId="4818DEBA">
      <w:pPr>
        <w:tabs>
          <w:tab w:val="left" w:pos="0"/>
        </w:tabs>
        <w:spacing w:line="240" w:lineRule="auto"/>
        <w:rPr>
          <w:rFonts w:ascii="Calibri" w:hAnsi="Calibri" w:cs="Calibri"/>
          <w:i/>
          <w:iCs/>
          <w:szCs w:val="22"/>
        </w:rPr>
      </w:pPr>
    </w:p>
    <w:p w:rsidRPr="00517DF3" w:rsidR="00B951D0" w:rsidP="00517DF3" w:rsidRDefault="00FC3ED2" w14:paraId="24E6BF42" w14:textId="7D256EC5">
      <w:pPr>
        <w:spacing w:line="240" w:lineRule="auto"/>
        <w:rPr>
          <w:rFonts w:ascii="Calibri" w:hAnsi="Calibri" w:cs="Calibri"/>
          <w:szCs w:val="22"/>
        </w:rPr>
      </w:pPr>
      <w:r w:rsidRPr="00517DF3">
        <w:rPr>
          <w:rFonts w:ascii="Calibri" w:hAnsi="Calibri" w:cs="Calibri"/>
          <w:szCs w:val="22"/>
        </w:rPr>
        <w:t>De mededeling</w:t>
      </w:r>
      <w:r w:rsidRPr="00517DF3" w:rsidR="6B39731E">
        <w:rPr>
          <w:rFonts w:ascii="Calibri" w:hAnsi="Calibri" w:cs="Calibri"/>
          <w:szCs w:val="22"/>
        </w:rPr>
        <w:t xml:space="preserve"> heeft als doel de concurrentiekracht van bedrijven binnen Europa te vergroten. Verwacht wordt dat door het stroomlijnen van wet- en regelgeving op het gebied van data (delen) organisaties en bedrijven in staat zullen zijn efficiënter te werken. Hiervoor is ook het ontwikkelen van standaarden cruciaal. Daarnaast poogt </w:t>
      </w:r>
      <w:r w:rsidRPr="00517DF3" w:rsidR="00A30404">
        <w:rPr>
          <w:rFonts w:ascii="Calibri" w:hAnsi="Calibri" w:cs="Calibri"/>
          <w:szCs w:val="22"/>
        </w:rPr>
        <w:t xml:space="preserve">de mededeling </w:t>
      </w:r>
      <w:r w:rsidRPr="00517DF3" w:rsidR="6B39731E">
        <w:rPr>
          <w:rFonts w:ascii="Calibri" w:hAnsi="Calibri" w:cs="Calibri"/>
          <w:szCs w:val="22"/>
        </w:rPr>
        <w:t xml:space="preserve"> de ontwikkeling en het gebruik van data en AI in de Europese markt te stimuleren, om zo voor een vergroting van de innovatiekracht van het bedrijfsleven te zorgen. Dit komt ook de concurrentiepositie van het Nederlandse bedrijfsleven ten goede. </w:t>
      </w:r>
    </w:p>
    <w:p w:rsidRPr="00517DF3" w:rsidR="00632433" w:rsidP="00517DF3" w:rsidRDefault="00632433" w14:paraId="4B77D9A5" w14:textId="77777777">
      <w:pPr>
        <w:spacing w:line="240" w:lineRule="auto"/>
        <w:rPr>
          <w:rFonts w:ascii="Calibri" w:hAnsi="Calibri" w:cs="Calibri"/>
          <w:iCs/>
          <w:szCs w:val="22"/>
        </w:rPr>
      </w:pPr>
    </w:p>
    <w:p w:rsidRPr="00517DF3" w:rsidR="6B39731E" w:rsidP="00517DF3" w:rsidRDefault="00A30404" w14:paraId="51E9A141" w14:textId="033D11EB">
      <w:pPr>
        <w:spacing w:line="240" w:lineRule="auto"/>
        <w:rPr>
          <w:rFonts w:ascii="Calibri" w:hAnsi="Calibri" w:eastAsia="Verdana" w:cs="Calibri"/>
          <w:szCs w:val="22"/>
        </w:rPr>
      </w:pPr>
      <w:r w:rsidRPr="00517DF3">
        <w:rPr>
          <w:rFonts w:ascii="Calibri" w:hAnsi="Calibri" w:cs="Calibri"/>
          <w:szCs w:val="22"/>
        </w:rPr>
        <w:t>De mededeling</w:t>
      </w:r>
      <w:r w:rsidRPr="00517DF3" w:rsidR="6B39731E">
        <w:rPr>
          <w:rFonts w:ascii="Calibri" w:hAnsi="Calibri" w:eastAsia="Verdana" w:cs="Calibri"/>
          <w:szCs w:val="22"/>
        </w:rPr>
        <w:t xml:space="preserve"> draagt bij aan de digitale open strategische autonomie. Het versterken van de Europese data en AI-markt vergroot de weerbaarheid van Europa en Nederland in het digitale domein en ondersteunt een stabiele, toekomstbestendige positie. Daarnaast zet </w:t>
      </w:r>
      <w:r w:rsidRPr="00517DF3" w:rsidR="00C34DE4">
        <w:rPr>
          <w:rFonts w:ascii="Calibri" w:hAnsi="Calibri" w:eastAsia="Verdana" w:cs="Calibri"/>
          <w:szCs w:val="22"/>
        </w:rPr>
        <w:t>de mededeling</w:t>
      </w:r>
      <w:r w:rsidRPr="00517DF3" w:rsidR="6B39731E">
        <w:rPr>
          <w:rFonts w:ascii="Calibri" w:hAnsi="Calibri" w:eastAsia="Verdana" w:cs="Calibri"/>
          <w:szCs w:val="22"/>
        </w:rPr>
        <w:t xml:space="preserve"> concreet in op het intensiveren van samenwerking op het gebied van data met gelijkgezinde derde landen, en een actievere rol van de EU in internationale gremia. Ook is er, gezien de veranderende geopolitieke verhoudingen wereldwijd, meer aandacht voor het beschermen van Europese gevoelige niet-persoonlijke data. </w:t>
      </w:r>
    </w:p>
    <w:sectPr w:rsidRPr="00517DF3" w:rsidR="6B39731E" w:rsidSect="00E573C5">
      <w:footerReference w:type="even" r:id="rId13"/>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BFF3" w14:textId="77777777" w:rsidR="00AE1019" w:rsidRDefault="00AE1019">
      <w:r>
        <w:separator/>
      </w:r>
    </w:p>
  </w:endnote>
  <w:endnote w:type="continuationSeparator" w:id="0">
    <w:p w14:paraId="2DF9C37A" w14:textId="77777777" w:rsidR="00AE1019" w:rsidRDefault="00AE1019">
      <w:r>
        <w:continuationSeparator/>
      </w:r>
    </w:p>
  </w:endnote>
  <w:endnote w:type="continuationNotice" w:id="1">
    <w:p w14:paraId="0DDBBE74" w14:textId="77777777" w:rsidR="00AE1019" w:rsidRDefault="00AE10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9B66" w14:textId="77777777" w:rsidR="00AE1019" w:rsidRDefault="00AE1019">
      <w:r>
        <w:separator/>
      </w:r>
    </w:p>
  </w:footnote>
  <w:footnote w:type="continuationSeparator" w:id="0">
    <w:p w14:paraId="35077875" w14:textId="77777777" w:rsidR="00AE1019" w:rsidRDefault="00AE1019">
      <w:r>
        <w:continuationSeparator/>
      </w:r>
    </w:p>
  </w:footnote>
  <w:footnote w:type="continuationNotice" w:id="1">
    <w:p w14:paraId="238711C7" w14:textId="77777777" w:rsidR="00AE1019" w:rsidRDefault="00AE1019">
      <w:pPr>
        <w:spacing w:line="240" w:lineRule="auto"/>
      </w:pPr>
    </w:p>
  </w:footnote>
  <w:footnote w:id="2">
    <w:p w14:paraId="23B092E0" w14:textId="10ED4DE2" w:rsidR="00556DA8" w:rsidRPr="00517DF3" w:rsidRDefault="00556DA8" w:rsidP="00517DF3">
      <w:pPr>
        <w:pStyle w:val="Voetnoottekst"/>
        <w:spacing w:line="240" w:lineRule="auto"/>
        <w:rPr>
          <w:rFonts w:ascii="Calibri" w:hAnsi="Calibri" w:cs="Calibri"/>
        </w:rPr>
      </w:pPr>
      <w:r w:rsidRPr="00517DF3">
        <w:rPr>
          <w:rStyle w:val="Voetnootmarkering"/>
          <w:rFonts w:ascii="Calibri" w:hAnsi="Calibri" w:cs="Calibri"/>
        </w:rPr>
        <w:footnoteRef/>
      </w:r>
      <w:r w:rsidRPr="00517DF3">
        <w:rPr>
          <w:rFonts w:ascii="Calibri" w:hAnsi="Calibri" w:cs="Calibri"/>
        </w:rPr>
        <w:t xml:space="preserve"> SIMPL is een open-source middleware platform dat de datatoegang en interoperabiliteit tussen Europese data spaces faciliteert</w:t>
      </w:r>
      <w:r w:rsidR="00927198" w:rsidRPr="00517DF3">
        <w:rPr>
          <w:rFonts w:ascii="Calibri" w:hAnsi="Calibri" w:cs="Calibri"/>
        </w:rPr>
        <w:t>.</w:t>
      </w:r>
    </w:p>
  </w:footnote>
  <w:footnote w:id="3">
    <w:p w14:paraId="5DC88422" w14:textId="23CA45DF" w:rsidR="00506AB2" w:rsidRPr="00517DF3" w:rsidRDefault="00506AB2" w:rsidP="00517DF3">
      <w:pPr>
        <w:pStyle w:val="Voetnoottekst"/>
        <w:spacing w:line="240" w:lineRule="auto"/>
        <w:rPr>
          <w:rFonts w:ascii="Calibri" w:hAnsi="Calibri" w:cs="Calibri"/>
        </w:rPr>
      </w:pPr>
      <w:r w:rsidRPr="00517DF3">
        <w:rPr>
          <w:rStyle w:val="Voetnootmarkering"/>
          <w:rFonts w:ascii="Calibri" w:hAnsi="Calibri" w:cs="Calibri"/>
        </w:rPr>
        <w:footnoteRef/>
      </w:r>
      <w:r w:rsidRPr="00517DF3">
        <w:rPr>
          <w:rFonts w:ascii="Calibri" w:hAnsi="Calibri" w:cs="Calibri"/>
        </w:rPr>
        <w:t xml:space="preserve"> Een synthetische dataset is een kunstmatig gegenereerde dataset die statistisch gezien de eigenschappen, patronen en relaties van een echte dataset nabootsen.</w:t>
      </w:r>
    </w:p>
  </w:footnote>
  <w:footnote w:id="4">
    <w:p w14:paraId="6DFA9424" w14:textId="7CD7E5B2" w:rsidR="00436ACB" w:rsidRPr="00517DF3" w:rsidRDefault="00436ACB" w:rsidP="00517DF3">
      <w:pPr>
        <w:pStyle w:val="Voetnoottekst"/>
        <w:spacing w:line="240" w:lineRule="auto"/>
        <w:rPr>
          <w:rFonts w:ascii="Calibri" w:hAnsi="Calibri" w:cs="Calibri"/>
        </w:rPr>
      </w:pPr>
      <w:r w:rsidRPr="00517DF3">
        <w:rPr>
          <w:rStyle w:val="Voetnootmarkering"/>
          <w:rFonts w:ascii="Calibri" w:hAnsi="Calibri" w:cs="Calibri"/>
        </w:rPr>
        <w:footnoteRef/>
      </w:r>
      <w:r w:rsidRPr="00517DF3">
        <w:rPr>
          <w:rFonts w:ascii="Calibri" w:hAnsi="Calibri" w:cs="Calibri"/>
        </w:rPr>
        <w:t xml:space="preserve"> Kamerstukken II 2018/19, 26 643, nr. 594.</w:t>
      </w:r>
    </w:p>
  </w:footnote>
  <w:footnote w:id="5">
    <w:p w14:paraId="3F2D8225" w14:textId="77777777" w:rsidR="3958735C" w:rsidRPr="00517DF3" w:rsidRDefault="3958735C" w:rsidP="00517DF3">
      <w:pPr>
        <w:pStyle w:val="Voetnoottekst"/>
        <w:spacing w:line="240" w:lineRule="auto"/>
        <w:rPr>
          <w:rFonts w:ascii="Calibri" w:hAnsi="Calibri" w:cs="Calibri"/>
        </w:rPr>
      </w:pPr>
      <w:r w:rsidRPr="00517DF3">
        <w:rPr>
          <w:rStyle w:val="Voetnootmarkering"/>
          <w:rFonts w:ascii="Calibri" w:hAnsi="Calibri" w:cs="Calibri"/>
        </w:rPr>
        <w:footnoteRef/>
      </w:r>
      <w:r w:rsidRPr="00517DF3">
        <w:rPr>
          <w:rFonts w:ascii="Calibri" w:hAnsi="Calibri" w:cs="Calibri"/>
        </w:rPr>
        <w:t xml:space="preserve"> </w:t>
      </w:r>
      <w:r w:rsidRPr="00517DF3">
        <w:rPr>
          <w:rFonts w:ascii="Calibri" w:eastAsia="Aptos" w:hAnsi="Calibri" w:cs="Calibri"/>
          <w:color w:val="467886"/>
          <w:u w:val="single"/>
        </w:rPr>
        <w:t>De Nationale Technologiestrategie. Bouwstenen voor strategisch technologiebeleid | Rapport | Rijksoverheid.nl</w:t>
      </w:r>
    </w:p>
  </w:footnote>
  <w:footnote w:id="6">
    <w:p w14:paraId="19098D41" w14:textId="523DE4ED" w:rsidR="3958735C" w:rsidRPr="00517DF3" w:rsidRDefault="3958735C" w:rsidP="00517DF3">
      <w:pPr>
        <w:pStyle w:val="Voetnoottekst"/>
        <w:spacing w:line="240" w:lineRule="auto"/>
        <w:rPr>
          <w:rFonts w:ascii="Calibri" w:hAnsi="Calibri" w:cs="Calibri"/>
        </w:rPr>
      </w:pPr>
      <w:r w:rsidRPr="00517DF3">
        <w:rPr>
          <w:rStyle w:val="Voetnootmarkering"/>
          <w:rFonts w:ascii="Calibri" w:hAnsi="Calibri" w:cs="Calibri"/>
        </w:rPr>
        <w:footnoteRef/>
      </w:r>
      <w:r w:rsidRPr="00517DF3">
        <w:rPr>
          <w:rFonts w:ascii="Calibri" w:hAnsi="Calibri" w:cs="Calibri"/>
        </w:rPr>
        <w:t xml:space="preserve"> </w:t>
      </w:r>
      <w:hyperlink r:id="rId1">
        <w:r w:rsidRPr="00517DF3">
          <w:rPr>
            <w:rStyle w:val="Hyperlink"/>
            <w:rFonts w:ascii="Calibri" w:hAnsi="Calibri" w:cs="Calibri"/>
          </w:rPr>
          <w:t>Kamerbrief over industriebeleid met focus | Kamerstuk | Rijksoverheid.nl</w:t>
        </w:r>
      </w:hyperlink>
    </w:p>
  </w:footnote>
  <w:footnote w:id="7">
    <w:p w14:paraId="1B3E27DE" w14:textId="77777777" w:rsidR="3958735C" w:rsidRPr="00517DF3" w:rsidRDefault="3958735C" w:rsidP="00517DF3">
      <w:pPr>
        <w:pStyle w:val="Voetnoottekst"/>
        <w:spacing w:line="240" w:lineRule="auto"/>
        <w:rPr>
          <w:rFonts w:ascii="Calibri" w:hAnsi="Calibri" w:cs="Calibri"/>
        </w:rPr>
      </w:pPr>
      <w:r w:rsidRPr="00517DF3">
        <w:rPr>
          <w:rStyle w:val="Voetnootmarkering"/>
          <w:rFonts w:ascii="Calibri" w:hAnsi="Calibri" w:cs="Calibri"/>
        </w:rPr>
        <w:footnoteRef/>
      </w:r>
      <w:r w:rsidRPr="00517DF3">
        <w:rPr>
          <w:rFonts w:ascii="Calibri" w:hAnsi="Calibri" w:cs="Calibri"/>
        </w:rPr>
        <w:t xml:space="preserve"> </w:t>
      </w:r>
      <w:hyperlink r:id="rId2">
        <w:r w:rsidRPr="00517DF3">
          <w:rPr>
            <w:rStyle w:val="Hyperlink"/>
            <w:rFonts w:ascii="Calibri" w:hAnsi="Calibri" w:cs="Calibri"/>
          </w:rPr>
          <w:t>Nederlandse Digitaliseringsstrategie (NDS) - Digitale Overheid</w:t>
        </w:r>
      </w:hyperlink>
    </w:p>
  </w:footnote>
  <w:footnote w:id="8">
    <w:p w14:paraId="0E747665" w14:textId="5EB7E8DA" w:rsidR="3958735C" w:rsidRPr="00517DF3" w:rsidRDefault="3958735C" w:rsidP="00517DF3">
      <w:pPr>
        <w:pStyle w:val="Voetnoottekst"/>
        <w:spacing w:line="240" w:lineRule="auto"/>
        <w:rPr>
          <w:rFonts w:ascii="Calibri" w:hAnsi="Calibri" w:cs="Calibri"/>
        </w:rPr>
      </w:pPr>
      <w:r w:rsidRPr="00517DF3">
        <w:rPr>
          <w:rStyle w:val="Voetnootmarkering"/>
          <w:rFonts w:ascii="Calibri" w:hAnsi="Calibri" w:cs="Calibri"/>
        </w:rPr>
        <w:footnoteRef/>
      </w:r>
      <w:r w:rsidRPr="00517DF3">
        <w:rPr>
          <w:rFonts w:ascii="Calibri" w:hAnsi="Calibri" w:cs="Calibri"/>
        </w:rPr>
        <w:t xml:space="preserve"> </w:t>
      </w:r>
      <w:r w:rsidRPr="00517DF3">
        <w:rPr>
          <w:rFonts w:ascii="Calibri" w:hAnsi="Calibri" w:cs="Calibri"/>
          <w:color w:val="000000" w:themeColor="text1"/>
          <w:lang w:eastAsia="nl-NL"/>
        </w:rPr>
        <w:t>Kamerstuk 26</w:t>
      </w:r>
      <w:r w:rsidR="0030099A" w:rsidRPr="00517DF3">
        <w:rPr>
          <w:rFonts w:ascii="Calibri" w:hAnsi="Calibri" w:cs="Calibri"/>
          <w:color w:val="000000" w:themeColor="text1"/>
          <w:lang w:eastAsia="nl-NL"/>
        </w:rPr>
        <w:t xml:space="preserve"> </w:t>
      </w:r>
      <w:r w:rsidRPr="00517DF3">
        <w:rPr>
          <w:rFonts w:ascii="Calibri" w:hAnsi="Calibri" w:cs="Calibri"/>
          <w:color w:val="000000" w:themeColor="text1"/>
          <w:lang w:eastAsia="nl-NL"/>
        </w:rPr>
        <w:t>643, nr. 1424</w:t>
      </w:r>
    </w:p>
  </w:footnote>
  <w:footnote w:id="9">
    <w:p w14:paraId="7E3DF69D" w14:textId="352F48FD" w:rsidR="6E92A01C" w:rsidRPr="00517DF3" w:rsidRDefault="6E92A01C" w:rsidP="00517DF3">
      <w:pPr>
        <w:pStyle w:val="Voetnoottekst"/>
        <w:spacing w:line="240" w:lineRule="auto"/>
        <w:rPr>
          <w:rFonts w:ascii="Calibri" w:hAnsi="Calibri" w:cs="Calibri"/>
        </w:rPr>
      </w:pPr>
      <w:r w:rsidRPr="00517DF3">
        <w:rPr>
          <w:rStyle w:val="Voetnootmarkering"/>
          <w:rFonts w:ascii="Calibri" w:hAnsi="Calibri" w:cs="Calibri"/>
        </w:rPr>
        <w:footnoteRef/>
      </w:r>
      <w:r w:rsidRPr="00517DF3">
        <w:rPr>
          <w:rFonts w:ascii="Calibri" w:hAnsi="Calibri" w:cs="Calibri"/>
        </w:rPr>
        <w:t xml:space="preserve"> </w:t>
      </w:r>
      <w:hyperlink r:id="rId3">
        <w:r w:rsidRPr="00517DF3">
          <w:rPr>
            <w:rStyle w:val="Hyperlink"/>
            <w:rFonts w:ascii="Calibri" w:hAnsi="Calibri" w:cs="Calibri"/>
          </w:rPr>
          <w:t>Kamerbrief Actieprogramma Duurzame Digitalisering 2026-2028 | Kamerstuk | Rijksoverheid.nl</w:t>
        </w:r>
      </w:hyperlink>
    </w:p>
  </w:footnote>
  <w:footnote w:id="10">
    <w:p w14:paraId="3CC92270" w14:textId="540705F8" w:rsidR="0DC924FA" w:rsidRPr="00517DF3" w:rsidRDefault="0DC924FA" w:rsidP="00517DF3">
      <w:pPr>
        <w:pStyle w:val="Voetnoottekst"/>
        <w:spacing w:line="240" w:lineRule="auto"/>
        <w:rPr>
          <w:rFonts w:ascii="Calibri" w:hAnsi="Calibri" w:cs="Calibri"/>
          <w:lang w:val="en-US"/>
        </w:rPr>
      </w:pPr>
      <w:r w:rsidRPr="00517DF3">
        <w:rPr>
          <w:rStyle w:val="Voetnootmarkering"/>
          <w:rFonts w:ascii="Calibri" w:hAnsi="Calibri" w:cs="Calibri"/>
        </w:rPr>
        <w:footnoteRef/>
      </w:r>
      <w:r w:rsidRPr="00517DF3">
        <w:rPr>
          <w:rFonts w:ascii="Calibri" w:hAnsi="Calibri" w:cs="Calibri"/>
          <w:lang w:val="en-US"/>
        </w:rPr>
        <w:t xml:space="preserve"> </w:t>
      </w:r>
      <w:r w:rsidRPr="00517DF3">
        <w:rPr>
          <w:rFonts w:ascii="Calibri" w:hAnsi="Calibri" w:cs="Calibri"/>
          <w:color w:val="467886"/>
          <w:u w:val="single"/>
          <w:lang w:val="en-US"/>
        </w:rPr>
        <w:t>Sustainable Revenue Models for Data Sharing Initiatives | Rapport | Rijksoverheid.nl</w:t>
      </w:r>
    </w:p>
    <w:p w14:paraId="259D6AD8" w14:textId="1657AD29" w:rsidR="0DC924FA" w:rsidRPr="00517DF3" w:rsidRDefault="0DC924FA" w:rsidP="00517DF3">
      <w:pPr>
        <w:pStyle w:val="Voetnoottekst"/>
        <w:spacing w:line="240" w:lineRule="auto"/>
        <w:rPr>
          <w:rFonts w:ascii="Calibri" w:hAnsi="Calibri" w:cs="Calibri"/>
          <w:lang w:val="en-US"/>
        </w:rPr>
      </w:pPr>
    </w:p>
  </w:footnote>
  <w:footnote w:id="11">
    <w:p w14:paraId="62CADA23" w14:textId="506CCE02" w:rsidR="00B202F4" w:rsidRPr="00517DF3" w:rsidRDefault="00B202F4" w:rsidP="00517DF3">
      <w:pPr>
        <w:pStyle w:val="Voetnoottekst"/>
        <w:spacing w:line="240" w:lineRule="auto"/>
        <w:rPr>
          <w:rFonts w:ascii="Calibri" w:hAnsi="Calibri" w:cs="Calibri"/>
        </w:rPr>
      </w:pPr>
      <w:r w:rsidRPr="00517DF3">
        <w:rPr>
          <w:rStyle w:val="Voetnootmarkering"/>
          <w:rFonts w:ascii="Calibri" w:hAnsi="Calibri" w:cs="Calibri"/>
        </w:rPr>
        <w:footnoteRef/>
      </w:r>
      <w:r w:rsidRPr="00517DF3">
        <w:rPr>
          <w:rFonts w:ascii="Calibri" w:hAnsi="Calibri" w:cs="Calibri"/>
        </w:rPr>
        <w:t xml:space="preserve"> </w:t>
      </w:r>
      <w:r w:rsidR="00996E5F" w:rsidRPr="00517DF3">
        <w:rPr>
          <w:rFonts w:ascii="Calibri" w:hAnsi="Calibri" w:cs="Calibri"/>
        </w:rPr>
        <w:t>Kamerstukken II, 2025/26, 22</w:t>
      </w:r>
      <w:r w:rsidR="0030099A" w:rsidRPr="00517DF3">
        <w:rPr>
          <w:rFonts w:ascii="Calibri" w:hAnsi="Calibri" w:cs="Calibri"/>
        </w:rPr>
        <w:t xml:space="preserve"> </w:t>
      </w:r>
      <w:r w:rsidR="00996E5F" w:rsidRPr="00517DF3">
        <w:rPr>
          <w:rFonts w:ascii="Calibri" w:hAnsi="Calibri" w:cs="Calibri"/>
        </w:rPr>
        <w:t xml:space="preserve">112, nr. 4223. </w:t>
      </w:r>
    </w:p>
  </w:footnote>
  <w:footnote w:id="12">
    <w:p w14:paraId="598EF569" w14:textId="53EB1413" w:rsidR="00855717" w:rsidRPr="00517DF3" w:rsidRDefault="00855717" w:rsidP="00517DF3">
      <w:pPr>
        <w:pStyle w:val="Voetnoottekst"/>
        <w:spacing w:line="240" w:lineRule="auto"/>
        <w:rPr>
          <w:rFonts w:ascii="Calibri" w:hAnsi="Calibri" w:cs="Calibri"/>
        </w:rPr>
      </w:pPr>
      <w:r w:rsidRPr="00517DF3">
        <w:rPr>
          <w:rStyle w:val="Voetnootmarkering"/>
          <w:rFonts w:ascii="Calibri" w:hAnsi="Calibri" w:cs="Calibri"/>
        </w:rPr>
        <w:footnoteRef/>
      </w:r>
      <w:r w:rsidRPr="00517DF3">
        <w:rPr>
          <w:rFonts w:ascii="Calibri" w:hAnsi="Calibri" w:cs="Calibri"/>
        </w:rPr>
        <w:t xml:space="preserve"> </w:t>
      </w:r>
      <w:hyperlink r:id="rId4" w:history="1">
        <w:r w:rsidRPr="00517DF3">
          <w:rPr>
            <w:rStyle w:val="Hyperlink"/>
            <w:rFonts w:ascii="Calibri" w:hAnsi="Calibri" w:cs="Calibri"/>
          </w:rPr>
          <w:t>Reactie consultatie Data Unie Strategie | Rapport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D78B0A"/>
    <w:multiLevelType w:val="hybridMultilevel"/>
    <w:tmpl w:val="EDDA45C4"/>
    <w:lvl w:ilvl="0" w:tplc="E9A62D34">
      <w:start w:val="1"/>
      <w:numFmt w:val="lowerLetter"/>
      <w:lvlText w:val="a)"/>
      <w:lvlJc w:val="left"/>
      <w:pPr>
        <w:ind w:left="720" w:hanging="360"/>
      </w:pPr>
    </w:lvl>
    <w:lvl w:ilvl="1" w:tplc="A4A82DAE">
      <w:start w:val="1"/>
      <w:numFmt w:val="lowerLetter"/>
      <w:lvlText w:val="%2."/>
      <w:lvlJc w:val="left"/>
      <w:pPr>
        <w:ind w:left="1440" w:hanging="360"/>
      </w:pPr>
    </w:lvl>
    <w:lvl w:ilvl="2" w:tplc="CC6492DA">
      <w:start w:val="1"/>
      <w:numFmt w:val="lowerRoman"/>
      <w:lvlText w:val="%3."/>
      <w:lvlJc w:val="right"/>
      <w:pPr>
        <w:ind w:left="2160" w:hanging="180"/>
      </w:pPr>
    </w:lvl>
    <w:lvl w:ilvl="3" w:tplc="40AC53A0">
      <w:start w:val="1"/>
      <w:numFmt w:val="decimal"/>
      <w:lvlText w:val="%4."/>
      <w:lvlJc w:val="left"/>
      <w:pPr>
        <w:ind w:left="2880" w:hanging="360"/>
      </w:pPr>
    </w:lvl>
    <w:lvl w:ilvl="4" w:tplc="7746193E">
      <w:start w:val="1"/>
      <w:numFmt w:val="lowerLetter"/>
      <w:lvlText w:val="%5."/>
      <w:lvlJc w:val="left"/>
      <w:pPr>
        <w:ind w:left="3600" w:hanging="360"/>
      </w:pPr>
    </w:lvl>
    <w:lvl w:ilvl="5" w:tplc="B1F22D60">
      <w:start w:val="1"/>
      <w:numFmt w:val="lowerRoman"/>
      <w:lvlText w:val="%6."/>
      <w:lvlJc w:val="right"/>
      <w:pPr>
        <w:ind w:left="4320" w:hanging="180"/>
      </w:pPr>
    </w:lvl>
    <w:lvl w:ilvl="6" w:tplc="449C8EEA">
      <w:start w:val="1"/>
      <w:numFmt w:val="decimal"/>
      <w:lvlText w:val="%7."/>
      <w:lvlJc w:val="left"/>
      <w:pPr>
        <w:ind w:left="5040" w:hanging="360"/>
      </w:pPr>
    </w:lvl>
    <w:lvl w:ilvl="7" w:tplc="4E742C26">
      <w:start w:val="1"/>
      <w:numFmt w:val="lowerLetter"/>
      <w:lvlText w:val="%8."/>
      <w:lvlJc w:val="left"/>
      <w:pPr>
        <w:ind w:left="5760" w:hanging="360"/>
      </w:pPr>
    </w:lvl>
    <w:lvl w:ilvl="8" w:tplc="08BEC6DC">
      <w:start w:val="1"/>
      <w:numFmt w:val="lowerRoman"/>
      <w:lvlText w:val="%9."/>
      <w:lvlJc w:val="right"/>
      <w:pPr>
        <w:ind w:left="6480" w:hanging="180"/>
      </w:pPr>
    </w:lvl>
  </w:abstractNum>
  <w:abstractNum w:abstractNumId="8" w15:restartNumberingAfterBreak="0">
    <w:nsid w:val="10181921"/>
    <w:multiLevelType w:val="hybridMultilevel"/>
    <w:tmpl w:val="7060AFAE"/>
    <w:lvl w:ilvl="0" w:tplc="2BA273B8">
      <w:start w:val="1"/>
      <w:numFmt w:val="bullet"/>
      <w:lvlText w:val=""/>
      <w:lvlJc w:val="left"/>
      <w:pPr>
        <w:ind w:left="720" w:hanging="360"/>
      </w:pPr>
      <w:rPr>
        <w:rFonts w:ascii="Symbol" w:hAnsi="Symbol" w:hint="default"/>
      </w:rPr>
    </w:lvl>
    <w:lvl w:ilvl="1" w:tplc="B5003FD0">
      <w:start w:val="1"/>
      <w:numFmt w:val="bullet"/>
      <w:lvlText w:val="o"/>
      <w:lvlJc w:val="left"/>
      <w:pPr>
        <w:ind w:left="1440" w:hanging="360"/>
      </w:pPr>
      <w:rPr>
        <w:rFonts w:ascii="Courier New" w:hAnsi="Courier New" w:hint="default"/>
      </w:rPr>
    </w:lvl>
    <w:lvl w:ilvl="2" w:tplc="A134ECAA">
      <w:start w:val="1"/>
      <w:numFmt w:val="bullet"/>
      <w:lvlText w:val=""/>
      <w:lvlJc w:val="left"/>
      <w:pPr>
        <w:ind w:left="2160" w:hanging="360"/>
      </w:pPr>
      <w:rPr>
        <w:rFonts w:ascii="Wingdings" w:hAnsi="Wingdings" w:hint="default"/>
      </w:rPr>
    </w:lvl>
    <w:lvl w:ilvl="3" w:tplc="BEFE8936">
      <w:start w:val="1"/>
      <w:numFmt w:val="bullet"/>
      <w:lvlText w:val=""/>
      <w:lvlJc w:val="left"/>
      <w:pPr>
        <w:ind w:left="2880" w:hanging="360"/>
      </w:pPr>
      <w:rPr>
        <w:rFonts w:ascii="Symbol" w:hAnsi="Symbol" w:hint="default"/>
      </w:rPr>
    </w:lvl>
    <w:lvl w:ilvl="4" w:tplc="638E98A6">
      <w:start w:val="1"/>
      <w:numFmt w:val="bullet"/>
      <w:lvlText w:val="o"/>
      <w:lvlJc w:val="left"/>
      <w:pPr>
        <w:ind w:left="3600" w:hanging="360"/>
      </w:pPr>
      <w:rPr>
        <w:rFonts w:ascii="Courier New" w:hAnsi="Courier New" w:hint="default"/>
      </w:rPr>
    </w:lvl>
    <w:lvl w:ilvl="5" w:tplc="C5B8A0B4">
      <w:start w:val="1"/>
      <w:numFmt w:val="bullet"/>
      <w:lvlText w:val=""/>
      <w:lvlJc w:val="left"/>
      <w:pPr>
        <w:ind w:left="4320" w:hanging="360"/>
      </w:pPr>
      <w:rPr>
        <w:rFonts w:ascii="Wingdings" w:hAnsi="Wingdings" w:hint="default"/>
      </w:rPr>
    </w:lvl>
    <w:lvl w:ilvl="6" w:tplc="9BDE1AB2">
      <w:start w:val="1"/>
      <w:numFmt w:val="bullet"/>
      <w:lvlText w:val=""/>
      <w:lvlJc w:val="left"/>
      <w:pPr>
        <w:ind w:left="5040" w:hanging="360"/>
      </w:pPr>
      <w:rPr>
        <w:rFonts w:ascii="Symbol" w:hAnsi="Symbol" w:hint="default"/>
      </w:rPr>
    </w:lvl>
    <w:lvl w:ilvl="7" w:tplc="81C6FD62">
      <w:start w:val="1"/>
      <w:numFmt w:val="bullet"/>
      <w:lvlText w:val="o"/>
      <w:lvlJc w:val="left"/>
      <w:pPr>
        <w:ind w:left="5760" w:hanging="360"/>
      </w:pPr>
      <w:rPr>
        <w:rFonts w:ascii="Courier New" w:hAnsi="Courier New" w:hint="default"/>
      </w:rPr>
    </w:lvl>
    <w:lvl w:ilvl="8" w:tplc="4B74082E">
      <w:start w:val="1"/>
      <w:numFmt w:val="bullet"/>
      <w:lvlText w:val=""/>
      <w:lvlJc w:val="left"/>
      <w:pPr>
        <w:ind w:left="6480" w:hanging="360"/>
      </w:pPr>
      <w:rPr>
        <w:rFonts w:ascii="Wingdings" w:hAnsi="Wingdings" w:hint="default"/>
      </w:rPr>
    </w:lvl>
  </w:abstractNum>
  <w:abstractNum w:abstractNumId="9" w15:restartNumberingAfterBreak="0">
    <w:nsid w:val="1220166B"/>
    <w:multiLevelType w:val="hybridMultilevel"/>
    <w:tmpl w:val="BD04BFD2"/>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A5B4302"/>
    <w:multiLevelType w:val="hybridMultilevel"/>
    <w:tmpl w:val="F0D81D1A"/>
    <w:lvl w:ilvl="0" w:tplc="B672DB2A">
      <w:start w:val="1"/>
      <w:numFmt w:val="bullet"/>
      <w:lvlText w:val=""/>
      <w:lvlJc w:val="left"/>
      <w:pPr>
        <w:ind w:left="720" w:hanging="360"/>
      </w:pPr>
      <w:rPr>
        <w:rFonts w:ascii="Symbol" w:hAnsi="Symbol" w:hint="default"/>
      </w:rPr>
    </w:lvl>
    <w:lvl w:ilvl="1" w:tplc="875684D0">
      <w:start w:val="1"/>
      <w:numFmt w:val="bullet"/>
      <w:lvlText w:val="o"/>
      <w:lvlJc w:val="left"/>
      <w:pPr>
        <w:ind w:left="1440" w:hanging="360"/>
      </w:pPr>
      <w:rPr>
        <w:rFonts w:ascii="Courier New" w:hAnsi="Courier New" w:hint="default"/>
      </w:rPr>
    </w:lvl>
    <w:lvl w:ilvl="2" w:tplc="8FFE6FE2">
      <w:start w:val="1"/>
      <w:numFmt w:val="bullet"/>
      <w:lvlText w:val=""/>
      <w:lvlJc w:val="left"/>
      <w:pPr>
        <w:ind w:left="2160" w:hanging="360"/>
      </w:pPr>
      <w:rPr>
        <w:rFonts w:ascii="Wingdings" w:hAnsi="Wingdings" w:hint="default"/>
      </w:rPr>
    </w:lvl>
    <w:lvl w:ilvl="3" w:tplc="9F40D03A">
      <w:start w:val="1"/>
      <w:numFmt w:val="bullet"/>
      <w:lvlText w:val=""/>
      <w:lvlJc w:val="left"/>
      <w:pPr>
        <w:ind w:left="2880" w:hanging="360"/>
      </w:pPr>
      <w:rPr>
        <w:rFonts w:ascii="Symbol" w:hAnsi="Symbol" w:hint="default"/>
      </w:rPr>
    </w:lvl>
    <w:lvl w:ilvl="4" w:tplc="D7DEF1CC">
      <w:start w:val="1"/>
      <w:numFmt w:val="bullet"/>
      <w:lvlText w:val="o"/>
      <w:lvlJc w:val="left"/>
      <w:pPr>
        <w:ind w:left="3600" w:hanging="360"/>
      </w:pPr>
      <w:rPr>
        <w:rFonts w:ascii="Courier New" w:hAnsi="Courier New" w:hint="default"/>
      </w:rPr>
    </w:lvl>
    <w:lvl w:ilvl="5" w:tplc="A3B286C2">
      <w:start w:val="1"/>
      <w:numFmt w:val="bullet"/>
      <w:lvlText w:val=""/>
      <w:lvlJc w:val="left"/>
      <w:pPr>
        <w:ind w:left="4320" w:hanging="360"/>
      </w:pPr>
      <w:rPr>
        <w:rFonts w:ascii="Wingdings" w:hAnsi="Wingdings" w:hint="default"/>
      </w:rPr>
    </w:lvl>
    <w:lvl w:ilvl="6" w:tplc="21B8EEBA">
      <w:start w:val="1"/>
      <w:numFmt w:val="bullet"/>
      <w:lvlText w:val=""/>
      <w:lvlJc w:val="left"/>
      <w:pPr>
        <w:ind w:left="5040" w:hanging="360"/>
      </w:pPr>
      <w:rPr>
        <w:rFonts w:ascii="Symbol" w:hAnsi="Symbol" w:hint="default"/>
      </w:rPr>
    </w:lvl>
    <w:lvl w:ilvl="7" w:tplc="0848F102">
      <w:start w:val="1"/>
      <w:numFmt w:val="bullet"/>
      <w:lvlText w:val="o"/>
      <w:lvlJc w:val="left"/>
      <w:pPr>
        <w:ind w:left="5760" w:hanging="360"/>
      </w:pPr>
      <w:rPr>
        <w:rFonts w:ascii="Courier New" w:hAnsi="Courier New" w:hint="default"/>
      </w:rPr>
    </w:lvl>
    <w:lvl w:ilvl="8" w:tplc="7C7AB4EA">
      <w:start w:val="1"/>
      <w:numFmt w:val="bullet"/>
      <w:lvlText w:val=""/>
      <w:lvlJc w:val="left"/>
      <w:pPr>
        <w:ind w:left="6480" w:hanging="360"/>
      </w:pPr>
      <w:rPr>
        <w:rFonts w:ascii="Wingdings" w:hAnsi="Wingdings" w:hint="default"/>
      </w:rPr>
    </w:lvl>
  </w:abstractNum>
  <w:abstractNum w:abstractNumId="13"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5A90896"/>
    <w:multiLevelType w:val="hybridMultilevel"/>
    <w:tmpl w:val="16BEEB1A"/>
    <w:lvl w:ilvl="0" w:tplc="062E8DEC">
      <w:start w:val="1"/>
      <w:numFmt w:val="bullet"/>
      <w:lvlText w:val=""/>
      <w:lvlJc w:val="left"/>
      <w:pPr>
        <w:ind w:left="720" w:hanging="360"/>
      </w:pPr>
      <w:rPr>
        <w:rFonts w:ascii="Symbol" w:hAnsi="Symbol" w:hint="default"/>
      </w:rPr>
    </w:lvl>
    <w:lvl w:ilvl="1" w:tplc="03FC47B4">
      <w:start w:val="1"/>
      <w:numFmt w:val="bullet"/>
      <w:lvlText w:val="o"/>
      <w:lvlJc w:val="left"/>
      <w:pPr>
        <w:ind w:left="1440" w:hanging="360"/>
      </w:pPr>
      <w:rPr>
        <w:rFonts w:ascii="Courier New" w:hAnsi="Courier New" w:hint="default"/>
      </w:rPr>
    </w:lvl>
    <w:lvl w:ilvl="2" w:tplc="36F60124">
      <w:start w:val="1"/>
      <w:numFmt w:val="bullet"/>
      <w:lvlText w:val=""/>
      <w:lvlJc w:val="left"/>
      <w:pPr>
        <w:ind w:left="2160" w:hanging="360"/>
      </w:pPr>
      <w:rPr>
        <w:rFonts w:ascii="Wingdings" w:hAnsi="Wingdings" w:hint="default"/>
      </w:rPr>
    </w:lvl>
    <w:lvl w:ilvl="3" w:tplc="2E6430C6">
      <w:start w:val="1"/>
      <w:numFmt w:val="bullet"/>
      <w:lvlText w:val=""/>
      <w:lvlJc w:val="left"/>
      <w:pPr>
        <w:ind w:left="2880" w:hanging="360"/>
      </w:pPr>
      <w:rPr>
        <w:rFonts w:ascii="Symbol" w:hAnsi="Symbol" w:hint="default"/>
      </w:rPr>
    </w:lvl>
    <w:lvl w:ilvl="4" w:tplc="AC78F33E">
      <w:start w:val="1"/>
      <w:numFmt w:val="bullet"/>
      <w:lvlText w:val="o"/>
      <w:lvlJc w:val="left"/>
      <w:pPr>
        <w:ind w:left="3600" w:hanging="360"/>
      </w:pPr>
      <w:rPr>
        <w:rFonts w:ascii="Courier New" w:hAnsi="Courier New" w:hint="default"/>
      </w:rPr>
    </w:lvl>
    <w:lvl w:ilvl="5" w:tplc="56A08CC8">
      <w:start w:val="1"/>
      <w:numFmt w:val="bullet"/>
      <w:lvlText w:val=""/>
      <w:lvlJc w:val="left"/>
      <w:pPr>
        <w:ind w:left="4320" w:hanging="360"/>
      </w:pPr>
      <w:rPr>
        <w:rFonts w:ascii="Wingdings" w:hAnsi="Wingdings" w:hint="default"/>
      </w:rPr>
    </w:lvl>
    <w:lvl w:ilvl="6" w:tplc="52505446">
      <w:start w:val="1"/>
      <w:numFmt w:val="bullet"/>
      <w:lvlText w:val=""/>
      <w:lvlJc w:val="left"/>
      <w:pPr>
        <w:ind w:left="5040" w:hanging="360"/>
      </w:pPr>
      <w:rPr>
        <w:rFonts w:ascii="Symbol" w:hAnsi="Symbol" w:hint="default"/>
      </w:rPr>
    </w:lvl>
    <w:lvl w:ilvl="7" w:tplc="553C2F82">
      <w:start w:val="1"/>
      <w:numFmt w:val="bullet"/>
      <w:lvlText w:val="o"/>
      <w:lvlJc w:val="left"/>
      <w:pPr>
        <w:ind w:left="5760" w:hanging="360"/>
      </w:pPr>
      <w:rPr>
        <w:rFonts w:ascii="Courier New" w:hAnsi="Courier New" w:hint="default"/>
      </w:rPr>
    </w:lvl>
    <w:lvl w:ilvl="8" w:tplc="F692FAD0">
      <w:start w:val="1"/>
      <w:numFmt w:val="bullet"/>
      <w:lvlText w:val=""/>
      <w:lvlJc w:val="left"/>
      <w:pPr>
        <w:ind w:left="6480" w:hanging="360"/>
      </w:pPr>
      <w:rPr>
        <w:rFonts w:ascii="Wingdings" w:hAnsi="Wingdings" w:hint="default"/>
      </w:rPr>
    </w:lvl>
  </w:abstractNum>
  <w:abstractNum w:abstractNumId="1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80995D"/>
    <w:multiLevelType w:val="hybridMultilevel"/>
    <w:tmpl w:val="A2AE6B46"/>
    <w:lvl w:ilvl="0" w:tplc="C4B603EE">
      <w:start w:val="2"/>
      <w:numFmt w:val="decimal"/>
      <w:lvlText w:val="%1."/>
      <w:lvlJc w:val="left"/>
      <w:pPr>
        <w:ind w:left="360" w:hanging="360"/>
      </w:pPr>
      <w:rPr>
        <w:rFonts w:ascii="Verdana" w:hAnsi="Verdana" w:hint="default"/>
      </w:rPr>
    </w:lvl>
    <w:lvl w:ilvl="1" w:tplc="FA620526">
      <w:start w:val="1"/>
      <w:numFmt w:val="lowerLetter"/>
      <w:lvlText w:val="%2."/>
      <w:lvlJc w:val="left"/>
      <w:pPr>
        <w:ind w:left="1440" w:hanging="360"/>
      </w:pPr>
    </w:lvl>
    <w:lvl w:ilvl="2" w:tplc="FED02188">
      <w:start w:val="1"/>
      <w:numFmt w:val="lowerRoman"/>
      <w:lvlText w:val="%3."/>
      <w:lvlJc w:val="right"/>
      <w:pPr>
        <w:ind w:left="2160" w:hanging="180"/>
      </w:pPr>
    </w:lvl>
    <w:lvl w:ilvl="3" w:tplc="A1301D72">
      <w:start w:val="1"/>
      <w:numFmt w:val="decimal"/>
      <w:lvlText w:val="%4."/>
      <w:lvlJc w:val="left"/>
      <w:pPr>
        <w:ind w:left="2880" w:hanging="360"/>
      </w:pPr>
    </w:lvl>
    <w:lvl w:ilvl="4" w:tplc="114CEAD0">
      <w:start w:val="1"/>
      <w:numFmt w:val="lowerLetter"/>
      <w:lvlText w:val="%5."/>
      <w:lvlJc w:val="left"/>
      <w:pPr>
        <w:ind w:left="3600" w:hanging="360"/>
      </w:pPr>
    </w:lvl>
    <w:lvl w:ilvl="5" w:tplc="B4C20024">
      <w:start w:val="1"/>
      <w:numFmt w:val="lowerRoman"/>
      <w:lvlText w:val="%6."/>
      <w:lvlJc w:val="right"/>
      <w:pPr>
        <w:ind w:left="4320" w:hanging="180"/>
      </w:pPr>
    </w:lvl>
    <w:lvl w:ilvl="6" w:tplc="A6D6D768">
      <w:start w:val="1"/>
      <w:numFmt w:val="decimal"/>
      <w:lvlText w:val="%7."/>
      <w:lvlJc w:val="left"/>
      <w:pPr>
        <w:ind w:left="5040" w:hanging="360"/>
      </w:pPr>
    </w:lvl>
    <w:lvl w:ilvl="7" w:tplc="4CC2FD40">
      <w:start w:val="1"/>
      <w:numFmt w:val="lowerLetter"/>
      <w:lvlText w:val="%8."/>
      <w:lvlJc w:val="left"/>
      <w:pPr>
        <w:ind w:left="5760" w:hanging="360"/>
      </w:pPr>
    </w:lvl>
    <w:lvl w:ilvl="8" w:tplc="25E2CB10">
      <w:start w:val="1"/>
      <w:numFmt w:val="lowerRoman"/>
      <w:lvlText w:val="%9."/>
      <w:lvlJc w:val="right"/>
      <w:pPr>
        <w:ind w:left="6480" w:hanging="180"/>
      </w:pPr>
    </w:lvl>
  </w:abstractNum>
  <w:abstractNum w:abstractNumId="2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56737EE"/>
    <w:multiLevelType w:val="hybridMultilevel"/>
    <w:tmpl w:val="5DA2A5B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8ED275"/>
    <w:multiLevelType w:val="hybridMultilevel"/>
    <w:tmpl w:val="14D46906"/>
    <w:lvl w:ilvl="0" w:tplc="84DA46C0">
      <w:start w:val="1"/>
      <w:numFmt w:val="bullet"/>
      <w:lvlText w:val=""/>
      <w:lvlJc w:val="left"/>
      <w:pPr>
        <w:ind w:left="720" w:hanging="360"/>
      </w:pPr>
      <w:rPr>
        <w:rFonts w:ascii="Symbol" w:hAnsi="Symbol" w:hint="default"/>
      </w:rPr>
    </w:lvl>
    <w:lvl w:ilvl="1" w:tplc="9DCC176E">
      <w:start w:val="1"/>
      <w:numFmt w:val="lowerLetter"/>
      <w:lvlText w:val="%2."/>
      <w:lvlJc w:val="left"/>
      <w:pPr>
        <w:ind w:left="1440" w:hanging="360"/>
      </w:pPr>
    </w:lvl>
    <w:lvl w:ilvl="2" w:tplc="2B02609A">
      <w:start w:val="1"/>
      <w:numFmt w:val="lowerRoman"/>
      <w:lvlText w:val="%3."/>
      <w:lvlJc w:val="right"/>
      <w:pPr>
        <w:ind w:left="2160" w:hanging="180"/>
      </w:pPr>
    </w:lvl>
    <w:lvl w:ilvl="3" w:tplc="6090EE9E">
      <w:start w:val="1"/>
      <w:numFmt w:val="decimal"/>
      <w:lvlText w:val="%4."/>
      <w:lvlJc w:val="left"/>
      <w:pPr>
        <w:ind w:left="2880" w:hanging="360"/>
      </w:pPr>
    </w:lvl>
    <w:lvl w:ilvl="4" w:tplc="AC98E6FA">
      <w:start w:val="1"/>
      <w:numFmt w:val="lowerLetter"/>
      <w:lvlText w:val="%5."/>
      <w:lvlJc w:val="left"/>
      <w:pPr>
        <w:ind w:left="3600" w:hanging="360"/>
      </w:pPr>
    </w:lvl>
    <w:lvl w:ilvl="5" w:tplc="97C25998">
      <w:start w:val="1"/>
      <w:numFmt w:val="lowerRoman"/>
      <w:lvlText w:val="%6."/>
      <w:lvlJc w:val="right"/>
      <w:pPr>
        <w:ind w:left="4320" w:hanging="180"/>
      </w:pPr>
    </w:lvl>
    <w:lvl w:ilvl="6" w:tplc="B3C62D3A">
      <w:start w:val="1"/>
      <w:numFmt w:val="decimal"/>
      <w:lvlText w:val="%7."/>
      <w:lvlJc w:val="left"/>
      <w:pPr>
        <w:ind w:left="5040" w:hanging="360"/>
      </w:pPr>
    </w:lvl>
    <w:lvl w:ilvl="7" w:tplc="71205F28">
      <w:start w:val="1"/>
      <w:numFmt w:val="lowerLetter"/>
      <w:lvlText w:val="%8."/>
      <w:lvlJc w:val="left"/>
      <w:pPr>
        <w:ind w:left="5760" w:hanging="360"/>
      </w:pPr>
    </w:lvl>
    <w:lvl w:ilvl="8" w:tplc="0B668656">
      <w:start w:val="1"/>
      <w:numFmt w:val="lowerRoman"/>
      <w:lvlText w:val="%9."/>
      <w:lvlJc w:val="right"/>
      <w:pPr>
        <w:ind w:left="6480" w:hanging="180"/>
      </w:pPr>
    </w:lvl>
  </w:abstractNum>
  <w:abstractNum w:abstractNumId="37"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5082186">
    <w:abstractNumId w:val="8"/>
  </w:num>
  <w:num w:numId="2" w16cid:durableId="1774745304">
    <w:abstractNumId w:val="16"/>
  </w:num>
  <w:num w:numId="3" w16cid:durableId="682627738">
    <w:abstractNumId w:val="12"/>
  </w:num>
  <w:num w:numId="4" w16cid:durableId="616640986">
    <w:abstractNumId w:val="36"/>
  </w:num>
  <w:num w:numId="5" w16cid:durableId="1191647019">
    <w:abstractNumId w:val="21"/>
  </w:num>
  <w:num w:numId="6" w16cid:durableId="775712377">
    <w:abstractNumId w:val="7"/>
  </w:num>
  <w:num w:numId="7" w16cid:durableId="1992903624">
    <w:abstractNumId w:val="0"/>
  </w:num>
  <w:num w:numId="8" w16cid:durableId="36787004">
    <w:abstractNumId w:val="22"/>
  </w:num>
  <w:num w:numId="9" w16cid:durableId="1995798554">
    <w:abstractNumId w:val="5"/>
  </w:num>
  <w:num w:numId="10" w16cid:durableId="1453016486">
    <w:abstractNumId w:val="41"/>
  </w:num>
  <w:num w:numId="11" w16cid:durableId="1027828017">
    <w:abstractNumId w:val="32"/>
  </w:num>
  <w:num w:numId="12" w16cid:durableId="1250039345">
    <w:abstractNumId w:val="30"/>
  </w:num>
  <w:num w:numId="13" w16cid:durableId="186456395">
    <w:abstractNumId w:val="17"/>
  </w:num>
  <w:num w:numId="14" w16cid:durableId="252469847">
    <w:abstractNumId w:val="33"/>
  </w:num>
  <w:num w:numId="15" w16cid:durableId="1875847224">
    <w:abstractNumId w:val="19"/>
  </w:num>
  <w:num w:numId="16" w16cid:durableId="385109209">
    <w:abstractNumId w:val="6"/>
  </w:num>
  <w:num w:numId="17" w16cid:durableId="1900247664">
    <w:abstractNumId w:val="15"/>
  </w:num>
  <w:num w:numId="18" w16cid:durableId="1799491775">
    <w:abstractNumId w:val="20"/>
  </w:num>
  <w:num w:numId="19" w16cid:durableId="798955899">
    <w:abstractNumId w:val="38"/>
  </w:num>
  <w:num w:numId="20" w16cid:durableId="707796603">
    <w:abstractNumId w:val="40"/>
  </w:num>
  <w:num w:numId="21" w16cid:durableId="65032477">
    <w:abstractNumId w:val="29"/>
  </w:num>
  <w:num w:numId="22" w16cid:durableId="2112846944">
    <w:abstractNumId w:val="37"/>
  </w:num>
  <w:num w:numId="23" w16cid:durableId="927732689">
    <w:abstractNumId w:val="25"/>
  </w:num>
  <w:num w:numId="24" w16cid:durableId="1731077041">
    <w:abstractNumId w:val="10"/>
  </w:num>
  <w:num w:numId="25" w16cid:durableId="1922136658">
    <w:abstractNumId w:val="39"/>
  </w:num>
  <w:num w:numId="26" w16cid:durableId="1690371593">
    <w:abstractNumId w:val="43"/>
  </w:num>
  <w:num w:numId="27" w16cid:durableId="791631190">
    <w:abstractNumId w:val="31"/>
  </w:num>
  <w:num w:numId="28" w16cid:durableId="2091656024">
    <w:abstractNumId w:val="24"/>
  </w:num>
  <w:num w:numId="29" w16cid:durableId="584843795">
    <w:abstractNumId w:val="14"/>
  </w:num>
  <w:num w:numId="30" w16cid:durableId="1234849174">
    <w:abstractNumId w:val="3"/>
  </w:num>
  <w:num w:numId="31" w16cid:durableId="962612239">
    <w:abstractNumId w:val="26"/>
  </w:num>
  <w:num w:numId="32" w16cid:durableId="849948556">
    <w:abstractNumId w:val="13"/>
  </w:num>
  <w:num w:numId="33" w16cid:durableId="1262029919">
    <w:abstractNumId w:val="18"/>
  </w:num>
  <w:num w:numId="34" w16cid:durableId="1388068133">
    <w:abstractNumId w:val="27"/>
  </w:num>
  <w:num w:numId="35" w16cid:durableId="485633586">
    <w:abstractNumId w:val="2"/>
  </w:num>
  <w:num w:numId="36" w16cid:durableId="1260988695">
    <w:abstractNumId w:val="1"/>
  </w:num>
  <w:num w:numId="37" w16cid:durableId="507257726">
    <w:abstractNumId w:val="42"/>
  </w:num>
  <w:num w:numId="38" w16cid:durableId="1831676505">
    <w:abstractNumId w:val="9"/>
  </w:num>
  <w:num w:numId="39" w16cid:durableId="1621371959">
    <w:abstractNumId w:val="35"/>
  </w:num>
  <w:num w:numId="40" w16cid:durableId="1683972017">
    <w:abstractNumId w:val="11"/>
  </w:num>
  <w:num w:numId="41" w16cid:durableId="943196449">
    <w:abstractNumId w:val="28"/>
  </w:num>
  <w:num w:numId="42" w16cid:durableId="1463961820">
    <w:abstractNumId w:val="34"/>
  </w:num>
  <w:num w:numId="43" w16cid:durableId="1295715304">
    <w:abstractNumId w:val="4"/>
  </w:num>
  <w:num w:numId="44" w16cid:durableId="20449426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07F9"/>
    <w:rsid w:val="000113B3"/>
    <w:rsid w:val="0001467F"/>
    <w:rsid w:val="00015377"/>
    <w:rsid w:val="00015DD1"/>
    <w:rsid w:val="00016B4C"/>
    <w:rsid w:val="00033622"/>
    <w:rsid w:val="00036169"/>
    <w:rsid w:val="00043D80"/>
    <w:rsid w:val="00046864"/>
    <w:rsid w:val="0005378C"/>
    <w:rsid w:val="00054733"/>
    <w:rsid w:val="000577B0"/>
    <w:rsid w:val="00065AD4"/>
    <w:rsid w:val="00066C36"/>
    <w:rsid w:val="00066E3F"/>
    <w:rsid w:val="00070E4D"/>
    <w:rsid w:val="00071C3E"/>
    <w:rsid w:val="00071F9B"/>
    <w:rsid w:val="00074F4B"/>
    <w:rsid w:val="00077111"/>
    <w:rsid w:val="00077CD7"/>
    <w:rsid w:val="00081162"/>
    <w:rsid w:val="00081A88"/>
    <w:rsid w:val="00082322"/>
    <w:rsid w:val="000836CC"/>
    <w:rsid w:val="000868C2"/>
    <w:rsid w:val="000907F0"/>
    <w:rsid w:val="00091782"/>
    <w:rsid w:val="000919EA"/>
    <w:rsid w:val="000920C8"/>
    <w:rsid w:val="00092B4F"/>
    <w:rsid w:val="000A08FA"/>
    <w:rsid w:val="000A3BE1"/>
    <w:rsid w:val="000A42D6"/>
    <w:rsid w:val="000A6AF6"/>
    <w:rsid w:val="000A7D81"/>
    <w:rsid w:val="000B0056"/>
    <w:rsid w:val="000B34C6"/>
    <w:rsid w:val="000B6186"/>
    <w:rsid w:val="000B653A"/>
    <w:rsid w:val="000B78E4"/>
    <w:rsid w:val="000B7A49"/>
    <w:rsid w:val="000C6574"/>
    <w:rsid w:val="000D01B7"/>
    <w:rsid w:val="000D138C"/>
    <w:rsid w:val="000D30AF"/>
    <w:rsid w:val="000D3857"/>
    <w:rsid w:val="000D6756"/>
    <w:rsid w:val="000E09CA"/>
    <w:rsid w:val="000E14CF"/>
    <w:rsid w:val="000E4FE9"/>
    <w:rsid w:val="000E7250"/>
    <w:rsid w:val="000E7288"/>
    <w:rsid w:val="000F003E"/>
    <w:rsid w:val="000F43B2"/>
    <w:rsid w:val="000F4EE1"/>
    <w:rsid w:val="000F5249"/>
    <w:rsid w:val="000F5306"/>
    <w:rsid w:val="000F59A4"/>
    <w:rsid w:val="000F5CC8"/>
    <w:rsid w:val="00105334"/>
    <w:rsid w:val="00113A19"/>
    <w:rsid w:val="00113A68"/>
    <w:rsid w:val="00113DF4"/>
    <w:rsid w:val="00114D99"/>
    <w:rsid w:val="0012680F"/>
    <w:rsid w:val="0012782F"/>
    <w:rsid w:val="00131BE4"/>
    <w:rsid w:val="00133B37"/>
    <w:rsid w:val="001355F2"/>
    <w:rsid w:val="001574EC"/>
    <w:rsid w:val="0015787C"/>
    <w:rsid w:val="00164D1E"/>
    <w:rsid w:val="001702F1"/>
    <w:rsid w:val="0017031A"/>
    <w:rsid w:val="00171000"/>
    <w:rsid w:val="001733B8"/>
    <w:rsid w:val="001761BC"/>
    <w:rsid w:val="00176A68"/>
    <w:rsid w:val="001818B4"/>
    <w:rsid w:val="00181C92"/>
    <w:rsid w:val="00185CE7"/>
    <w:rsid w:val="00191537"/>
    <w:rsid w:val="00195AF5"/>
    <w:rsid w:val="001A45AB"/>
    <w:rsid w:val="001A6D9A"/>
    <w:rsid w:val="001B3626"/>
    <w:rsid w:val="001B4165"/>
    <w:rsid w:val="001B71B4"/>
    <w:rsid w:val="001C1EF2"/>
    <w:rsid w:val="001C640D"/>
    <w:rsid w:val="001D3E90"/>
    <w:rsid w:val="001D42AB"/>
    <w:rsid w:val="001D4E44"/>
    <w:rsid w:val="001D558D"/>
    <w:rsid w:val="001D7C7D"/>
    <w:rsid w:val="001E1ADE"/>
    <w:rsid w:val="001E2D0C"/>
    <w:rsid w:val="001E5826"/>
    <w:rsid w:val="001F440E"/>
    <w:rsid w:val="001F49A4"/>
    <w:rsid w:val="001F5E61"/>
    <w:rsid w:val="0020223E"/>
    <w:rsid w:val="002022FC"/>
    <w:rsid w:val="002031D9"/>
    <w:rsid w:val="002051BC"/>
    <w:rsid w:val="002054D8"/>
    <w:rsid w:val="002057D6"/>
    <w:rsid w:val="002069C8"/>
    <w:rsid w:val="002071E2"/>
    <w:rsid w:val="00210A92"/>
    <w:rsid w:val="00222A07"/>
    <w:rsid w:val="0022598D"/>
    <w:rsid w:val="00227B27"/>
    <w:rsid w:val="002357C3"/>
    <w:rsid w:val="00241278"/>
    <w:rsid w:val="002436FF"/>
    <w:rsid w:val="0024438E"/>
    <w:rsid w:val="002468A3"/>
    <w:rsid w:val="00246C8B"/>
    <w:rsid w:val="00250B56"/>
    <w:rsid w:val="00251118"/>
    <w:rsid w:val="00257331"/>
    <w:rsid w:val="00257AF6"/>
    <w:rsid w:val="00260C9F"/>
    <w:rsid w:val="00261D6A"/>
    <w:rsid w:val="002634FC"/>
    <w:rsid w:val="00263B88"/>
    <w:rsid w:val="00266CE5"/>
    <w:rsid w:val="00275415"/>
    <w:rsid w:val="00276C52"/>
    <w:rsid w:val="0027717B"/>
    <w:rsid w:val="00280B2E"/>
    <w:rsid w:val="002814AD"/>
    <w:rsid w:val="00285DF6"/>
    <w:rsid w:val="002918F8"/>
    <w:rsid w:val="00292A51"/>
    <w:rsid w:val="0029628F"/>
    <w:rsid w:val="002964DD"/>
    <w:rsid w:val="002A134C"/>
    <w:rsid w:val="002A2C14"/>
    <w:rsid w:val="002A3603"/>
    <w:rsid w:val="002A505F"/>
    <w:rsid w:val="002B26C6"/>
    <w:rsid w:val="002B5136"/>
    <w:rsid w:val="002B5273"/>
    <w:rsid w:val="002B6A9E"/>
    <w:rsid w:val="002B707F"/>
    <w:rsid w:val="002C1107"/>
    <w:rsid w:val="002C4545"/>
    <w:rsid w:val="002D136B"/>
    <w:rsid w:val="002D32A2"/>
    <w:rsid w:val="002D395F"/>
    <w:rsid w:val="002D4DDB"/>
    <w:rsid w:val="002D6ACB"/>
    <w:rsid w:val="002E5D3B"/>
    <w:rsid w:val="002F258A"/>
    <w:rsid w:val="002F3323"/>
    <w:rsid w:val="002F628A"/>
    <w:rsid w:val="002F711A"/>
    <w:rsid w:val="0030099A"/>
    <w:rsid w:val="00313ABC"/>
    <w:rsid w:val="00314155"/>
    <w:rsid w:val="00314FA0"/>
    <w:rsid w:val="00316CCC"/>
    <w:rsid w:val="00320B19"/>
    <w:rsid w:val="00322AB1"/>
    <w:rsid w:val="0033181E"/>
    <w:rsid w:val="00333047"/>
    <w:rsid w:val="003330F3"/>
    <w:rsid w:val="00336032"/>
    <w:rsid w:val="003442EB"/>
    <w:rsid w:val="00345095"/>
    <w:rsid w:val="00345971"/>
    <w:rsid w:val="00346FD0"/>
    <w:rsid w:val="00347E36"/>
    <w:rsid w:val="00352985"/>
    <w:rsid w:val="00353AB6"/>
    <w:rsid w:val="00353CE2"/>
    <w:rsid w:val="00356A6D"/>
    <w:rsid w:val="00356C46"/>
    <w:rsid w:val="00357471"/>
    <w:rsid w:val="003634DA"/>
    <w:rsid w:val="00363717"/>
    <w:rsid w:val="00371E52"/>
    <w:rsid w:val="00373818"/>
    <w:rsid w:val="00374D0A"/>
    <w:rsid w:val="00382BE7"/>
    <w:rsid w:val="0038418E"/>
    <w:rsid w:val="003859F9"/>
    <w:rsid w:val="00385C19"/>
    <w:rsid w:val="0038667B"/>
    <w:rsid w:val="003A0D3C"/>
    <w:rsid w:val="003A1BFB"/>
    <w:rsid w:val="003B2E2A"/>
    <w:rsid w:val="003B6E5B"/>
    <w:rsid w:val="003C0025"/>
    <w:rsid w:val="003C2713"/>
    <w:rsid w:val="003C27BF"/>
    <w:rsid w:val="003C425E"/>
    <w:rsid w:val="003C4F9C"/>
    <w:rsid w:val="003C6403"/>
    <w:rsid w:val="003C780F"/>
    <w:rsid w:val="003D56CF"/>
    <w:rsid w:val="003D7F1A"/>
    <w:rsid w:val="003D7F61"/>
    <w:rsid w:val="003E405E"/>
    <w:rsid w:val="003E4DF6"/>
    <w:rsid w:val="003E6E9E"/>
    <w:rsid w:val="003F4B19"/>
    <w:rsid w:val="003F6B0B"/>
    <w:rsid w:val="003F708E"/>
    <w:rsid w:val="004033B8"/>
    <w:rsid w:val="00403757"/>
    <w:rsid w:val="00405A89"/>
    <w:rsid w:val="004101AE"/>
    <w:rsid w:val="004140B4"/>
    <w:rsid w:val="00414272"/>
    <w:rsid w:val="00414340"/>
    <w:rsid w:val="00414445"/>
    <w:rsid w:val="004149C2"/>
    <w:rsid w:val="00416E3A"/>
    <w:rsid w:val="004171F6"/>
    <w:rsid w:val="00421376"/>
    <w:rsid w:val="00423FD7"/>
    <w:rsid w:val="00425D40"/>
    <w:rsid w:val="004270F2"/>
    <w:rsid w:val="004340E2"/>
    <w:rsid w:val="00436ACB"/>
    <w:rsid w:val="00444C70"/>
    <w:rsid w:val="00453A2B"/>
    <w:rsid w:val="00455E7A"/>
    <w:rsid w:val="004628CC"/>
    <w:rsid w:val="00462FB1"/>
    <w:rsid w:val="004758E5"/>
    <w:rsid w:val="00492010"/>
    <w:rsid w:val="004957C4"/>
    <w:rsid w:val="00495887"/>
    <w:rsid w:val="004A0F6A"/>
    <w:rsid w:val="004A1441"/>
    <w:rsid w:val="004A73CE"/>
    <w:rsid w:val="004B22FC"/>
    <w:rsid w:val="004C5C6C"/>
    <w:rsid w:val="004C7D59"/>
    <w:rsid w:val="004D1661"/>
    <w:rsid w:val="004D2E77"/>
    <w:rsid w:val="004D607D"/>
    <w:rsid w:val="004E090F"/>
    <w:rsid w:val="004E6252"/>
    <w:rsid w:val="004E737E"/>
    <w:rsid w:val="004F678F"/>
    <w:rsid w:val="004F6A90"/>
    <w:rsid w:val="00506AB2"/>
    <w:rsid w:val="00513C1E"/>
    <w:rsid w:val="00517DF3"/>
    <w:rsid w:val="005263B1"/>
    <w:rsid w:val="00526C5B"/>
    <w:rsid w:val="00531F8A"/>
    <w:rsid w:val="0053252B"/>
    <w:rsid w:val="0053692A"/>
    <w:rsid w:val="0054365F"/>
    <w:rsid w:val="005466FF"/>
    <w:rsid w:val="00546806"/>
    <w:rsid w:val="0054798E"/>
    <w:rsid w:val="00550480"/>
    <w:rsid w:val="0055292B"/>
    <w:rsid w:val="00553477"/>
    <w:rsid w:val="00553D6C"/>
    <w:rsid w:val="0055414E"/>
    <w:rsid w:val="00555D93"/>
    <w:rsid w:val="00556D4D"/>
    <w:rsid w:val="00556DA8"/>
    <w:rsid w:val="00557499"/>
    <w:rsid w:val="00563040"/>
    <w:rsid w:val="0056374C"/>
    <w:rsid w:val="005640DB"/>
    <w:rsid w:val="005705E5"/>
    <w:rsid w:val="00580112"/>
    <w:rsid w:val="00583EDD"/>
    <w:rsid w:val="00585769"/>
    <w:rsid w:val="00585C6A"/>
    <w:rsid w:val="00586660"/>
    <w:rsid w:val="00587F45"/>
    <w:rsid w:val="0059235B"/>
    <w:rsid w:val="005945B5"/>
    <w:rsid w:val="0059662A"/>
    <w:rsid w:val="005A017A"/>
    <w:rsid w:val="005A12F2"/>
    <w:rsid w:val="005A199A"/>
    <w:rsid w:val="005A4D45"/>
    <w:rsid w:val="005A5D70"/>
    <w:rsid w:val="005A798A"/>
    <w:rsid w:val="005B281D"/>
    <w:rsid w:val="005B3664"/>
    <w:rsid w:val="005B53FA"/>
    <w:rsid w:val="005C0BE7"/>
    <w:rsid w:val="005C0F09"/>
    <w:rsid w:val="005C49B2"/>
    <w:rsid w:val="005C501C"/>
    <w:rsid w:val="005C743C"/>
    <w:rsid w:val="005D2108"/>
    <w:rsid w:val="005D26EE"/>
    <w:rsid w:val="005D36A5"/>
    <w:rsid w:val="005D577E"/>
    <w:rsid w:val="005E27EF"/>
    <w:rsid w:val="005E321D"/>
    <w:rsid w:val="00610FDF"/>
    <w:rsid w:val="0061175C"/>
    <w:rsid w:val="006140F3"/>
    <w:rsid w:val="00622E1B"/>
    <w:rsid w:val="006259E4"/>
    <w:rsid w:val="00626202"/>
    <w:rsid w:val="00630187"/>
    <w:rsid w:val="00632433"/>
    <w:rsid w:val="00633C6B"/>
    <w:rsid w:val="00636A25"/>
    <w:rsid w:val="00637FC3"/>
    <w:rsid w:val="0064006A"/>
    <w:rsid w:val="006416B9"/>
    <w:rsid w:val="00642099"/>
    <w:rsid w:val="0064352A"/>
    <w:rsid w:val="006440A1"/>
    <w:rsid w:val="006501AF"/>
    <w:rsid w:val="00650D30"/>
    <w:rsid w:val="006562D7"/>
    <w:rsid w:val="00657FB3"/>
    <w:rsid w:val="00661EA1"/>
    <w:rsid w:val="00663375"/>
    <w:rsid w:val="00666A74"/>
    <w:rsid w:val="0066757A"/>
    <w:rsid w:val="006713AB"/>
    <w:rsid w:val="00673D63"/>
    <w:rsid w:val="006748C1"/>
    <w:rsid w:val="0067534B"/>
    <w:rsid w:val="006810FB"/>
    <w:rsid w:val="00683E89"/>
    <w:rsid w:val="00685BE6"/>
    <w:rsid w:val="0069342D"/>
    <w:rsid w:val="00694600"/>
    <w:rsid w:val="00694EEE"/>
    <w:rsid w:val="00695525"/>
    <w:rsid w:val="006A2A7B"/>
    <w:rsid w:val="006A3A0B"/>
    <w:rsid w:val="006B4DC9"/>
    <w:rsid w:val="006C2924"/>
    <w:rsid w:val="006C30BA"/>
    <w:rsid w:val="006C79A6"/>
    <w:rsid w:val="006C7CC3"/>
    <w:rsid w:val="006E1639"/>
    <w:rsid w:val="006E2F21"/>
    <w:rsid w:val="006E7C5E"/>
    <w:rsid w:val="006F1B7D"/>
    <w:rsid w:val="006F658F"/>
    <w:rsid w:val="006F6B6C"/>
    <w:rsid w:val="00701C62"/>
    <w:rsid w:val="0070301C"/>
    <w:rsid w:val="007113B6"/>
    <w:rsid w:val="00717E0A"/>
    <w:rsid w:val="00721DE7"/>
    <w:rsid w:val="0072337A"/>
    <w:rsid w:val="00726253"/>
    <w:rsid w:val="00731594"/>
    <w:rsid w:val="00742156"/>
    <w:rsid w:val="00742B98"/>
    <w:rsid w:val="00742D26"/>
    <w:rsid w:val="007435D6"/>
    <w:rsid w:val="0074401E"/>
    <w:rsid w:val="00744FF3"/>
    <w:rsid w:val="007502F1"/>
    <w:rsid w:val="00754C14"/>
    <w:rsid w:val="00766776"/>
    <w:rsid w:val="007706BF"/>
    <w:rsid w:val="00771D33"/>
    <w:rsid w:val="00773F30"/>
    <w:rsid w:val="007753E0"/>
    <w:rsid w:val="00775907"/>
    <w:rsid w:val="00781C3B"/>
    <w:rsid w:val="007859B6"/>
    <w:rsid w:val="00785C9B"/>
    <w:rsid w:val="00786711"/>
    <w:rsid w:val="0078707D"/>
    <w:rsid w:val="00790C27"/>
    <w:rsid w:val="0079123E"/>
    <w:rsid w:val="00792774"/>
    <w:rsid w:val="007A102B"/>
    <w:rsid w:val="007A171A"/>
    <w:rsid w:val="007A526E"/>
    <w:rsid w:val="007B01DB"/>
    <w:rsid w:val="007B27ED"/>
    <w:rsid w:val="007B3026"/>
    <w:rsid w:val="007B666C"/>
    <w:rsid w:val="007C06C2"/>
    <w:rsid w:val="007C3E98"/>
    <w:rsid w:val="007D2228"/>
    <w:rsid w:val="007D2DC7"/>
    <w:rsid w:val="007D36BF"/>
    <w:rsid w:val="007D3EF0"/>
    <w:rsid w:val="007D65CB"/>
    <w:rsid w:val="007E090C"/>
    <w:rsid w:val="007E1176"/>
    <w:rsid w:val="007E2284"/>
    <w:rsid w:val="007E306D"/>
    <w:rsid w:val="007E57B2"/>
    <w:rsid w:val="007E7DD3"/>
    <w:rsid w:val="007F2E3F"/>
    <w:rsid w:val="007F4002"/>
    <w:rsid w:val="007F68DE"/>
    <w:rsid w:val="007F7433"/>
    <w:rsid w:val="008125A5"/>
    <w:rsid w:val="00816807"/>
    <w:rsid w:val="00817231"/>
    <w:rsid w:val="00817D5B"/>
    <w:rsid w:val="00821AF2"/>
    <w:rsid w:val="00821B7F"/>
    <w:rsid w:val="0082493F"/>
    <w:rsid w:val="00825298"/>
    <w:rsid w:val="008277AB"/>
    <w:rsid w:val="00835C8A"/>
    <w:rsid w:val="00835D37"/>
    <w:rsid w:val="0084352C"/>
    <w:rsid w:val="00843BD5"/>
    <w:rsid w:val="00845FD1"/>
    <w:rsid w:val="00847822"/>
    <w:rsid w:val="00847F60"/>
    <w:rsid w:val="00850D6E"/>
    <w:rsid w:val="008528D9"/>
    <w:rsid w:val="00854431"/>
    <w:rsid w:val="00855481"/>
    <w:rsid w:val="00855717"/>
    <w:rsid w:val="008621DD"/>
    <w:rsid w:val="0086256F"/>
    <w:rsid w:val="00862967"/>
    <w:rsid w:val="008643D9"/>
    <w:rsid w:val="00876905"/>
    <w:rsid w:val="00880348"/>
    <w:rsid w:val="008818C3"/>
    <w:rsid w:val="00881F26"/>
    <w:rsid w:val="00884715"/>
    <w:rsid w:val="00886117"/>
    <w:rsid w:val="00886EDB"/>
    <w:rsid w:val="00895482"/>
    <w:rsid w:val="008A3D89"/>
    <w:rsid w:val="008B0635"/>
    <w:rsid w:val="008B293E"/>
    <w:rsid w:val="008B32AA"/>
    <w:rsid w:val="008B4140"/>
    <w:rsid w:val="008C0BF6"/>
    <w:rsid w:val="008D3962"/>
    <w:rsid w:val="008D4BB7"/>
    <w:rsid w:val="008D6F4B"/>
    <w:rsid w:val="008E3864"/>
    <w:rsid w:val="008E40FE"/>
    <w:rsid w:val="008E6D0D"/>
    <w:rsid w:val="008F1661"/>
    <w:rsid w:val="008F6B4C"/>
    <w:rsid w:val="008F7571"/>
    <w:rsid w:val="00900FD2"/>
    <w:rsid w:val="00903515"/>
    <w:rsid w:val="00904527"/>
    <w:rsid w:val="00904671"/>
    <w:rsid w:val="009107BE"/>
    <w:rsid w:val="009110CA"/>
    <w:rsid w:val="00911122"/>
    <w:rsid w:val="009141E4"/>
    <w:rsid w:val="00920757"/>
    <w:rsid w:val="00920F9A"/>
    <w:rsid w:val="00927198"/>
    <w:rsid w:val="00940D8B"/>
    <w:rsid w:val="00950F6F"/>
    <w:rsid w:val="009513C7"/>
    <w:rsid w:val="00954C75"/>
    <w:rsid w:val="00955059"/>
    <w:rsid w:val="0097419A"/>
    <w:rsid w:val="00977263"/>
    <w:rsid w:val="009813F6"/>
    <w:rsid w:val="00983A58"/>
    <w:rsid w:val="00986C8F"/>
    <w:rsid w:val="0099362A"/>
    <w:rsid w:val="009963BC"/>
    <w:rsid w:val="00996E5F"/>
    <w:rsid w:val="009A470E"/>
    <w:rsid w:val="009A5DAC"/>
    <w:rsid w:val="009A5F11"/>
    <w:rsid w:val="009A5FD1"/>
    <w:rsid w:val="009A66F7"/>
    <w:rsid w:val="009A722E"/>
    <w:rsid w:val="009A793A"/>
    <w:rsid w:val="009A7F3E"/>
    <w:rsid w:val="009B020A"/>
    <w:rsid w:val="009B088C"/>
    <w:rsid w:val="009B3EED"/>
    <w:rsid w:val="009C4462"/>
    <w:rsid w:val="009C4E06"/>
    <w:rsid w:val="009D007A"/>
    <w:rsid w:val="009D0373"/>
    <w:rsid w:val="009D0BD9"/>
    <w:rsid w:val="009D41E6"/>
    <w:rsid w:val="009D5256"/>
    <w:rsid w:val="009D60AD"/>
    <w:rsid w:val="009D6BD5"/>
    <w:rsid w:val="009E4BC4"/>
    <w:rsid w:val="009F2C50"/>
    <w:rsid w:val="009F3F38"/>
    <w:rsid w:val="00A02D35"/>
    <w:rsid w:val="00A10605"/>
    <w:rsid w:val="00A1096F"/>
    <w:rsid w:val="00A21B6F"/>
    <w:rsid w:val="00A23C85"/>
    <w:rsid w:val="00A25BC8"/>
    <w:rsid w:val="00A30129"/>
    <w:rsid w:val="00A30404"/>
    <w:rsid w:val="00A34501"/>
    <w:rsid w:val="00A40ACB"/>
    <w:rsid w:val="00A4642B"/>
    <w:rsid w:val="00A46F74"/>
    <w:rsid w:val="00A50D9F"/>
    <w:rsid w:val="00A52752"/>
    <w:rsid w:val="00A555BC"/>
    <w:rsid w:val="00A5624D"/>
    <w:rsid w:val="00A57FAE"/>
    <w:rsid w:val="00A713A2"/>
    <w:rsid w:val="00A744FA"/>
    <w:rsid w:val="00A76194"/>
    <w:rsid w:val="00A823A9"/>
    <w:rsid w:val="00A83A0D"/>
    <w:rsid w:val="00A86A81"/>
    <w:rsid w:val="00A9085C"/>
    <w:rsid w:val="00A936B3"/>
    <w:rsid w:val="00A937E8"/>
    <w:rsid w:val="00A97DE0"/>
    <w:rsid w:val="00AB0297"/>
    <w:rsid w:val="00AB118B"/>
    <w:rsid w:val="00AB4380"/>
    <w:rsid w:val="00AC0A43"/>
    <w:rsid w:val="00AC150C"/>
    <w:rsid w:val="00AC1FB6"/>
    <w:rsid w:val="00AC49B7"/>
    <w:rsid w:val="00AC7D53"/>
    <w:rsid w:val="00AD061C"/>
    <w:rsid w:val="00AD24C2"/>
    <w:rsid w:val="00AD4E3C"/>
    <w:rsid w:val="00AD58B8"/>
    <w:rsid w:val="00AD6255"/>
    <w:rsid w:val="00AD62FA"/>
    <w:rsid w:val="00AE077D"/>
    <w:rsid w:val="00AE1019"/>
    <w:rsid w:val="00AE3772"/>
    <w:rsid w:val="00AE4F45"/>
    <w:rsid w:val="00AE53A3"/>
    <w:rsid w:val="00AF0AA1"/>
    <w:rsid w:val="00AF6063"/>
    <w:rsid w:val="00AF72A3"/>
    <w:rsid w:val="00AF7EB9"/>
    <w:rsid w:val="00B0467E"/>
    <w:rsid w:val="00B06D72"/>
    <w:rsid w:val="00B070D6"/>
    <w:rsid w:val="00B12308"/>
    <w:rsid w:val="00B124CA"/>
    <w:rsid w:val="00B153E1"/>
    <w:rsid w:val="00B15DBC"/>
    <w:rsid w:val="00B17C9F"/>
    <w:rsid w:val="00B202F4"/>
    <w:rsid w:val="00B21AB3"/>
    <w:rsid w:val="00B2391A"/>
    <w:rsid w:val="00B25F50"/>
    <w:rsid w:val="00B33319"/>
    <w:rsid w:val="00B41F0D"/>
    <w:rsid w:val="00B42862"/>
    <w:rsid w:val="00B44148"/>
    <w:rsid w:val="00B4693A"/>
    <w:rsid w:val="00B46F1E"/>
    <w:rsid w:val="00B55AC8"/>
    <w:rsid w:val="00B572F6"/>
    <w:rsid w:val="00B63442"/>
    <w:rsid w:val="00B635FA"/>
    <w:rsid w:val="00B64200"/>
    <w:rsid w:val="00B64D42"/>
    <w:rsid w:val="00B7065C"/>
    <w:rsid w:val="00B75136"/>
    <w:rsid w:val="00B752B9"/>
    <w:rsid w:val="00B7645F"/>
    <w:rsid w:val="00B83D72"/>
    <w:rsid w:val="00B8747D"/>
    <w:rsid w:val="00B951D0"/>
    <w:rsid w:val="00BA0ACC"/>
    <w:rsid w:val="00BA18FB"/>
    <w:rsid w:val="00BA3B51"/>
    <w:rsid w:val="00BA4A1B"/>
    <w:rsid w:val="00BA51D8"/>
    <w:rsid w:val="00BA652E"/>
    <w:rsid w:val="00BA7B5B"/>
    <w:rsid w:val="00BB0207"/>
    <w:rsid w:val="00BB2302"/>
    <w:rsid w:val="00BB5686"/>
    <w:rsid w:val="00BB7B92"/>
    <w:rsid w:val="00BC198D"/>
    <w:rsid w:val="00BC4A57"/>
    <w:rsid w:val="00BD11F7"/>
    <w:rsid w:val="00BD1692"/>
    <w:rsid w:val="00BE085A"/>
    <w:rsid w:val="00BE40EF"/>
    <w:rsid w:val="00BE4452"/>
    <w:rsid w:val="00BF0041"/>
    <w:rsid w:val="00BF0871"/>
    <w:rsid w:val="00BF79FE"/>
    <w:rsid w:val="00BF7D1A"/>
    <w:rsid w:val="00C0161C"/>
    <w:rsid w:val="00C022D3"/>
    <w:rsid w:val="00C02B61"/>
    <w:rsid w:val="00C04952"/>
    <w:rsid w:val="00C049BA"/>
    <w:rsid w:val="00C05079"/>
    <w:rsid w:val="00C06E80"/>
    <w:rsid w:val="00C10B5D"/>
    <w:rsid w:val="00C1155D"/>
    <w:rsid w:val="00C147A3"/>
    <w:rsid w:val="00C16809"/>
    <w:rsid w:val="00C16EE4"/>
    <w:rsid w:val="00C20E87"/>
    <w:rsid w:val="00C251A6"/>
    <w:rsid w:val="00C26F53"/>
    <w:rsid w:val="00C34BE5"/>
    <w:rsid w:val="00C34DE4"/>
    <w:rsid w:val="00C41B26"/>
    <w:rsid w:val="00C425A5"/>
    <w:rsid w:val="00C43E8E"/>
    <w:rsid w:val="00C55407"/>
    <w:rsid w:val="00C57AF1"/>
    <w:rsid w:val="00C60530"/>
    <w:rsid w:val="00C60885"/>
    <w:rsid w:val="00C668E4"/>
    <w:rsid w:val="00C7307B"/>
    <w:rsid w:val="00C753AF"/>
    <w:rsid w:val="00C87F0F"/>
    <w:rsid w:val="00C919D4"/>
    <w:rsid w:val="00C93E94"/>
    <w:rsid w:val="00CA131C"/>
    <w:rsid w:val="00CA63AF"/>
    <w:rsid w:val="00CD5B2E"/>
    <w:rsid w:val="00CD6878"/>
    <w:rsid w:val="00CE167C"/>
    <w:rsid w:val="00CE2A2C"/>
    <w:rsid w:val="00CE570D"/>
    <w:rsid w:val="00CE63E5"/>
    <w:rsid w:val="00CF2811"/>
    <w:rsid w:val="00CF3C12"/>
    <w:rsid w:val="00D03F18"/>
    <w:rsid w:val="00D04076"/>
    <w:rsid w:val="00D05F0E"/>
    <w:rsid w:val="00D07F06"/>
    <w:rsid w:val="00D13349"/>
    <w:rsid w:val="00D15442"/>
    <w:rsid w:val="00D15B89"/>
    <w:rsid w:val="00D15CDE"/>
    <w:rsid w:val="00D16DF6"/>
    <w:rsid w:val="00D2160A"/>
    <w:rsid w:val="00D22323"/>
    <w:rsid w:val="00D22CB5"/>
    <w:rsid w:val="00D23544"/>
    <w:rsid w:val="00D27AD8"/>
    <w:rsid w:val="00D30BCF"/>
    <w:rsid w:val="00D313F9"/>
    <w:rsid w:val="00D326AA"/>
    <w:rsid w:val="00D45863"/>
    <w:rsid w:val="00D50394"/>
    <w:rsid w:val="00D52418"/>
    <w:rsid w:val="00D53A62"/>
    <w:rsid w:val="00D53CEF"/>
    <w:rsid w:val="00D55D49"/>
    <w:rsid w:val="00D6059A"/>
    <w:rsid w:val="00D635C6"/>
    <w:rsid w:val="00D65A62"/>
    <w:rsid w:val="00D73615"/>
    <w:rsid w:val="00D738F3"/>
    <w:rsid w:val="00D76E64"/>
    <w:rsid w:val="00D776F7"/>
    <w:rsid w:val="00D858F6"/>
    <w:rsid w:val="00D85FEA"/>
    <w:rsid w:val="00D86F90"/>
    <w:rsid w:val="00DA04D5"/>
    <w:rsid w:val="00DA6477"/>
    <w:rsid w:val="00DA72E3"/>
    <w:rsid w:val="00DB0559"/>
    <w:rsid w:val="00DB1026"/>
    <w:rsid w:val="00DB2696"/>
    <w:rsid w:val="00DB2C9F"/>
    <w:rsid w:val="00DB7928"/>
    <w:rsid w:val="00DB7AFB"/>
    <w:rsid w:val="00DC59A5"/>
    <w:rsid w:val="00DD1AB9"/>
    <w:rsid w:val="00DD1B86"/>
    <w:rsid w:val="00DD2146"/>
    <w:rsid w:val="00DD24BF"/>
    <w:rsid w:val="00DD5A7D"/>
    <w:rsid w:val="00DD5F05"/>
    <w:rsid w:val="00DE60F7"/>
    <w:rsid w:val="00DF17DF"/>
    <w:rsid w:val="00DF3DA1"/>
    <w:rsid w:val="00DF47D6"/>
    <w:rsid w:val="00DF5A8C"/>
    <w:rsid w:val="00DF5CE1"/>
    <w:rsid w:val="00DF642E"/>
    <w:rsid w:val="00DF673A"/>
    <w:rsid w:val="00DF69EF"/>
    <w:rsid w:val="00E068E9"/>
    <w:rsid w:val="00E1051C"/>
    <w:rsid w:val="00E11EBD"/>
    <w:rsid w:val="00E12DCC"/>
    <w:rsid w:val="00E16D7F"/>
    <w:rsid w:val="00E20464"/>
    <w:rsid w:val="00E30377"/>
    <w:rsid w:val="00E31BCD"/>
    <w:rsid w:val="00E333DE"/>
    <w:rsid w:val="00E3461A"/>
    <w:rsid w:val="00E44EEB"/>
    <w:rsid w:val="00E47C6E"/>
    <w:rsid w:val="00E47FF9"/>
    <w:rsid w:val="00E52B04"/>
    <w:rsid w:val="00E569B4"/>
    <w:rsid w:val="00E573C5"/>
    <w:rsid w:val="00E60EBD"/>
    <w:rsid w:val="00E62B06"/>
    <w:rsid w:val="00E71D18"/>
    <w:rsid w:val="00E945B0"/>
    <w:rsid w:val="00EA0BA1"/>
    <w:rsid w:val="00EA261B"/>
    <w:rsid w:val="00EA4C91"/>
    <w:rsid w:val="00EA7E50"/>
    <w:rsid w:val="00EB2465"/>
    <w:rsid w:val="00EB3029"/>
    <w:rsid w:val="00EB628A"/>
    <w:rsid w:val="00EC2EF7"/>
    <w:rsid w:val="00EC53D2"/>
    <w:rsid w:val="00EC56FC"/>
    <w:rsid w:val="00ED40F5"/>
    <w:rsid w:val="00EE04E9"/>
    <w:rsid w:val="00EE06D1"/>
    <w:rsid w:val="00EE25B1"/>
    <w:rsid w:val="00EE6746"/>
    <w:rsid w:val="00EF1CCC"/>
    <w:rsid w:val="00EF24CB"/>
    <w:rsid w:val="00EF5475"/>
    <w:rsid w:val="00EF5C95"/>
    <w:rsid w:val="00F01B1A"/>
    <w:rsid w:val="00F10980"/>
    <w:rsid w:val="00F13377"/>
    <w:rsid w:val="00F138E9"/>
    <w:rsid w:val="00F2078A"/>
    <w:rsid w:val="00F24495"/>
    <w:rsid w:val="00F26B48"/>
    <w:rsid w:val="00F44AC8"/>
    <w:rsid w:val="00F54AFF"/>
    <w:rsid w:val="00F54E26"/>
    <w:rsid w:val="00F57401"/>
    <w:rsid w:val="00F640A5"/>
    <w:rsid w:val="00F67B88"/>
    <w:rsid w:val="00F758E5"/>
    <w:rsid w:val="00F84697"/>
    <w:rsid w:val="00F84A5C"/>
    <w:rsid w:val="00F85256"/>
    <w:rsid w:val="00F8597F"/>
    <w:rsid w:val="00F86253"/>
    <w:rsid w:val="00F87F4F"/>
    <w:rsid w:val="00F91E50"/>
    <w:rsid w:val="00FA013D"/>
    <w:rsid w:val="00FA19CC"/>
    <w:rsid w:val="00FA49BE"/>
    <w:rsid w:val="00FA5DB9"/>
    <w:rsid w:val="00FA6562"/>
    <w:rsid w:val="00FA7109"/>
    <w:rsid w:val="00FB216B"/>
    <w:rsid w:val="00FB2968"/>
    <w:rsid w:val="00FC1103"/>
    <w:rsid w:val="00FC3ED2"/>
    <w:rsid w:val="00FD0CBD"/>
    <w:rsid w:val="00FD2CC7"/>
    <w:rsid w:val="00FD3266"/>
    <w:rsid w:val="00FD6FFC"/>
    <w:rsid w:val="00FE108E"/>
    <w:rsid w:val="00FE1754"/>
    <w:rsid w:val="00FE6E23"/>
    <w:rsid w:val="00FE7565"/>
    <w:rsid w:val="00FE7AD5"/>
    <w:rsid w:val="00FF02E9"/>
    <w:rsid w:val="00FF0626"/>
    <w:rsid w:val="0231A5A4"/>
    <w:rsid w:val="02448A14"/>
    <w:rsid w:val="027E59F7"/>
    <w:rsid w:val="0318BA39"/>
    <w:rsid w:val="0334B802"/>
    <w:rsid w:val="037026FD"/>
    <w:rsid w:val="03DEC95A"/>
    <w:rsid w:val="03EE22B7"/>
    <w:rsid w:val="03F2BD93"/>
    <w:rsid w:val="04423E61"/>
    <w:rsid w:val="04486080"/>
    <w:rsid w:val="0459ADEB"/>
    <w:rsid w:val="05AA9DA8"/>
    <w:rsid w:val="05BDA9A3"/>
    <w:rsid w:val="05D34EDF"/>
    <w:rsid w:val="05E1D8D7"/>
    <w:rsid w:val="061AC119"/>
    <w:rsid w:val="0636B76D"/>
    <w:rsid w:val="06474EFB"/>
    <w:rsid w:val="066C58C4"/>
    <w:rsid w:val="0679CC4D"/>
    <w:rsid w:val="07A47EDE"/>
    <w:rsid w:val="07B8E8DF"/>
    <w:rsid w:val="07E2E4D7"/>
    <w:rsid w:val="0830E0A0"/>
    <w:rsid w:val="08427C28"/>
    <w:rsid w:val="084C02C5"/>
    <w:rsid w:val="0873FB23"/>
    <w:rsid w:val="08802948"/>
    <w:rsid w:val="089A73E1"/>
    <w:rsid w:val="08FEEAB2"/>
    <w:rsid w:val="091C4263"/>
    <w:rsid w:val="094672C6"/>
    <w:rsid w:val="097F270C"/>
    <w:rsid w:val="098290DB"/>
    <w:rsid w:val="09DC493E"/>
    <w:rsid w:val="0A0CE3EE"/>
    <w:rsid w:val="0A8EA158"/>
    <w:rsid w:val="0AC2C0B1"/>
    <w:rsid w:val="0B13A858"/>
    <w:rsid w:val="0BB98054"/>
    <w:rsid w:val="0C804DB8"/>
    <w:rsid w:val="0CC8C4F2"/>
    <w:rsid w:val="0CD4DC40"/>
    <w:rsid w:val="0CEC04E9"/>
    <w:rsid w:val="0CFA8BB0"/>
    <w:rsid w:val="0D938D73"/>
    <w:rsid w:val="0DAD898C"/>
    <w:rsid w:val="0DC18714"/>
    <w:rsid w:val="0DC924FA"/>
    <w:rsid w:val="0DD2D995"/>
    <w:rsid w:val="0DE95CC5"/>
    <w:rsid w:val="0E88129A"/>
    <w:rsid w:val="0EA0DC6F"/>
    <w:rsid w:val="0EA53D25"/>
    <w:rsid w:val="0EB47FBE"/>
    <w:rsid w:val="0EC5A6E1"/>
    <w:rsid w:val="0ED07462"/>
    <w:rsid w:val="0F6B2D9C"/>
    <w:rsid w:val="0FA4F0EC"/>
    <w:rsid w:val="0FC7B6FB"/>
    <w:rsid w:val="0FCC217A"/>
    <w:rsid w:val="1038874C"/>
    <w:rsid w:val="108DF26F"/>
    <w:rsid w:val="11178578"/>
    <w:rsid w:val="11653EAA"/>
    <w:rsid w:val="117D8BB2"/>
    <w:rsid w:val="11DCB623"/>
    <w:rsid w:val="12446569"/>
    <w:rsid w:val="14417E02"/>
    <w:rsid w:val="14ABD884"/>
    <w:rsid w:val="152B2A94"/>
    <w:rsid w:val="1545F3DB"/>
    <w:rsid w:val="15B558F9"/>
    <w:rsid w:val="15BE6983"/>
    <w:rsid w:val="16A390FE"/>
    <w:rsid w:val="16E3A786"/>
    <w:rsid w:val="17064A3E"/>
    <w:rsid w:val="17B21EA5"/>
    <w:rsid w:val="17EE7368"/>
    <w:rsid w:val="182DB913"/>
    <w:rsid w:val="1839B187"/>
    <w:rsid w:val="190EE847"/>
    <w:rsid w:val="1943EC38"/>
    <w:rsid w:val="194B0825"/>
    <w:rsid w:val="19ABAFB1"/>
    <w:rsid w:val="1A4BED5F"/>
    <w:rsid w:val="1A717081"/>
    <w:rsid w:val="1A945E64"/>
    <w:rsid w:val="1A97F4D2"/>
    <w:rsid w:val="1AA3D1B4"/>
    <w:rsid w:val="1ADB6E72"/>
    <w:rsid w:val="1B06F386"/>
    <w:rsid w:val="1B78DD29"/>
    <w:rsid w:val="1BB2B6E8"/>
    <w:rsid w:val="1BB3A7E6"/>
    <w:rsid w:val="1BB953C0"/>
    <w:rsid w:val="1C3917F6"/>
    <w:rsid w:val="1C65D1F0"/>
    <w:rsid w:val="1CBCDEB6"/>
    <w:rsid w:val="1CD15D55"/>
    <w:rsid w:val="1CDF8EFA"/>
    <w:rsid w:val="1CF526A7"/>
    <w:rsid w:val="1D2D8806"/>
    <w:rsid w:val="1D3B4C67"/>
    <w:rsid w:val="1D5ADBFE"/>
    <w:rsid w:val="1D954ADF"/>
    <w:rsid w:val="1E2DCE7B"/>
    <w:rsid w:val="1E86123B"/>
    <w:rsid w:val="1E9C65E8"/>
    <w:rsid w:val="1EA53811"/>
    <w:rsid w:val="1F386D7C"/>
    <w:rsid w:val="1F3C8280"/>
    <w:rsid w:val="1F4CA4DB"/>
    <w:rsid w:val="202080DB"/>
    <w:rsid w:val="209225AA"/>
    <w:rsid w:val="20A2635E"/>
    <w:rsid w:val="20E055E0"/>
    <w:rsid w:val="216F5EF3"/>
    <w:rsid w:val="217E2B3D"/>
    <w:rsid w:val="217F2DE3"/>
    <w:rsid w:val="2190A8C5"/>
    <w:rsid w:val="228B3A56"/>
    <w:rsid w:val="2290F785"/>
    <w:rsid w:val="22D3417A"/>
    <w:rsid w:val="2340420D"/>
    <w:rsid w:val="23474750"/>
    <w:rsid w:val="2387AFD0"/>
    <w:rsid w:val="23B2C3C4"/>
    <w:rsid w:val="2412B9B0"/>
    <w:rsid w:val="242A7A4D"/>
    <w:rsid w:val="25E9AD2F"/>
    <w:rsid w:val="262FF130"/>
    <w:rsid w:val="2641D360"/>
    <w:rsid w:val="26BF62E6"/>
    <w:rsid w:val="26FFAF54"/>
    <w:rsid w:val="270D4E4D"/>
    <w:rsid w:val="272F1F09"/>
    <w:rsid w:val="27506BBF"/>
    <w:rsid w:val="27948E53"/>
    <w:rsid w:val="279B7982"/>
    <w:rsid w:val="2831A9DC"/>
    <w:rsid w:val="287A9A48"/>
    <w:rsid w:val="288BE7F4"/>
    <w:rsid w:val="28A541E6"/>
    <w:rsid w:val="28DE0BD1"/>
    <w:rsid w:val="2973FB54"/>
    <w:rsid w:val="29C8F289"/>
    <w:rsid w:val="29FD0360"/>
    <w:rsid w:val="2A0AC679"/>
    <w:rsid w:val="2A200A15"/>
    <w:rsid w:val="2A20B738"/>
    <w:rsid w:val="2AA78940"/>
    <w:rsid w:val="2AB06677"/>
    <w:rsid w:val="2B0758C3"/>
    <w:rsid w:val="2B4FD9C1"/>
    <w:rsid w:val="2B99345B"/>
    <w:rsid w:val="2B9E9EA3"/>
    <w:rsid w:val="2BB59FA1"/>
    <w:rsid w:val="2C7CF179"/>
    <w:rsid w:val="2C87C894"/>
    <w:rsid w:val="2C8D0DD0"/>
    <w:rsid w:val="2CE4C336"/>
    <w:rsid w:val="2CF6F11C"/>
    <w:rsid w:val="2D294C7C"/>
    <w:rsid w:val="2D39BB8D"/>
    <w:rsid w:val="2DC8958B"/>
    <w:rsid w:val="2DCB2629"/>
    <w:rsid w:val="2DFF7057"/>
    <w:rsid w:val="2E5D32EA"/>
    <w:rsid w:val="2E7B9277"/>
    <w:rsid w:val="2EA608FB"/>
    <w:rsid w:val="2EF49929"/>
    <w:rsid w:val="2F31A6DB"/>
    <w:rsid w:val="2F8E3627"/>
    <w:rsid w:val="2F9159BE"/>
    <w:rsid w:val="2FB20C17"/>
    <w:rsid w:val="2FFE204F"/>
    <w:rsid w:val="302F5A4F"/>
    <w:rsid w:val="3113CFEC"/>
    <w:rsid w:val="314FCF98"/>
    <w:rsid w:val="318D2551"/>
    <w:rsid w:val="31A2E8CB"/>
    <w:rsid w:val="32602FE0"/>
    <w:rsid w:val="32B1F2FE"/>
    <w:rsid w:val="32FABDC9"/>
    <w:rsid w:val="333DFBC5"/>
    <w:rsid w:val="336EEA7B"/>
    <w:rsid w:val="33A497FC"/>
    <w:rsid w:val="3488666A"/>
    <w:rsid w:val="34E18433"/>
    <w:rsid w:val="350DD34A"/>
    <w:rsid w:val="356E7C6F"/>
    <w:rsid w:val="3591B8F7"/>
    <w:rsid w:val="359A3899"/>
    <w:rsid w:val="3615CB0E"/>
    <w:rsid w:val="363E8F18"/>
    <w:rsid w:val="36533937"/>
    <w:rsid w:val="36596756"/>
    <w:rsid w:val="365BD2E4"/>
    <w:rsid w:val="368A09C5"/>
    <w:rsid w:val="368B5605"/>
    <w:rsid w:val="36995FF8"/>
    <w:rsid w:val="37B2D179"/>
    <w:rsid w:val="37CDC9DB"/>
    <w:rsid w:val="37CDEB07"/>
    <w:rsid w:val="381035AA"/>
    <w:rsid w:val="38FBE45C"/>
    <w:rsid w:val="392F9174"/>
    <w:rsid w:val="3958735C"/>
    <w:rsid w:val="3A6542B9"/>
    <w:rsid w:val="3A99801E"/>
    <w:rsid w:val="3A9D5BF0"/>
    <w:rsid w:val="3AED98E3"/>
    <w:rsid w:val="3B4A81C9"/>
    <w:rsid w:val="3BB896D1"/>
    <w:rsid w:val="3BFA72AB"/>
    <w:rsid w:val="3C62139F"/>
    <w:rsid w:val="3C9B7186"/>
    <w:rsid w:val="3CAC71ED"/>
    <w:rsid w:val="3CFA3326"/>
    <w:rsid w:val="3DC4BDFA"/>
    <w:rsid w:val="3DD156E4"/>
    <w:rsid w:val="3DE2143C"/>
    <w:rsid w:val="3E516173"/>
    <w:rsid w:val="3EC02141"/>
    <w:rsid w:val="3F0B4289"/>
    <w:rsid w:val="3F39D529"/>
    <w:rsid w:val="3F6C4007"/>
    <w:rsid w:val="3F89E4FC"/>
    <w:rsid w:val="3FD676DF"/>
    <w:rsid w:val="3FDAE8B9"/>
    <w:rsid w:val="3FE53D8A"/>
    <w:rsid w:val="400EF3CD"/>
    <w:rsid w:val="4079EE2A"/>
    <w:rsid w:val="4105882D"/>
    <w:rsid w:val="41296191"/>
    <w:rsid w:val="4148D982"/>
    <w:rsid w:val="415C86D3"/>
    <w:rsid w:val="417F498D"/>
    <w:rsid w:val="418B00AA"/>
    <w:rsid w:val="41AB7689"/>
    <w:rsid w:val="42C054AE"/>
    <w:rsid w:val="42E9DAFB"/>
    <w:rsid w:val="42FBCAE7"/>
    <w:rsid w:val="431F25EF"/>
    <w:rsid w:val="4329CB52"/>
    <w:rsid w:val="43462EEB"/>
    <w:rsid w:val="43819D5E"/>
    <w:rsid w:val="443EA817"/>
    <w:rsid w:val="44401A63"/>
    <w:rsid w:val="44890E4E"/>
    <w:rsid w:val="450977E1"/>
    <w:rsid w:val="450D172F"/>
    <w:rsid w:val="45382FC7"/>
    <w:rsid w:val="458D0791"/>
    <w:rsid w:val="45A00C72"/>
    <w:rsid w:val="45A10054"/>
    <w:rsid w:val="45AA0BE0"/>
    <w:rsid w:val="45E2D2CA"/>
    <w:rsid w:val="46542123"/>
    <w:rsid w:val="46A8B751"/>
    <w:rsid w:val="46B64727"/>
    <w:rsid w:val="474F88DB"/>
    <w:rsid w:val="48044C11"/>
    <w:rsid w:val="4822F6C2"/>
    <w:rsid w:val="487EEE96"/>
    <w:rsid w:val="489FADEB"/>
    <w:rsid w:val="48ABAF35"/>
    <w:rsid w:val="491066F3"/>
    <w:rsid w:val="49DDC8A3"/>
    <w:rsid w:val="4AF1D870"/>
    <w:rsid w:val="4AFE2471"/>
    <w:rsid w:val="4B0FEFE7"/>
    <w:rsid w:val="4B27BF77"/>
    <w:rsid w:val="4B2FB216"/>
    <w:rsid w:val="4B745E9E"/>
    <w:rsid w:val="4C296A83"/>
    <w:rsid w:val="4C5B29C7"/>
    <w:rsid w:val="4C6A487D"/>
    <w:rsid w:val="4CCB5FBD"/>
    <w:rsid w:val="4D36FB21"/>
    <w:rsid w:val="4D5B5766"/>
    <w:rsid w:val="4DEA029F"/>
    <w:rsid w:val="4E01755A"/>
    <w:rsid w:val="4E49D61D"/>
    <w:rsid w:val="4E4A77A6"/>
    <w:rsid w:val="4EB3E856"/>
    <w:rsid w:val="4EB810B8"/>
    <w:rsid w:val="4F0E766D"/>
    <w:rsid w:val="4F2F1F67"/>
    <w:rsid w:val="4F64C226"/>
    <w:rsid w:val="4F73F86C"/>
    <w:rsid w:val="4F7E3A09"/>
    <w:rsid w:val="4F951D80"/>
    <w:rsid w:val="4FFC2CB9"/>
    <w:rsid w:val="5028F3D3"/>
    <w:rsid w:val="50CDB5FA"/>
    <w:rsid w:val="50F52C44"/>
    <w:rsid w:val="5101024A"/>
    <w:rsid w:val="511B9D31"/>
    <w:rsid w:val="519AFB58"/>
    <w:rsid w:val="527F3B69"/>
    <w:rsid w:val="529B9EB4"/>
    <w:rsid w:val="52ABE351"/>
    <w:rsid w:val="52C12BED"/>
    <w:rsid w:val="52D0B55D"/>
    <w:rsid w:val="535D27E6"/>
    <w:rsid w:val="53AC359B"/>
    <w:rsid w:val="53B524B2"/>
    <w:rsid w:val="53B8FB50"/>
    <w:rsid w:val="53DA6F05"/>
    <w:rsid w:val="54707442"/>
    <w:rsid w:val="54CC1C7C"/>
    <w:rsid w:val="5518D56F"/>
    <w:rsid w:val="55713C57"/>
    <w:rsid w:val="55C15E7B"/>
    <w:rsid w:val="55D15AB6"/>
    <w:rsid w:val="55F4AFDD"/>
    <w:rsid w:val="5609B161"/>
    <w:rsid w:val="561D083F"/>
    <w:rsid w:val="56447E42"/>
    <w:rsid w:val="569A53DA"/>
    <w:rsid w:val="56DE4493"/>
    <w:rsid w:val="57229E4C"/>
    <w:rsid w:val="5791291B"/>
    <w:rsid w:val="57A11621"/>
    <w:rsid w:val="57C3F158"/>
    <w:rsid w:val="58005494"/>
    <w:rsid w:val="58135BE6"/>
    <w:rsid w:val="5820B49D"/>
    <w:rsid w:val="584B3B8F"/>
    <w:rsid w:val="584E8EDB"/>
    <w:rsid w:val="589EF52A"/>
    <w:rsid w:val="58A3C482"/>
    <w:rsid w:val="58A78ADC"/>
    <w:rsid w:val="591B2870"/>
    <w:rsid w:val="592F00FF"/>
    <w:rsid w:val="593A6BF1"/>
    <w:rsid w:val="59419494"/>
    <w:rsid w:val="59898F2C"/>
    <w:rsid w:val="59B6949D"/>
    <w:rsid w:val="59C8CFCE"/>
    <w:rsid w:val="5A81BC4B"/>
    <w:rsid w:val="5AE28778"/>
    <w:rsid w:val="5AE9ED9D"/>
    <w:rsid w:val="5B05B317"/>
    <w:rsid w:val="5B134C91"/>
    <w:rsid w:val="5B249E3E"/>
    <w:rsid w:val="5B33710B"/>
    <w:rsid w:val="5B506946"/>
    <w:rsid w:val="5B983E5A"/>
    <w:rsid w:val="5B996D5D"/>
    <w:rsid w:val="5B9D44F2"/>
    <w:rsid w:val="5C64462B"/>
    <w:rsid w:val="5C8DA4D7"/>
    <w:rsid w:val="5CFB37C9"/>
    <w:rsid w:val="5D0EBADB"/>
    <w:rsid w:val="5D27426C"/>
    <w:rsid w:val="5D5DC964"/>
    <w:rsid w:val="5D853EB6"/>
    <w:rsid w:val="5D8C48E4"/>
    <w:rsid w:val="5DA26CF3"/>
    <w:rsid w:val="5DCE4142"/>
    <w:rsid w:val="5DE0C6D6"/>
    <w:rsid w:val="5E12BC86"/>
    <w:rsid w:val="5E572B89"/>
    <w:rsid w:val="5ED2539D"/>
    <w:rsid w:val="5F354012"/>
    <w:rsid w:val="5F97366C"/>
    <w:rsid w:val="5FF0B7ED"/>
    <w:rsid w:val="6012CCC8"/>
    <w:rsid w:val="604D8B28"/>
    <w:rsid w:val="609FE048"/>
    <w:rsid w:val="60B8F8D2"/>
    <w:rsid w:val="60EB24C8"/>
    <w:rsid w:val="6120A731"/>
    <w:rsid w:val="61FF4E4E"/>
    <w:rsid w:val="62019D57"/>
    <w:rsid w:val="62170F0A"/>
    <w:rsid w:val="621DCB3F"/>
    <w:rsid w:val="6237A589"/>
    <w:rsid w:val="62757CE5"/>
    <w:rsid w:val="630A9DC6"/>
    <w:rsid w:val="6326874D"/>
    <w:rsid w:val="6357CDAC"/>
    <w:rsid w:val="638171BA"/>
    <w:rsid w:val="638A1AAE"/>
    <w:rsid w:val="63E2749F"/>
    <w:rsid w:val="63F778B4"/>
    <w:rsid w:val="640752C5"/>
    <w:rsid w:val="640B68BF"/>
    <w:rsid w:val="644EEC8D"/>
    <w:rsid w:val="64956A6B"/>
    <w:rsid w:val="651BFE4A"/>
    <w:rsid w:val="657F2291"/>
    <w:rsid w:val="65A97266"/>
    <w:rsid w:val="65ED5683"/>
    <w:rsid w:val="6648E859"/>
    <w:rsid w:val="6688BFDC"/>
    <w:rsid w:val="66E1F41B"/>
    <w:rsid w:val="66EE80E7"/>
    <w:rsid w:val="66F1539C"/>
    <w:rsid w:val="670D4BD5"/>
    <w:rsid w:val="67143D93"/>
    <w:rsid w:val="674AD9FF"/>
    <w:rsid w:val="6798A484"/>
    <w:rsid w:val="67C83274"/>
    <w:rsid w:val="67F5B5ED"/>
    <w:rsid w:val="68089DE3"/>
    <w:rsid w:val="680BE855"/>
    <w:rsid w:val="6875B013"/>
    <w:rsid w:val="68C58D2C"/>
    <w:rsid w:val="696028FF"/>
    <w:rsid w:val="696393E9"/>
    <w:rsid w:val="69B9F384"/>
    <w:rsid w:val="69E601BD"/>
    <w:rsid w:val="6A4356B8"/>
    <w:rsid w:val="6AB5FB92"/>
    <w:rsid w:val="6AE04D14"/>
    <w:rsid w:val="6B39731E"/>
    <w:rsid w:val="6BB3C38B"/>
    <w:rsid w:val="6BDE6874"/>
    <w:rsid w:val="6C028A99"/>
    <w:rsid w:val="6C037F24"/>
    <w:rsid w:val="6C19B9BD"/>
    <w:rsid w:val="6C47C936"/>
    <w:rsid w:val="6CC1C826"/>
    <w:rsid w:val="6CCAC282"/>
    <w:rsid w:val="6CEB5A10"/>
    <w:rsid w:val="6D0D6F5C"/>
    <w:rsid w:val="6D2BEDE4"/>
    <w:rsid w:val="6D2F5CF0"/>
    <w:rsid w:val="6D31A36C"/>
    <w:rsid w:val="6D3A6E96"/>
    <w:rsid w:val="6D9DC2FC"/>
    <w:rsid w:val="6DFAB848"/>
    <w:rsid w:val="6E05FF84"/>
    <w:rsid w:val="6E268270"/>
    <w:rsid w:val="6E418E25"/>
    <w:rsid w:val="6E5A9531"/>
    <w:rsid w:val="6E6957A3"/>
    <w:rsid w:val="6E70D837"/>
    <w:rsid w:val="6E92A01C"/>
    <w:rsid w:val="6EDEC897"/>
    <w:rsid w:val="6F4A056C"/>
    <w:rsid w:val="7070757F"/>
    <w:rsid w:val="70CB07A4"/>
    <w:rsid w:val="7159C27C"/>
    <w:rsid w:val="71603A47"/>
    <w:rsid w:val="716838B4"/>
    <w:rsid w:val="7187154A"/>
    <w:rsid w:val="71B91900"/>
    <w:rsid w:val="71CE461D"/>
    <w:rsid w:val="71D84CA4"/>
    <w:rsid w:val="7217838F"/>
    <w:rsid w:val="727B8399"/>
    <w:rsid w:val="73121168"/>
    <w:rsid w:val="73479FD6"/>
    <w:rsid w:val="7355A345"/>
    <w:rsid w:val="739676EF"/>
    <w:rsid w:val="73B80AF2"/>
    <w:rsid w:val="7405ECD6"/>
    <w:rsid w:val="74A880C9"/>
    <w:rsid w:val="74C5433E"/>
    <w:rsid w:val="7504539E"/>
    <w:rsid w:val="752DC912"/>
    <w:rsid w:val="75D7189E"/>
    <w:rsid w:val="75DD6047"/>
    <w:rsid w:val="762ED7D8"/>
    <w:rsid w:val="76514877"/>
    <w:rsid w:val="76923B14"/>
    <w:rsid w:val="76ECE425"/>
    <w:rsid w:val="76F2349F"/>
    <w:rsid w:val="77117A27"/>
    <w:rsid w:val="7728E31D"/>
    <w:rsid w:val="77490261"/>
    <w:rsid w:val="7773AACB"/>
    <w:rsid w:val="78193003"/>
    <w:rsid w:val="78E0A1F9"/>
    <w:rsid w:val="792FD571"/>
    <w:rsid w:val="798BF84B"/>
    <w:rsid w:val="799FFF2E"/>
    <w:rsid w:val="79B1A642"/>
    <w:rsid w:val="79C4CB64"/>
    <w:rsid w:val="79F4159F"/>
    <w:rsid w:val="7A4D635E"/>
    <w:rsid w:val="7A607D30"/>
    <w:rsid w:val="7A7AA323"/>
    <w:rsid w:val="7ABC2C08"/>
    <w:rsid w:val="7B1CECB6"/>
    <w:rsid w:val="7B62FAF5"/>
    <w:rsid w:val="7BDC99FF"/>
    <w:rsid w:val="7C124175"/>
    <w:rsid w:val="7CB3DB3A"/>
    <w:rsid w:val="7CB46211"/>
    <w:rsid w:val="7D12FD1B"/>
    <w:rsid w:val="7D8E3FD8"/>
    <w:rsid w:val="7D9164E9"/>
    <w:rsid w:val="7E1602EE"/>
    <w:rsid w:val="7E282A53"/>
    <w:rsid w:val="7E29018F"/>
    <w:rsid w:val="7E5B5788"/>
    <w:rsid w:val="7EA73304"/>
    <w:rsid w:val="7F17CCB8"/>
    <w:rsid w:val="7F9057F1"/>
    <w:rsid w:val="7FA784B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7"/>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7"/>
      </w:numPr>
      <w:spacing w:before="240" w:after="60"/>
      <w:outlineLvl w:val="4"/>
    </w:pPr>
    <w:rPr>
      <w:rFonts w:ascii="Arial" w:hAnsi="Arial"/>
    </w:rPr>
  </w:style>
  <w:style w:type="paragraph" w:styleId="Kop6">
    <w:name w:val="heading 6"/>
    <w:basedOn w:val="Standaard"/>
    <w:next w:val="Standaard"/>
    <w:qFormat/>
    <w:pPr>
      <w:numPr>
        <w:ilvl w:val="5"/>
        <w:numId w:val="7"/>
      </w:numPr>
      <w:spacing w:before="240" w:after="60"/>
      <w:outlineLvl w:val="5"/>
    </w:pPr>
    <w:rPr>
      <w:rFonts w:ascii="Arial" w:hAnsi="Arial"/>
      <w:i/>
    </w:rPr>
  </w:style>
  <w:style w:type="paragraph" w:styleId="Kop7">
    <w:name w:val="heading 7"/>
    <w:basedOn w:val="Standaard"/>
    <w:next w:val="Standaard"/>
    <w:qFormat/>
    <w:pPr>
      <w:numPr>
        <w:ilvl w:val="6"/>
        <w:numId w:val="7"/>
      </w:numPr>
      <w:spacing w:before="240" w:after="60"/>
      <w:outlineLvl w:val="6"/>
    </w:pPr>
    <w:rPr>
      <w:rFonts w:ascii="Arial" w:hAnsi="Arial"/>
      <w:sz w:val="20"/>
    </w:rPr>
  </w:style>
  <w:style w:type="paragraph" w:styleId="Kop8">
    <w:name w:val="heading 8"/>
    <w:basedOn w:val="Standaard"/>
    <w:next w:val="Standaard"/>
    <w:qFormat/>
    <w:pPr>
      <w:numPr>
        <w:ilvl w:val="7"/>
        <w:numId w:val="7"/>
      </w:numPr>
      <w:spacing w:before="240" w:after="60"/>
      <w:outlineLvl w:val="7"/>
    </w:pPr>
    <w:rPr>
      <w:rFonts w:ascii="Arial" w:hAnsi="Arial"/>
      <w:i/>
      <w:sz w:val="20"/>
    </w:rPr>
  </w:style>
  <w:style w:type="paragraph" w:styleId="Kop9">
    <w:name w:val="heading 9"/>
    <w:basedOn w:val="Standaard"/>
    <w:next w:val="Standaard"/>
    <w:qFormat/>
    <w:pPr>
      <w:numPr>
        <w:ilvl w:val="8"/>
        <w:numId w:val="7"/>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29"/>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 w:type="paragraph" w:styleId="Geenafstand">
    <w:name w:val="No Spacing"/>
    <w:uiPriority w:val="1"/>
    <w:qFormat/>
    <w:rsid w:val="0030099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05571">
      <w:bodyDiv w:val="1"/>
      <w:marLeft w:val="0"/>
      <w:marRight w:val="0"/>
      <w:marTop w:val="0"/>
      <w:marBottom w:val="0"/>
      <w:divBdr>
        <w:top w:val="none" w:sz="0" w:space="0" w:color="auto"/>
        <w:left w:val="none" w:sz="0" w:space="0" w:color="auto"/>
        <w:bottom w:val="none" w:sz="0" w:space="0" w:color="auto"/>
        <w:right w:val="none" w:sz="0" w:space="0" w:color="auto"/>
      </w:divBdr>
    </w:div>
    <w:div w:id="591596432">
      <w:bodyDiv w:val="1"/>
      <w:marLeft w:val="0"/>
      <w:marRight w:val="0"/>
      <w:marTop w:val="0"/>
      <w:marBottom w:val="0"/>
      <w:divBdr>
        <w:top w:val="none" w:sz="0" w:space="0" w:color="auto"/>
        <w:left w:val="none" w:sz="0" w:space="0" w:color="auto"/>
        <w:bottom w:val="none" w:sz="0" w:space="0" w:color="auto"/>
        <w:right w:val="none" w:sz="0" w:space="0" w:color="auto"/>
      </w:divBdr>
    </w:div>
    <w:div w:id="743842861">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47134882">
      <w:bodyDiv w:val="1"/>
      <w:marLeft w:val="0"/>
      <w:marRight w:val="0"/>
      <w:marTop w:val="0"/>
      <w:marBottom w:val="0"/>
      <w:divBdr>
        <w:top w:val="none" w:sz="0" w:space="0" w:color="auto"/>
        <w:left w:val="none" w:sz="0" w:space="0" w:color="auto"/>
        <w:bottom w:val="none" w:sz="0" w:space="0" w:color="auto"/>
        <w:right w:val="none" w:sz="0" w:space="0" w:color="auto"/>
      </w:divBdr>
    </w:div>
    <w:div w:id="1112241090">
      <w:bodyDiv w:val="1"/>
      <w:marLeft w:val="0"/>
      <w:marRight w:val="0"/>
      <w:marTop w:val="0"/>
      <w:marBottom w:val="0"/>
      <w:divBdr>
        <w:top w:val="none" w:sz="0" w:space="0" w:color="auto"/>
        <w:left w:val="none" w:sz="0" w:space="0" w:color="auto"/>
        <w:bottom w:val="none" w:sz="0" w:space="0" w:color="auto"/>
        <w:right w:val="none" w:sz="0" w:space="0" w:color="auto"/>
      </w:divBdr>
    </w:div>
    <w:div w:id="1604923085">
      <w:bodyDiv w:val="1"/>
      <w:marLeft w:val="0"/>
      <w:marRight w:val="0"/>
      <w:marTop w:val="0"/>
      <w:marBottom w:val="0"/>
      <w:divBdr>
        <w:top w:val="none" w:sz="0" w:space="0" w:color="auto"/>
        <w:left w:val="none" w:sz="0" w:space="0" w:color="auto"/>
        <w:bottom w:val="none" w:sz="0" w:space="0" w:color="auto"/>
        <w:right w:val="none" w:sz="0" w:space="0" w:color="auto"/>
      </w:divBdr>
    </w:div>
    <w:div w:id="1678271709">
      <w:bodyDiv w:val="1"/>
      <w:marLeft w:val="0"/>
      <w:marRight w:val="0"/>
      <w:marTop w:val="0"/>
      <w:marBottom w:val="0"/>
      <w:divBdr>
        <w:top w:val="none" w:sz="0" w:space="0" w:color="auto"/>
        <w:left w:val="none" w:sz="0" w:space="0" w:color="auto"/>
        <w:bottom w:val="none" w:sz="0" w:space="0" w:color="auto"/>
        <w:right w:val="none" w:sz="0" w:space="0" w:color="auto"/>
      </w:divBdr>
    </w:div>
    <w:div w:id="1997108109">
      <w:bodyDiv w:val="1"/>
      <w:marLeft w:val="0"/>
      <w:marRight w:val="0"/>
      <w:marTop w:val="0"/>
      <w:marBottom w:val="0"/>
      <w:divBdr>
        <w:top w:val="none" w:sz="0" w:space="0" w:color="auto"/>
        <w:left w:val="none" w:sz="0" w:space="0" w:color="auto"/>
        <w:bottom w:val="none" w:sz="0" w:space="0" w:color="auto"/>
        <w:right w:val="none" w:sz="0" w:space="0" w:color="auto"/>
      </w:divBdr>
    </w:div>
    <w:div w:id="2012103375">
      <w:bodyDiv w:val="1"/>
      <w:marLeft w:val="0"/>
      <w:marRight w:val="0"/>
      <w:marTop w:val="0"/>
      <w:marBottom w:val="0"/>
      <w:divBdr>
        <w:top w:val="none" w:sz="0" w:space="0" w:color="auto"/>
        <w:left w:val="none" w:sz="0" w:space="0" w:color="auto"/>
        <w:bottom w:val="none" w:sz="0" w:space="0" w:color="auto"/>
        <w:right w:val="none" w:sz="0" w:space="0" w:color="auto"/>
      </w:divBdr>
    </w:div>
    <w:div w:id="21330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3A52025DC0835&amp;qid=1763724620726"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1/19/kamerbrief-actieprogramma-duurzame-digitalisering-2026-2028" TargetMode="External"/><Relationship Id="rId2" Type="http://schemas.openxmlformats.org/officeDocument/2006/relationships/hyperlink" Target="https://www.digitaleoverheid.nl/nederlandse-digitaliseringsstrategie-nds/" TargetMode="External"/><Relationship Id="rId1" Type="http://schemas.openxmlformats.org/officeDocument/2006/relationships/hyperlink" Target="https://www.rijksoverheid.nl/documenten/kamerstukken/2025/10/17/kamerbrief-industriebeleid-met-focus" TargetMode="External"/><Relationship Id="rId4" Type="http://schemas.openxmlformats.org/officeDocument/2006/relationships/hyperlink" Target="https://www.rijksoverheid.nl/documenten/rapporten/2025/10/06/reactie-consultatie-data-unie-strate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3547</ap:Words>
  <ap:Characters>19513</ap:Characters>
  <ap:DocSecurity>0</ap:DocSecurity>
  <ap:Lines>162</ap:Lines>
  <ap:Paragraphs>46</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23014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2025-12-17T09:44:00.0000000Z</lastPrinted>
  <dcterms:created xsi:type="dcterms:W3CDTF">2026-01-19T13:56:00.0000000Z</dcterms:created>
  <dcterms:modified xsi:type="dcterms:W3CDTF">2026-01-19T13:56:00.0000000Z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0x01010038E60350FC170647B310166F2EB204D8</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MSIP_Label_6800fede-0e59-47ad-af95-4e63bbdb932d_Enabled">
    <vt:lpwstr>true</vt:lpwstr>
  </property>
  <property fmtid="{D5CDD505-2E9C-101B-9397-08002B2CF9AE}" pid="21" name="MSIP_Label_6800fede-0e59-47ad-af95-4e63bbdb932d_SetDate">
    <vt:lpwstr>2025-12-09T12:43:51Z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30009a3f-192f-4262-9d97-362554eeb666</vt:lpwstr>
  </property>
  <property fmtid="{D5CDD505-2E9C-101B-9397-08002B2CF9AE}" pid="26" name="MSIP_Label_6800fede-0e59-47ad-af95-4e63bbdb932d_ContentBits">
    <vt:lpwstr>0</vt:lpwstr>
  </property>
  <property fmtid="{D5CDD505-2E9C-101B-9397-08002B2CF9AE}" pid="27" name="_dlc_DocIdItemGuid">
    <vt:lpwstr>36de171d-f6c7-4360-bdb3-1edcb0b3642c</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BZClassification">
    <vt:lpwstr>4;#UNCLASSIFIED (U)|284e6a62-15ab-4017-be27-a1e965f4e940</vt:lpwstr>
  </property>
  <property fmtid="{D5CDD505-2E9C-101B-9397-08002B2CF9AE}" pid="33" name="_docset_NoMedatataSyncRequired">
    <vt:lpwstr>False</vt:lpwstr>
  </property>
</Properties>
</file>