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B7AF8" w:rsidTr="00D9561B" w14:paraId="38B39815" w14:textId="77777777">
        <w:trPr>
          <w:trHeight w:val="1514"/>
        </w:trPr>
        <w:tc>
          <w:tcPr>
            <w:tcW w:w="7522" w:type="dxa"/>
            <w:tcBorders>
              <w:top w:val="nil"/>
              <w:left w:val="nil"/>
              <w:bottom w:val="nil"/>
              <w:right w:val="nil"/>
            </w:tcBorders>
            <w:tcMar>
              <w:left w:w="0" w:type="dxa"/>
              <w:right w:w="0" w:type="dxa"/>
            </w:tcMar>
          </w:tcPr>
          <w:p w:rsidR="00374412" w:rsidP="008D6A45" w:rsidRDefault="0097066F" w14:paraId="6058501E" w14:textId="77777777">
            <w:pPr>
              <w:spacing w:line="240" w:lineRule="auto"/>
            </w:pPr>
            <w:r>
              <w:t>De v</w:t>
            </w:r>
            <w:r w:rsidR="008E3932">
              <w:t>oorzitter van de Tweede Kamer der Staten-Generaal</w:t>
            </w:r>
          </w:p>
          <w:p w:rsidR="00374412" w:rsidP="008D6A45" w:rsidRDefault="0097066F" w14:paraId="37066A3D" w14:textId="77777777">
            <w:pPr>
              <w:spacing w:line="240" w:lineRule="auto"/>
            </w:pPr>
            <w:r>
              <w:t>Postbus 20018</w:t>
            </w:r>
          </w:p>
          <w:p w:rsidR="008E3932" w:rsidP="008D6A45" w:rsidRDefault="0097066F" w14:paraId="0C2669C0" w14:textId="77777777">
            <w:pPr>
              <w:spacing w:line="240" w:lineRule="auto"/>
            </w:pPr>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B7AF8" w:rsidTr="00FF66F9" w14:paraId="58A8F21B" w14:textId="77777777">
        <w:trPr>
          <w:trHeight w:val="289" w:hRule="exact"/>
        </w:trPr>
        <w:tc>
          <w:tcPr>
            <w:tcW w:w="929" w:type="dxa"/>
          </w:tcPr>
          <w:p w:rsidRPr="00434042" w:rsidR="0005404B" w:rsidP="008D6A45" w:rsidRDefault="0097066F" w14:paraId="5CDE3358" w14:textId="77777777">
            <w:pPr>
              <w:spacing w:line="240" w:lineRule="auto"/>
              <w:rPr>
                <w:lang w:eastAsia="en-US"/>
              </w:rPr>
            </w:pPr>
            <w:r>
              <w:rPr>
                <w:lang w:eastAsia="en-US"/>
              </w:rPr>
              <w:t>Datum</w:t>
            </w:r>
          </w:p>
        </w:tc>
        <w:tc>
          <w:tcPr>
            <w:tcW w:w="6581" w:type="dxa"/>
          </w:tcPr>
          <w:p w:rsidRPr="00434042" w:rsidR="0005404B" w:rsidP="008D6A45" w:rsidRDefault="00837CFB" w14:paraId="5364AF61" w14:textId="7B52AC32">
            <w:pPr>
              <w:spacing w:line="240" w:lineRule="auto"/>
              <w:rPr>
                <w:lang w:eastAsia="en-US"/>
              </w:rPr>
            </w:pPr>
            <w:r>
              <w:rPr>
                <w:lang w:eastAsia="en-US"/>
              </w:rPr>
              <w:t>19 december 2025</w:t>
            </w:r>
          </w:p>
        </w:tc>
      </w:tr>
      <w:tr w:rsidR="00FB7AF8" w:rsidTr="00FF66F9" w14:paraId="25690F3F" w14:textId="77777777">
        <w:trPr>
          <w:trHeight w:val="368"/>
        </w:trPr>
        <w:tc>
          <w:tcPr>
            <w:tcW w:w="929" w:type="dxa"/>
          </w:tcPr>
          <w:p w:rsidR="0005404B" w:rsidP="008D6A45" w:rsidRDefault="0097066F" w14:paraId="645CD5CA" w14:textId="77777777">
            <w:pPr>
              <w:spacing w:line="240" w:lineRule="auto"/>
              <w:rPr>
                <w:lang w:eastAsia="en-US"/>
              </w:rPr>
            </w:pPr>
            <w:r>
              <w:rPr>
                <w:lang w:eastAsia="en-US"/>
              </w:rPr>
              <w:t>Betreft</w:t>
            </w:r>
          </w:p>
        </w:tc>
        <w:tc>
          <w:tcPr>
            <w:tcW w:w="6581" w:type="dxa"/>
          </w:tcPr>
          <w:p w:rsidR="0005404B" w:rsidP="008D6A45" w:rsidRDefault="0097066F" w14:paraId="58829A5F" w14:textId="77777777">
            <w:pPr>
              <w:spacing w:line="240" w:lineRule="auto"/>
              <w:rPr>
                <w:lang w:eastAsia="en-US"/>
              </w:rPr>
            </w:pPr>
            <w:r>
              <w:rPr>
                <w:lang w:eastAsia="en-US"/>
              </w:rPr>
              <w:t>Wettelijke verplichting voor loon- en prijsbijstelling in het onderwijs</w:t>
            </w:r>
          </w:p>
        </w:tc>
      </w:tr>
    </w:tbl>
    <w:tbl>
      <w:tblPr>
        <w:tblpPr w:leftFromText="142" w:rightFromText="142" w:vertAnchor="page" w:horzAnchor="page" w:tblpX="9226" w:tblpY="3046"/>
        <w:tblW w:w="2160" w:type="dxa"/>
        <w:tblLayout w:type="fixed"/>
        <w:tblCellMar>
          <w:left w:w="0" w:type="dxa"/>
          <w:right w:w="0" w:type="dxa"/>
        </w:tblCellMar>
        <w:tblLook w:val="0000" w:firstRow="0" w:lastRow="0" w:firstColumn="0" w:lastColumn="0" w:noHBand="0" w:noVBand="0"/>
      </w:tblPr>
      <w:tblGrid>
        <w:gridCol w:w="2160"/>
      </w:tblGrid>
      <w:tr w:rsidR="006B6F58" w:rsidTr="006B6F58" w14:paraId="3B0D1555" w14:textId="77777777">
        <w:tc>
          <w:tcPr>
            <w:tcW w:w="2160" w:type="dxa"/>
          </w:tcPr>
          <w:p w:rsidRPr="00F53C9D" w:rsidR="006B6F58" w:rsidP="008D6A45" w:rsidRDefault="006B6F58" w14:paraId="0B3AD25F" w14:textId="77777777">
            <w:pPr>
              <w:pStyle w:val="Colofonkop"/>
              <w:framePr w:hSpace="0" w:wrap="auto" w:hAnchor="text" w:vAnchor="margin" w:xAlign="left" w:yAlign="inline"/>
              <w:spacing w:line="240" w:lineRule="auto"/>
            </w:pPr>
            <w:r>
              <w:t>Financieel-Economische Zaken</w:t>
            </w:r>
          </w:p>
          <w:p w:rsidR="00FC623F" w:rsidP="008D6A45" w:rsidRDefault="00FC623F" w14:paraId="25B2A9B5" w14:textId="77777777">
            <w:pPr>
              <w:pStyle w:val="Huisstijl-Gegeven"/>
              <w:spacing w:after="0" w:line="240" w:lineRule="auto"/>
            </w:pPr>
          </w:p>
          <w:p w:rsidR="006B6F58" w:rsidP="008D6A45" w:rsidRDefault="006B6F58" w14:paraId="6AA54D18" w14:textId="1A901CEE">
            <w:pPr>
              <w:pStyle w:val="Huisstijl-Gegeven"/>
              <w:spacing w:after="0" w:line="240" w:lineRule="auto"/>
            </w:pPr>
            <w:r>
              <w:t xml:space="preserve">Rijnstraat 50 </w:t>
            </w:r>
          </w:p>
          <w:p w:rsidR="006B6F58" w:rsidP="008D6A45" w:rsidRDefault="006B6F58" w14:paraId="628B6F9A" w14:textId="77777777">
            <w:pPr>
              <w:pStyle w:val="Huisstijl-Gegeven"/>
              <w:spacing w:after="0" w:line="240" w:lineRule="auto"/>
            </w:pPr>
            <w:r>
              <w:t>Den Haag</w:t>
            </w:r>
          </w:p>
          <w:p w:rsidRPr="00E654AF" w:rsidR="006B6F58" w:rsidP="008D6A45" w:rsidRDefault="006B6F58" w14:paraId="1A4557A4" w14:textId="77777777">
            <w:pPr>
              <w:pStyle w:val="Huisstijl-Gegeven"/>
              <w:spacing w:after="0" w:line="240" w:lineRule="auto"/>
              <w:rPr>
                <w:lang w:val="sv-SE"/>
              </w:rPr>
            </w:pPr>
            <w:r w:rsidRPr="00E654AF">
              <w:rPr>
                <w:lang w:val="sv-SE"/>
              </w:rPr>
              <w:t>Postbus 16375</w:t>
            </w:r>
          </w:p>
          <w:p w:rsidRPr="00E654AF" w:rsidR="006B6F58" w:rsidP="008D6A45" w:rsidRDefault="006B6F58" w14:paraId="713FE93F" w14:textId="77777777">
            <w:pPr>
              <w:pStyle w:val="Huisstijl-Gegeven"/>
              <w:spacing w:after="0" w:line="240" w:lineRule="auto"/>
              <w:rPr>
                <w:lang w:val="sv-SE"/>
              </w:rPr>
            </w:pPr>
            <w:r w:rsidRPr="00E654AF">
              <w:rPr>
                <w:lang w:val="sv-SE"/>
              </w:rPr>
              <w:t>2500 BJ Den Haag</w:t>
            </w:r>
          </w:p>
          <w:p w:rsidRPr="00E654AF" w:rsidR="006B6F58" w:rsidP="008D6A45" w:rsidRDefault="006B6F58" w14:paraId="3BE3F858" w14:textId="77777777">
            <w:pPr>
              <w:pStyle w:val="Huisstijl-Gegeven"/>
              <w:spacing w:after="0" w:line="240" w:lineRule="auto"/>
              <w:rPr>
                <w:lang w:val="sv-SE"/>
              </w:rPr>
            </w:pPr>
            <w:r w:rsidRPr="00E654AF">
              <w:rPr>
                <w:lang w:val="sv-SE"/>
              </w:rPr>
              <w:t>www.rijksoverheid.nl</w:t>
            </w:r>
          </w:p>
          <w:p w:rsidRPr="00154D55" w:rsidR="00FC623F" w:rsidP="008D6A45" w:rsidRDefault="00FC623F" w14:paraId="6F369D49" w14:textId="77777777">
            <w:pPr>
              <w:spacing w:line="240" w:lineRule="auto"/>
              <w:rPr>
                <w:b/>
                <w:sz w:val="13"/>
                <w:szCs w:val="13"/>
                <w:lang w:val="sv-SE"/>
              </w:rPr>
            </w:pPr>
          </w:p>
          <w:p w:rsidRPr="00D86CC6" w:rsidR="006B6F58" w:rsidP="008D6A45" w:rsidRDefault="006B6F58" w14:paraId="33BB1585" w14:textId="5ED6BDA7">
            <w:pPr>
              <w:spacing w:line="240" w:lineRule="auto"/>
              <w:rPr>
                <w:b/>
                <w:sz w:val="13"/>
                <w:szCs w:val="13"/>
              </w:rPr>
            </w:pPr>
            <w:r>
              <w:rPr>
                <w:b/>
                <w:sz w:val="13"/>
                <w:szCs w:val="13"/>
              </w:rPr>
              <w:t>Contactpersoon</w:t>
            </w:r>
          </w:p>
          <w:p w:rsidRPr="00A32073" w:rsidR="006B6F58" w:rsidP="008D6A45" w:rsidRDefault="006B6F58" w14:paraId="2B356915" w14:textId="77777777">
            <w:pPr>
              <w:spacing w:line="240" w:lineRule="auto"/>
              <w:rPr>
                <w:sz w:val="13"/>
                <w:szCs w:val="13"/>
              </w:rPr>
            </w:pPr>
          </w:p>
        </w:tc>
      </w:tr>
      <w:tr w:rsidR="006B6F58" w:rsidTr="006B6F58" w14:paraId="710B392D" w14:textId="77777777">
        <w:trPr>
          <w:trHeight w:val="200" w:hRule="exact"/>
        </w:trPr>
        <w:tc>
          <w:tcPr>
            <w:tcW w:w="2160" w:type="dxa"/>
          </w:tcPr>
          <w:p w:rsidRPr="00356D2B" w:rsidR="006B6F58" w:rsidP="008D6A45" w:rsidRDefault="006B6F58" w14:paraId="7FF83B63" w14:textId="77777777">
            <w:pPr>
              <w:spacing w:line="240" w:lineRule="auto"/>
              <w:rPr>
                <w:sz w:val="13"/>
                <w:szCs w:val="13"/>
              </w:rPr>
            </w:pPr>
          </w:p>
        </w:tc>
      </w:tr>
      <w:tr w:rsidR="006B6F58" w:rsidTr="006B6F58" w14:paraId="3E7756C2" w14:textId="77777777">
        <w:trPr>
          <w:trHeight w:val="450"/>
        </w:trPr>
        <w:tc>
          <w:tcPr>
            <w:tcW w:w="2160" w:type="dxa"/>
          </w:tcPr>
          <w:p w:rsidR="006B6F58" w:rsidP="008D6A45" w:rsidRDefault="006B6F58" w14:paraId="569D690F" w14:textId="77777777">
            <w:pPr>
              <w:spacing w:line="240" w:lineRule="auto"/>
              <w:rPr>
                <w:b/>
                <w:sz w:val="13"/>
                <w:szCs w:val="13"/>
              </w:rPr>
            </w:pPr>
            <w:r>
              <w:rPr>
                <w:b/>
                <w:sz w:val="13"/>
                <w:szCs w:val="13"/>
              </w:rPr>
              <w:t>Onze referentie</w:t>
            </w:r>
          </w:p>
          <w:p w:rsidRPr="00FA7882" w:rsidR="006B6F58" w:rsidP="008D6A45" w:rsidRDefault="00884710" w14:paraId="6FD44C13" w14:textId="4A8110E9">
            <w:pPr>
              <w:spacing w:line="240" w:lineRule="auto"/>
              <w:rPr>
                <w:sz w:val="13"/>
                <w:szCs w:val="13"/>
              </w:rPr>
            </w:pPr>
            <w:r>
              <w:rPr>
                <w:sz w:val="13"/>
                <w:szCs w:val="13"/>
              </w:rPr>
              <w:t>59114513</w:t>
            </w:r>
          </w:p>
        </w:tc>
      </w:tr>
      <w:tr w:rsidR="006B6F58" w:rsidTr="006B6F58" w14:paraId="03D9A81A" w14:textId="77777777">
        <w:trPr>
          <w:trHeight w:val="113"/>
        </w:trPr>
        <w:tc>
          <w:tcPr>
            <w:tcW w:w="2160" w:type="dxa"/>
          </w:tcPr>
          <w:p w:rsidRPr="00C5333A" w:rsidR="006B6F58" w:rsidP="008D6A45" w:rsidRDefault="006B6F58" w14:paraId="03483303" w14:textId="77777777">
            <w:pPr>
              <w:tabs>
                <w:tab w:val="center" w:pos="1080"/>
              </w:tabs>
              <w:spacing w:line="240" w:lineRule="auto"/>
              <w:rPr>
                <w:sz w:val="13"/>
                <w:szCs w:val="13"/>
              </w:rPr>
            </w:pPr>
            <w:r>
              <w:rPr>
                <w:b/>
                <w:sz w:val="13"/>
                <w:szCs w:val="13"/>
              </w:rPr>
              <w:t>Bijlagen</w:t>
            </w:r>
          </w:p>
        </w:tc>
      </w:tr>
      <w:tr w:rsidR="006B6F58" w:rsidTr="006B6F58" w14:paraId="72FCC5B2" w14:textId="77777777">
        <w:trPr>
          <w:trHeight w:val="113"/>
        </w:trPr>
        <w:tc>
          <w:tcPr>
            <w:tcW w:w="2160" w:type="dxa"/>
          </w:tcPr>
          <w:p w:rsidRPr="00D74F66" w:rsidR="006B6F58" w:rsidP="008D6A45" w:rsidRDefault="006B6F58" w14:paraId="50128ECA" w14:textId="77777777">
            <w:pPr>
              <w:spacing w:line="240" w:lineRule="auto"/>
              <w:rPr>
                <w:sz w:val="13"/>
              </w:rPr>
            </w:pPr>
          </w:p>
        </w:tc>
      </w:tr>
    </w:tbl>
    <w:p w:rsidR="00774A9A" w:rsidP="00774A9A" w:rsidRDefault="00774A9A" w14:paraId="0AEDC066" w14:textId="60B8E9EC">
      <w:pPr>
        <w:spacing w:line="240" w:lineRule="auto"/>
        <w:rPr>
          <w:szCs w:val="18"/>
        </w:rPr>
      </w:pPr>
      <w:r w:rsidRPr="00D81937">
        <w:rPr>
          <w:szCs w:val="18"/>
        </w:rPr>
        <w:t xml:space="preserve">In deze brief </w:t>
      </w:r>
      <w:r w:rsidR="00891161">
        <w:rPr>
          <w:szCs w:val="18"/>
        </w:rPr>
        <w:t xml:space="preserve">gaan we in op de indexatie van overheidsuitgaven, in het bijzonder op de OCW-begroting en </w:t>
      </w:r>
      <w:r w:rsidRPr="00D81937">
        <w:rPr>
          <w:szCs w:val="18"/>
        </w:rPr>
        <w:t xml:space="preserve">leggen we uit hoe de prijsbijstelling wettelijk verplicht kan worden in alle onderwijssectoren. </w:t>
      </w:r>
      <w:r w:rsidR="001E2527">
        <w:rPr>
          <w:szCs w:val="18"/>
        </w:rPr>
        <w:t>Hiermee</w:t>
      </w:r>
      <w:r w:rsidRPr="00D81937" w:rsidR="001E2527">
        <w:rPr>
          <w:szCs w:val="18"/>
        </w:rPr>
        <w:t xml:space="preserve"> </w:t>
      </w:r>
      <w:r w:rsidRPr="00D81937">
        <w:rPr>
          <w:szCs w:val="18"/>
        </w:rPr>
        <w:t>voldoen we aan de toezegging uit het commissiedebat over het mbo van 1 oktober 2025 en geven we uitvoering aan de motie-Vijlbrief c.s.</w:t>
      </w:r>
      <w:r w:rsidRPr="00D81937">
        <w:rPr>
          <w:rStyle w:val="Kop3Char"/>
          <w:sz w:val="18"/>
          <w:szCs w:val="18"/>
        </w:rPr>
        <w:t xml:space="preserve"> </w:t>
      </w:r>
      <w:r w:rsidRPr="00D81937">
        <w:rPr>
          <w:rStyle w:val="Voetnootmarkering"/>
          <w:szCs w:val="18"/>
        </w:rPr>
        <w:footnoteReference w:id="1"/>
      </w:r>
      <w:r w:rsidRPr="00D81937">
        <w:rPr>
          <w:szCs w:val="18"/>
        </w:rPr>
        <w:t xml:space="preserve"> uit de Algemene Financiële Beschouwingen. De motie en de toezegging hebben niet precies dezelfde reikwijdte. Daarom beantwoorden wij alle vragen voor alle onderwijssectoren. Voor de overige OCW-sectoren (cultuur, onderzoek en emancipatie) is dit niet uitgewerkt, omdat hier niet om is gevraagd. We beschrijven wel de mogelijke uitstralingseffecten naar deze sectoren als er meer wettelijke verplichtingen komen binnen het onderwijs.</w:t>
      </w:r>
    </w:p>
    <w:p w:rsidR="001E2527" w:rsidP="00774A9A" w:rsidRDefault="001E2527" w14:paraId="565934B9" w14:textId="77777777">
      <w:pPr>
        <w:spacing w:line="240" w:lineRule="auto"/>
        <w:rPr>
          <w:szCs w:val="18"/>
        </w:rPr>
      </w:pPr>
    </w:p>
    <w:p w:rsidR="001E2527" w:rsidP="00774A9A" w:rsidRDefault="001E2527" w14:paraId="31F6C37E" w14:textId="5069C7DB">
      <w:pPr>
        <w:spacing w:line="240" w:lineRule="auto"/>
        <w:rPr>
          <w:b/>
          <w:bCs/>
          <w:szCs w:val="18"/>
        </w:rPr>
      </w:pPr>
      <w:r>
        <w:rPr>
          <w:b/>
          <w:bCs/>
          <w:szCs w:val="18"/>
        </w:rPr>
        <w:t>Indexatie overheidsuitgaven</w:t>
      </w:r>
    </w:p>
    <w:p w:rsidR="001E2527" w:rsidP="001E2527" w:rsidRDefault="001E2527" w14:paraId="0B0F9816" w14:textId="1B80B708">
      <w:pPr>
        <w:spacing w:line="240" w:lineRule="auto"/>
        <w:rPr>
          <w:szCs w:val="18"/>
        </w:rPr>
      </w:pPr>
      <w:r w:rsidRPr="007128BB">
        <w:rPr>
          <w:szCs w:val="18"/>
        </w:rPr>
        <w:t>Het uitgavenkader wordt aan het begin van de kabinetsperiode vastgesteld inclusief de nominale ontwikkeling. De hoogte van het uitgavenkader wordt gedurende de kabinetsperiode aangepast aan de onafhankelĳke indices voor loon- en prĳsontwikkeling van het CPB.</w:t>
      </w:r>
      <w:r>
        <w:rPr>
          <w:szCs w:val="18"/>
        </w:rPr>
        <w:t xml:space="preserve"> I</w:t>
      </w:r>
      <w:r w:rsidRPr="003B0C7F">
        <w:rPr>
          <w:szCs w:val="18"/>
        </w:rPr>
        <w:t>ndexatie</w:t>
      </w:r>
      <w:r>
        <w:rPr>
          <w:szCs w:val="18"/>
        </w:rPr>
        <w:t xml:space="preserve"> van overheidsuitgaven, ook wel loon- en prijsbijstelling, zorgt</w:t>
      </w:r>
      <w:r w:rsidRPr="003B0C7F">
        <w:rPr>
          <w:szCs w:val="18"/>
        </w:rPr>
        <w:t xml:space="preserve"> ervoor dat de voorzieningen die de overheid aanbiedt niet afhankelĳk zĳn van de ontwikkeling van de lonen en prĳzen, maar enkel van de beleidskeuzes die worden gemaakt.</w:t>
      </w:r>
    </w:p>
    <w:p w:rsidR="001E2527" w:rsidP="001E2527" w:rsidRDefault="001E2527" w14:paraId="704A4CAC" w14:textId="77777777">
      <w:pPr>
        <w:spacing w:line="240" w:lineRule="auto"/>
        <w:rPr>
          <w:szCs w:val="18"/>
        </w:rPr>
      </w:pPr>
    </w:p>
    <w:p w:rsidRPr="00D81937" w:rsidR="001E2527" w:rsidP="001E2527" w:rsidRDefault="001E2527" w14:paraId="6D6C43AA" w14:textId="085AC78D">
      <w:pPr>
        <w:spacing w:line="240" w:lineRule="auto"/>
        <w:rPr>
          <w:szCs w:val="18"/>
        </w:rPr>
      </w:pPr>
      <w:bookmarkStart w:name="_Hlk214533483" w:id="0"/>
      <w:r w:rsidRPr="00F667C3">
        <w:rPr>
          <w:szCs w:val="18"/>
        </w:rPr>
        <w:t>Het kabinet besluit jaarlijks bij de Voorjaarsnota of de loon- en prijsbijstelling wordt toegevoegd aan de begrotingen.</w:t>
      </w:r>
      <w:r>
        <w:rPr>
          <w:szCs w:val="18"/>
        </w:rPr>
        <w:t xml:space="preserve"> Dit besluit is onderdeel van de integrale afweging tijdens het hoofdbesluitvormingsmoment. </w:t>
      </w:r>
      <w:r w:rsidR="00D1074F">
        <w:rPr>
          <w:szCs w:val="18"/>
        </w:rPr>
        <w:t xml:space="preserve">De middelen kunnen immers ook </w:t>
      </w:r>
      <w:r w:rsidRPr="00F667C3" w:rsidR="00D1074F">
        <w:rPr>
          <w:szCs w:val="18"/>
        </w:rPr>
        <w:t>gebruikt</w:t>
      </w:r>
      <w:r w:rsidR="00D1074F">
        <w:rPr>
          <w:szCs w:val="18"/>
        </w:rPr>
        <w:t xml:space="preserve"> worden</w:t>
      </w:r>
      <w:r w:rsidRPr="00F667C3" w:rsidR="00D1074F">
        <w:rPr>
          <w:szCs w:val="18"/>
        </w:rPr>
        <w:t xml:space="preserve"> als dekking voor financiële tegenvallers of voor politieke prioriteiten.</w:t>
      </w:r>
      <w:r w:rsidR="00424191">
        <w:rPr>
          <w:szCs w:val="18"/>
        </w:rPr>
        <w:t xml:space="preserve"> </w:t>
      </w:r>
      <w:r w:rsidRPr="00D81937" w:rsidR="00D1074F">
        <w:rPr>
          <w:szCs w:val="18"/>
        </w:rPr>
        <w:t xml:space="preserve">Over dergelijke besluiten heeft </w:t>
      </w:r>
      <w:r w:rsidR="00D1074F">
        <w:rPr>
          <w:szCs w:val="18"/>
        </w:rPr>
        <w:t>het parlement</w:t>
      </w:r>
      <w:r w:rsidRPr="00D81937" w:rsidR="00D1074F">
        <w:rPr>
          <w:szCs w:val="18"/>
        </w:rPr>
        <w:t xml:space="preserve"> vanzelfsprekend budgetrecht.</w:t>
      </w:r>
      <w:r w:rsidR="00D1074F">
        <w:rPr>
          <w:szCs w:val="18"/>
        </w:rPr>
        <w:t xml:space="preserve"> In de praktijk komt het </w:t>
      </w:r>
      <w:r w:rsidRPr="00F667C3" w:rsidR="00B03E0A">
        <w:rPr>
          <w:szCs w:val="18"/>
        </w:rPr>
        <w:t xml:space="preserve">voor dat </w:t>
      </w:r>
      <w:r w:rsidR="00D1074F">
        <w:rPr>
          <w:szCs w:val="18"/>
        </w:rPr>
        <w:t xml:space="preserve">besloten wordt om de bijstelling </w:t>
      </w:r>
      <w:r w:rsidRPr="00F667C3" w:rsidR="00B03E0A">
        <w:rPr>
          <w:szCs w:val="18"/>
        </w:rPr>
        <w:t xml:space="preserve">niet (volledig) </w:t>
      </w:r>
      <w:r w:rsidR="00D1074F">
        <w:rPr>
          <w:szCs w:val="18"/>
        </w:rPr>
        <w:t>uit te keren</w:t>
      </w:r>
      <w:r w:rsidRPr="00F667C3" w:rsidR="00B03E0A">
        <w:rPr>
          <w:szCs w:val="18"/>
        </w:rPr>
        <w:t xml:space="preserve">. </w:t>
      </w:r>
      <w:r w:rsidR="00D1074F">
        <w:rPr>
          <w:szCs w:val="18"/>
        </w:rPr>
        <w:t>Recent is b</w:t>
      </w:r>
      <w:r w:rsidRPr="00F667C3">
        <w:rPr>
          <w:szCs w:val="18"/>
        </w:rPr>
        <w:t xml:space="preserve">ij de Voorjaarsnota 2025 </w:t>
      </w:r>
      <w:r w:rsidR="00F00F96">
        <w:rPr>
          <w:szCs w:val="18"/>
        </w:rPr>
        <w:t xml:space="preserve">en de Miljoenennota 2026 een deel van de prijsbijstelling ingehouden ter dekking van </w:t>
      </w:r>
      <w:r w:rsidR="00C175B5">
        <w:rPr>
          <w:szCs w:val="18"/>
        </w:rPr>
        <w:t>r</w:t>
      </w:r>
      <w:r w:rsidR="00F00F96">
        <w:rPr>
          <w:szCs w:val="18"/>
        </w:rPr>
        <w:t>ijksbrede problematiek.</w:t>
      </w:r>
      <w:r w:rsidR="00D1074F">
        <w:rPr>
          <w:szCs w:val="18"/>
        </w:rPr>
        <w:t xml:space="preserve"> </w:t>
      </w:r>
      <w:bookmarkStart w:name="_Hlk214534144" w:id="1"/>
      <w:r>
        <w:rPr>
          <w:szCs w:val="18"/>
        </w:rPr>
        <w:t>Wettelijke verplichtingen rondom loon- en prijsbijstelling verkleinen</w:t>
      </w:r>
      <w:r w:rsidR="00D1074F">
        <w:rPr>
          <w:szCs w:val="18"/>
        </w:rPr>
        <w:t xml:space="preserve"> in het geval van een korting</w:t>
      </w:r>
      <w:r>
        <w:rPr>
          <w:szCs w:val="18"/>
        </w:rPr>
        <w:t xml:space="preserve"> de keuzemogelijkheden voor het kabinet</w:t>
      </w:r>
      <w:r w:rsidR="00E93525">
        <w:rPr>
          <w:szCs w:val="18"/>
        </w:rPr>
        <w:t xml:space="preserve"> en het parlement</w:t>
      </w:r>
      <w:r>
        <w:rPr>
          <w:szCs w:val="18"/>
        </w:rPr>
        <w:t>. Indien een groter deel van de rijksuitgaven een wettelijke verplichting voor loon- en/of prijsbijstelling kent, zal een korting harder neerslaan op het deel van de rijksuitgaven waar geen wettelijke verplichting geldt.</w:t>
      </w:r>
      <w:bookmarkEnd w:id="1"/>
      <w:r w:rsidR="00C34BF9">
        <w:rPr>
          <w:szCs w:val="18"/>
        </w:rPr>
        <w:t xml:space="preserve"> Andersom worden de keuzemogelijkheden voor het kabinet en het parlement vergroot als de wettelijke verplichtingen worden afgeschaft.</w:t>
      </w:r>
    </w:p>
    <w:bookmarkEnd w:id="0"/>
    <w:p w:rsidRPr="00F667C3" w:rsidR="00774A9A" w:rsidP="00774A9A" w:rsidRDefault="00774A9A" w14:paraId="76FFE07F" w14:textId="77777777">
      <w:pPr>
        <w:spacing w:line="240" w:lineRule="auto"/>
        <w:rPr>
          <w:szCs w:val="18"/>
        </w:rPr>
      </w:pPr>
      <w:r w:rsidRPr="00F667C3">
        <w:rPr>
          <w:b/>
          <w:bCs/>
          <w:szCs w:val="18"/>
        </w:rPr>
        <w:lastRenderedPageBreak/>
        <w:t>Het belang van loon- en prijsbijstelling</w:t>
      </w:r>
    </w:p>
    <w:p w:rsidR="00C365FB" w:rsidP="00774A9A" w:rsidRDefault="00774A9A" w14:paraId="7B0B2390" w14:textId="27BC44FD">
      <w:pPr>
        <w:spacing w:line="240" w:lineRule="auto"/>
        <w:rPr>
          <w:szCs w:val="18"/>
        </w:rPr>
      </w:pPr>
      <w:r w:rsidRPr="00F667C3">
        <w:rPr>
          <w:szCs w:val="18"/>
        </w:rPr>
        <w:t>Onderwijsinstellingen, onderzoeksinstellingen, culturele organisaties en de publieke omroep hebben kosten voor personeel en materieel. Studenten hebben studiefinanciering nodig om hun studie en levensonderhoud te bekostigen. Door inflatie en loonstijgingen nemen deze kosten jaarlijks toe.</w:t>
      </w:r>
      <w:r w:rsidR="00D1074F">
        <w:rPr>
          <w:szCs w:val="18"/>
        </w:rPr>
        <w:t xml:space="preserve"> </w:t>
      </w:r>
      <w:r w:rsidRPr="00F667C3">
        <w:rPr>
          <w:szCs w:val="18"/>
        </w:rPr>
        <w:t xml:space="preserve">Om </w:t>
      </w:r>
      <w:r w:rsidR="00B03E0A">
        <w:rPr>
          <w:szCs w:val="18"/>
        </w:rPr>
        <w:t xml:space="preserve">tegelijkertijd </w:t>
      </w:r>
      <w:r w:rsidRPr="00F667C3">
        <w:rPr>
          <w:szCs w:val="18"/>
        </w:rPr>
        <w:t xml:space="preserve">hetzelfde onderwijs, onderzoek en cultureel aanbod te kunnen blijven leveren, </w:t>
      </w:r>
      <w:r w:rsidR="00B03E0A">
        <w:rPr>
          <w:szCs w:val="18"/>
        </w:rPr>
        <w:t xml:space="preserve">worden </w:t>
      </w:r>
      <w:r w:rsidRPr="00F667C3">
        <w:rPr>
          <w:szCs w:val="18"/>
        </w:rPr>
        <w:t xml:space="preserve">instellingen </w:t>
      </w:r>
      <w:r w:rsidRPr="00F667C3" w:rsidR="00B03E0A">
        <w:rPr>
          <w:szCs w:val="18"/>
        </w:rPr>
        <w:t xml:space="preserve">via de loon- en prijsbijstelling </w:t>
      </w:r>
      <w:r w:rsidRPr="00F667C3">
        <w:rPr>
          <w:szCs w:val="18"/>
        </w:rPr>
        <w:t xml:space="preserve">gecompenseerd voor deze kostenstijgingen. </w:t>
      </w:r>
      <w:r w:rsidR="00EE66B5">
        <w:rPr>
          <w:szCs w:val="18"/>
        </w:rPr>
        <w:t>Door e</w:t>
      </w:r>
      <w:r w:rsidR="00EA14F5">
        <w:rPr>
          <w:szCs w:val="18"/>
        </w:rPr>
        <w:t>en korting op</w:t>
      </w:r>
      <w:r w:rsidRPr="00F667C3">
        <w:rPr>
          <w:szCs w:val="18"/>
        </w:rPr>
        <w:t xml:space="preserve"> </w:t>
      </w:r>
      <w:r w:rsidR="00B03E0A">
        <w:rPr>
          <w:szCs w:val="18"/>
        </w:rPr>
        <w:t xml:space="preserve">de loon- en prijsbijstelling </w:t>
      </w:r>
      <w:r w:rsidRPr="00F667C3">
        <w:rPr>
          <w:szCs w:val="18"/>
        </w:rPr>
        <w:t>worden de budgetten van door OCW gefinancierde instellingen</w:t>
      </w:r>
      <w:r w:rsidR="00EE66B5">
        <w:rPr>
          <w:szCs w:val="18"/>
        </w:rPr>
        <w:t xml:space="preserve"> </w:t>
      </w:r>
      <w:r w:rsidR="00E93525">
        <w:rPr>
          <w:szCs w:val="18"/>
        </w:rPr>
        <w:t xml:space="preserve">reëel </w:t>
      </w:r>
      <w:r w:rsidR="00EE66B5">
        <w:rPr>
          <w:szCs w:val="18"/>
        </w:rPr>
        <w:t>verlaagd</w:t>
      </w:r>
      <w:r w:rsidRPr="00F667C3">
        <w:rPr>
          <w:szCs w:val="18"/>
        </w:rPr>
        <w:t>.</w:t>
      </w:r>
      <w:r w:rsidR="00E94861">
        <w:rPr>
          <w:szCs w:val="18"/>
        </w:rPr>
        <w:t xml:space="preserve"> </w:t>
      </w:r>
    </w:p>
    <w:p w:rsidRPr="00F667C3" w:rsidR="00774A9A" w:rsidP="00774A9A" w:rsidRDefault="00424191" w14:paraId="4F44DD25" w14:textId="1A4A5297">
      <w:pPr>
        <w:spacing w:line="240" w:lineRule="auto"/>
        <w:rPr>
          <w:szCs w:val="18"/>
        </w:rPr>
      </w:pPr>
      <w:r>
        <w:rPr>
          <w:szCs w:val="18"/>
        </w:rPr>
        <w:t>Hoe een korting op de loon- en prijsbijstelling precies neerslaat binnen</w:t>
      </w:r>
      <w:r w:rsidRPr="00F667C3" w:rsidR="00774A9A">
        <w:rPr>
          <w:szCs w:val="18"/>
        </w:rPr>
        <w:t xml:space="preserve"> een begroting </w:t>
      </w:r>
      <w:r>
        <w:rPr>
          <w:szCs w:val="18"/>
        </w:rPr>
        <w:t>is een keuze</w:t>
      </w:r>
      <w:r w:rsidRPr="00F667C3" w:rsidR="00774A9A">
        <w:rPr>
          <w:szCs w:val="18"/>
        </w:rPr>
        <w:t xml:space="preserve">. OCW kan bijvoorbeeld besluiten de prijsbijstelling van één onderdeel niet volledig uit te keren om elders een probleem op te lossen. </w:t>
      </w:r>
      <w:r w:rsidR="00C37FB5">
        <w:rPr>
          <w:szCs w:val="18"/>
        </w:rPr>
        <w:t>Ook over</w:t>
      </w:r>
      <w:r w:rsidRPr="00D81937" w:rsidR="00C37FB5">
        <w:rPr>
          <w:szCs w:val="18"/>
        </w:rPr>
        <w:t xml:space="preserve"> </w:t>
      </w:r>
      <w:r w:rsidR="00C37FB5">
        <w:rPr>
          <w:szCs w:val="18"/>
        </w:rPr>
        <w:t xml:space="preserve">deze </w:t>
      </w:r>
      <w:r w:rsidRPr="00D81937" w:rsidR="00774A9A">
        <w:rPr>
          <w:szCs w:val="18"/>
        </w:rPr>
        <w:t>besluiten</w:t>
      </w:r>
      <w:r w:rsidR="00C37FB5">
        <w:rPr>
          <w:szCs w:val="18"/>
        </w:rPr>
        <w:t xml:space="preserve"> binnen de OCW-begroting</w:t>
      </w:r>
      <w:r w:rsidRPr="00D81937" w:rsidR="00774A9A">
        <w:rPr>
          <w:szCs w:val="18"/>
        </w:rPr>
        <w:t xml:space="preserve"> heeft </w:t>
      </w:r>
      <w:r w:rsidR="0074098F">
        <w:rPr>
          <w:szCs w:val="18"/>
        </w:rPr>
        <w:t>het parlement</w:t>
      </w:r>
      <w:r w:rsidRPr="00D81937" w:rsidR="00774A9A">
        <w:rPr>
          <w:szCs w:val="18"/>
        </w:rPr>
        <w:t xml:space="preserve"> vanzelfsprekend budgetrecht.</w:t>
      </w:r>
      <w:r w:rsidR="00C365FB">
        <w:rPr>
          <w:szCs w:val="18"/>
        </w:rPr>
        <w:t xml:space="preserve"> </w:t>
      </w:r>
      <w:r w:rsidRPr="00F667C3" w:rsidR="00774A9A">
        <w:rPr>
          <w:szCs w:val="18"/>
        </w:rPr>
        <w:t xml:space="preserve">OCW keert in de praktijk alle loon- en prijsbijstelling die het ontvangt uit aan de bekostiging van onderwijsinstellingen (po, vo, mbo, hbo, wo), onderzoek, culturele instellingen en musea, de rijksbijdrage media en de studiefinanciering. </w:t>
      </w:r>
      <w:r w:rsidR="00C37FB5">
        <w:rPr>
          <w:szCs w:val="18"/>
        </w:rPr>
        <w:t>Ook als</w:t>
      </w:r>
      <w:r w:rsidRPr="00F667C3" w:rsidR="00C37FB5">
        <w:rPr>
          <w:szCs w:val="18"/>
        </w:rPr>
        <w:t xml:space="preserve"> </w:t>
      </w:r>
      <w:r w:rsidRPr="00F667C3" w:rsidR="00774A9A">
        <w:rPr>
          <w:szCs w:val="18"/>
        </w:rPr>
        <w:t xml:space="preserve">het kabinet besluit om de loon- en prijsbijstelling niet of slechts deels uit te keren, </w:t>
      </w:r>
      <w:r w:rsidR="00C37FB5">
        <w:rPr>
          <w:szCs w:val="18"/>
        </w:rPr>
        <w:t>komt</w:t>
      </w:r>
      <w:r w:rsidRPr="00F667C3" w:rsidR="00C37FB5">
        <w:rPr>
          <w:szCs w:val="18"/>
        </w:rPr>
        <w:t xml:space="preserve"> </w:t>
      </w:r>
      <w:r w:rsidRPr="00F667C3" w:rsidR="00774A9A">
        <w:rPr>
          <w:szCs w:val="18"/>
        </w:rPr>
        <w:t xml:space="preserve">OCW zijn wettelijke verplichtingen </w:t>
      </w:r>
      <w:r w:rsidR="00C37FB5">
        <w:rPr>
          <w:szCs w:val="18"/>
        </w:rPr>
        <w:t>na</w:t>
      </w:r>
      <w:r w:rsidRPr="00F667C3" w:rsidR="00774A9A">
        <w:rPr>
          <w:szCs w:val="18"/>
        </w:rPr>
        <w:t>. In dat geval moet OCW elders in de begroting ruimte vinden om deze verplichtingen te financieren</w:t>
      </w:r>
      <w:r w:rsidRPr="00D81937" w:rsidR="00774A9A">
        <w:rPr>
          <w:szCs w:val="18"/>
        </w:rPr>
        <w:t>, conform de begrotingsregels van het kabinet</w:t>
      </w:r>
      <w:r w:rsidRPr="00F667C3" w:rsidR="00774A9A">
        <w:rPr>
          <w:szCs w:val="18"/>
        </w:rPr>
        <w:t>.</w:t>
      </w:r>
      <w:r w:rsidR="00C365FB">
        <w:rPr>
          <w:szCs w:val="18"/>
        </w:rPr>
        <w:t xml:space="preserve"> </w:t>
      </w:r>
    </w:p>
    <w:p w:rsidR="00774A9A" w:rsidP="00774A9A" w:rsidRDefault="00774A9A" w14:paraId="1FE4BBFF" w14:textId="77777777">
      <w:pPr>
        <w:spacing w:line="240" w:lineRule="auto"/>
        <w:rPr>
          <w:szCs w:val="18"/>
        </w:rPr>
      </w:pPr>
    </w:p>
    <w:p w:rsidRPr="00D81937" w:rsidR="00774A9A" w:rsidP="00774A9A" w:rsidRDefault="00774A9A" w14:paraId="250CDA2A" w14:textId="2492871A">
      <w:pPr>
        <w:spacing w:line="240" w:lineRule="auto"/>
        <w:rPr>
          <w:szCs w:val="18"/>
        </w:rPr>
      </w:pPr>
      <w:r w:rsidRPr="00F667C3">
        <w:rPr>
          <w:szCs w:val="18"/>
        </w:rPr>
        <w:t xml:space="preserve">Of loon- en prijsbijstelling kan worden uitgekeerd, hangt dus vooral af van het kabinetsbesluit bij de Voorjaarsnota. Wettelijke verplichtingen geven instellingen zekerheid, maar leiden bij een korting tot </w:t>
      </w:r>
      <w:r w:rsidRPr="00D81937">
        <w:rPr>
          <w:szCs w:val="18"/>
        </w:rPr>
        <w:t>asymmetrie</w:t>
      </w:r>
      <w:r w:rsidRPr="00F667C3">
        <w:rPr>
          <w:szCs w:val="18"/>
        </w:rPr>
        <w:t xml:space="preserve">: sectoren mét een wettelijke verplichting </w:t>
      </w:r>
      <w:r w:rsidR="00481F14">
        <w:rPr>
          <w:szCs w:val="18"/>
        </w:rPr>
        <w:t>hebben zekerheid</w:t>
      </w:r>
      <w:r w:rsidRPr="00F667C3">
        <w:rPr>
          <w:szCs w:val="18"/>
        </w:rPr>
        <w:t>, sectoren zonder wettelijke verplichting</w:t>
      </w:r>
      <w:r w:rsidR="005444D2">
        <w:rPr>
          <w:szCs w:val="18"/>
        </w:rPr>
        <w:t xml:space="preserve"> </w:t>
      </w:r>
      <w:r w:rsidR="00EF1BAF">
        <w:rPr>
          <w:szCs w:val="18"/>
        </w:rPr>
        <w:t>worden bij een korting zwaarder geraakt</w:t>
      </w:r>
      <w:r w:rsidRPr="00F667C3">
        <w:rPr>
          <w:szCs w:val="18"/>
        </w:rPr>
        <w:t xml:space="preserve">. Dit gebeurde </w:t>
      </w:r>
      <w:r w:rsidR="003E33DA">
        <w:rPr>
          <w:szCs w:val="18"/>
        </w:rPr>
        <w:t xml:space="preserve">bijvoorbeeld </w:t>
      </w:r>
      <w:r w:rsidRPr="00F667C3">
        <w:rPr>
          <w:szCs w:val="18"/>
        </w:rPr>
        <w:t>bij Voorjaarsnota 2025.</w:t>
      </w:r>
    </w:p>
    <w:p w:rsidR="00774A9A" w:rsidP="00774A9A" w:rsidRDefault="00774A9A" w14:paraId="791A3D65" w14:textId="77777777">
      <w:pPr>
        <w:spacing w:line="240" w:lineRule="auto"/>
        <w:rPr>
          <w:b/>
          <w:bCs/>
          <w:szCs w:val="18"/>
        </w:rPr>
      </w:pPr>
    </w:p>
    <w:p w:rsidRPr="00F667C3" w:rsidR="00774A9A" w:rsidP="00774A9A" w:rsidRDefault="00774A9A" w14:paraId="7EB2381C" w14:textId="77777777">
      <w:pPr>
        <w:spacing w:line="240" w:lineRule="auto"/>
        <w:rPr>
          <w:szCs w:val="18"/>
        </w:rPr>
      </w:pPr>
      <w:r w:rsidRPr="00F667C3">
        <w:rPr>
          <w:b/>
          <w:bCs/>
          <w:szCs w:val="18"/>
        </w:rPr>
        <w:t>Loonbijstelling</w:t>
      </w:r>
    </w:p>
    <w:p w:rsidR="003E33DA" w:rsidP="00774A9A" w:rsidRDefault="00774A9A" w14:paraId="6BEDD0E7" w14:textId="2D120B62">
      <w:pPr>
        <w:spacing w:line="240" w:lineRule="auto"/>
        <w:rPr>
          <w:szCs w:val="18"/>
        </w:rPr>
      </w:pPr>
      <w:r w:rsidRPr="00F667C3">
        <w:rPr>
          <w:szCs w:val="18"/>
        </w:rPr>
        <w:t xml:space="preserve">De toezegging uit het commissiedebat over het mbo heeft onder andere betrekking op de loonbijstelling. In </w:t>
      </w:r>
      <w:r w:rsidRPr="006677A9">
        <w:rPr>
          <w:szCs w:val="18"/>
        </w:rPr>
        <w:t xml:space="preserve">het primair onderwijs, voortgezet onderwijs en speciaal onderwijs is </w:t>
      </w:r>
      <w:r w:rsidRPr="006677A9" w:rsidR="00481F14">
        <w:rPr>
          <w:szCs w:val="18"/>
        </w:rPr>
        <w:t xml:space="preserve">het uitkeren van </w:t>
      </w:r>
      <w:r w:rsidRPr="006677A9">
        <w:rPr>
          <w:szCs w:val="18"/>
        </w:rPr>
        <w:t>de loonbijstelling wettelijk verplicht</w:t>
      </w:r>
      <w:r w:rsidRPr="006677A9" w:rsidR="00B57C11">
        <w:rPr>
          <w:szCs w:val="18"/>
        </w:rPr>
        <w:t>, onder het voorbehoud dat de begroting toereikend is.</w:t>
      </w:r>
      <w:r w:rsidRPr="006677A9">
        <w:rPr>
          <w:rStyle w:val="Voetnootmarkering"/>
          <w:szCs w:val="18"/>
        </w:rPr>
        <w:footnoteReference w:id="2"/>
      </w:r>
      <w:r w:rsidRPr="006677A9">
        <w:rPr>
          <w:szCs w:val="18"/>
        </w:rPr>
        <w:t xml:space="preserve"> In het mbo, hbo en wo is de loonbijstelling niet wettelijk verplicht. Wel heeft</w:t>
      </w:r>
      <w:r w:rsidRPr="00F667C3">
        <w:rPr>
          <w:szCs w:val="18"/>
        </w:rPr>
        <w:t xml:space="preserve"> OCW met alle onderwijssectoren in decentralisatieconvenanten afgesproken dat de</w:t>
      </w:r>
      <w:r w:rsidR="00553233">
        <w:rPr>
          <w:szCs w:val="18"/>
        </w:rPr>
        <w:t xml:space="preserve"> door het kabinet vastgestelde bijdrage aan de</w:t>
      </w:r>
      <w:r w:rsidRPr="00F667C3">
        <w:rPr>
          <w:szCs w:val="18"/>
        </w:rPr>
        <w:t xml:space="preserve"> loonbijstelling </w:t>
      </w:r>
      <w:r w:rsidR="00553233">
        <w:rPr>
          <w:szCs w:val="18"/>
        </w:rPr>
        <w:t>onverkort</w:t>
      </w:r>
      <w:r w:rsidRPr="00F667C3" w:rsidR="00553233">
        <w:rPr>
          <w:szCs w:val="18"/>
        </w:rPr>
        <w:t xml:space="preserve"> </w:t>
      </w:r>
      <w:r w:rsidRPr="00F667C3">
        <w:rPr>
          <w:szCs w:val="18"/>
        </w:rPr>
        <w:t>wordt doorgegeven aan instellingen.</w:t>
      </w:r>
      <w:r w:rsidRPr="00D81937">
        <w:rPr>
          <w:rStyle w:val="Voetnootmarkering"/>
          <w:szCs w:val="18"/>
        </w:rPr>
        <w:footnoteReference w:id="3"/>
      </w:r>
      <w:r w:rsidRPr="00F667C3">
        <w:rPr>
          <w:szCs w:val="18"/>
        </w:rPr>
        <w:t xml:space="preserve"> Deze convenanten zijn juridisch bindend voor de betrokken partijen.</w:t>
      </w:r>
      <w:r w:rsidRPr="00F667C3">
        <w:rPr>
          <w:szCs w:val="18"/>
        </w:rPr>
        <w:br/>
      </w:r>
    </w:p>
    <w:p w:rsidRPr="00F667C3" w:rsidR="00774A9A" w:rsidP="00774A9A" w:rsidRDefault="00774A9A" w14:paraId="161F8415" w14:textId="284B73B0">
      <w:pPr>
        <w:spacing w:line="240" w:lineRule="auto"/>
        <w:rPr>
          <w:szCs w:val="18"/>
        </w:rPr>
      </w:pPr>
      <w:r w:rsidRPr="00F667C3">
        <w:rPr>
          <w:szCs w:val="18"/>
        </w:rPr>
        <w:t>In het vervolg van deze brief richten we ons uitsluitend op de prijsbijstelling.</w:t>
      </w:r>
    </w:p>
    <w:p w:rsidRPr="00D81937" w:rsidR="00774A9A" w:rsidP="00774A9A" w:rsidRDefault="00774A9A" w14:paraId="521AE17C" w14:textId="77777777">
      <w:pPr>
        <w:spacing w:line="240" w:lineRule="auto"/>
        <w:rPr>
          <w:szCs w:val="18"/>
        </w:rPr>
      </w:pPr>
    </w:p>
    <w:p w:rsidRPr="007B16CB" w:rsidR="00774A9A" w:rsidP="00774A9A" w:rsidRDefault="00774A9A" w14:paraId="6C49334D" w14:textId="77777777">
      <w:pPr>
        <w:spacing w:line="240" w:lineRule="auto"/>
        <w:rPr>
          <w:szCs w:val="18"/>
        </w:rPr>
      </w:pPr>
      <w:r w:rsidRPr="007B16CB">
        <w:rPr>
          <w:b/>
          <w:bCs/>
          <w:szCs w:val="18"/>
        </w:rPr>
        <w:t>Prijsbijstelling</w:t>
      </w:r>
    </w:p>
    <w:p w:rsidRPr="007B16CB" w:rsidR="00774A9A" w:rsidP="00774A9A" w:rsidRDefault="00774A9A" w14:paraId="4F420855" w14:textId="4A818267">
      <w:pPr>
        <w:spacing w:line="240" w:lineRule="auto"/>
        <w:rPr>
          <w:szCs w:val="18"/>
        </w:rPr>
      </w:pPr>
      <w:r w:rsidRPr="00D81937">
        <w:rPr>
          <w:szCs w:val="18"/>
        </w:rPr>
        <w:t xml:space="preserve">Hieronder </w:t>
      </w:r>
      <w:r w:rsidRPr="007B16CB" w:rsidR="005444D2">
        <w:rPr>
          <w:szCs w:val="18"/>
        </w:rPr>
        <w:t>beschrijven we hoe de prijsbijstelling wettelijk kan worden verankerd</w:t>
      </w:r>
      <w:r w:rsidR="00A964A6">
        <w:rPr>
          <w:szCs w:val="18"/>
        </w:rPr>
        <w:t>. Vervolgens beschrijven we de gevolgen van wettelijke verplichtingen, wat wij illustreren met een korte terugblik op de besluitvorming over de prijsbijstelling bij Voorjaarsnota 2025.</w:t>
      </w:r>
      <w:r w:rsidRPr="007B16CB" w:rsidR="005444D2">
        <w:rPr>
          <w:szCs w:val="18"/>
        </w:rPr>
        <w:t xml:space="preserve"> </w:t>
      </w:r>
    </w:p>
    <w:p w:rsidRPr="00AD0A03" w:rsidR="00774A9A" w:rsidP="00774A9A" w:rsidRDefault="00774A9A" w14:paraId="6C71F651" w14:textId="77777777">
      <w:pPr>
        <w:spacing w:line="240" w:lineRule="auto"/>
        <w:rPr>
          <w:szCs w:val="18"/>
        </w:rPr>
      </w:pPr>
    </w:p>
    <w:p w:rsidRPr="00AD0A03" w:rsidR="00774A9A" w:rsidP="00774A9A" w:rsidRDefault="00774A9A" w14:paraId="6B038453" w14:textId="77777777">
      <w:pPr>
        <w:spacing w:line="240" w:lineRule="auto"/>
        <w:rPr>
          <w:i/>
          <w:iCs/>
          <w:szCs w:val="18"/>
        </w:rPr>
      </w:pPr>
      <w:r w:rsidRPr="00AD0A03">
        <w:rPr>
          <w:i/>
          <w:iCs/>
          <w:szCs w:val="18"/>
        </w:rPr>
        <w:t>Wettelijk verankeren van de prijsbijstelling</w:t>
      </w:r>
    </w:p>
    <w:p w:rsidRPr="00AD0A03" w:rsidR="00774A9A" w:rsidP="00774A9A" w:rsidRDefault="00774A9A" w14:paraId="00F86183" w14:textId="77777777">
      <w:pPr>
        <w:spacing w:line="240" w:lineRule="auto"/>
        <w:rPr>
          <w:szCs w:val="18"/>
        </w:rPr>
      </w:pPr>
      <w:r w:rsidRPr="00AD0A03">
        <w:rPr>
          <w:szCs w:val="18"/>
        </w:rPr>
        <w:t>De prijsbijstelling kan op twee manieren wettelijk worden verankerd:</w:t>
      </w:r>
    </w:p>
    <w:p w:rsidRPr="00AD0A03" w:rsidR="00774A9A" w:rsidP="00774A9A" w:rsidRDefault="00B57C11" w14:paraId="53C18DB8" w14:textId="1C45F12B">
      <w:pPr>
        <w:numPr>
          <w:ilvl w:val="0"/>
          <w:numId w:val="22"/>
        </w:numPr>
        <w:tabs>
          <w:tab w:val="clear" w:pos="360"/>
          <w:tab w:val="num" w:pos="720"/>
        </w:tabs>
        <w:spacing w:line="240" w:lineRule="auto"/>
        <w:rPr>
          <w:szCs w:val="18"/>
        </w:rPr>
      </w:pPr>
      <w:r w:rsidRPr="00AD0A03">
        <w:rPr>
          <w:szCs w:val="18"/>
          <w:u w:val="single"/>
        </w:rPr>
        <w:lastRenderedPageBreak/>
        <w:t>Onder het voorbehoud dat de begroting toereikend is</w:t>
      </w:r>
      <w:r w:rsidRPr="00AD0A03" w:rsidR="00774A9A">
        <w:rPr>
          <w:szCs w:val="18"/>
          <w:u w:val="single"/>
        </w:rPr>
        <w:t>:</w:t>
      </w:r>
      <w:r w:rsidRPr="00AD0A03" w:rsidR="00774A9A">
        <w:rPr>
          <w:szCs w:val="18"/>
        </w:rPr>
        <w:t xml:space="preserve"> OCW keert uit wat het kabinet toevoegt aan de OCW-begroting. Wordt er rijksbreed gekort, dan wordt ook door OCW minder uitgekeerd. </w:t>
      </w:r>
      <w:r w:rsidR="00645F75">
        <w:rPr>
          <w:szCs w:val="18"/>
        </w:rPr>
        <w:t>Indien deze</w:t>
      </w:r>
      <w:r w:rsidRPr="00AD0A03" w:rsidR="00645F75">
        <w:rPr>
          <w:szCs w:val="18"/>
        </w:rPr>
        <w:t xml:space="preserve"> </w:t>
      </w:r>
      <w:r w:rsidRPr="00AD0A03" w:rsidR="00774A9A">
        <w:rPr>
          <w:szCs w:val="18"/>
        </w:rPr>
        <w:t xml:space="preserve">variant </w:t>
      </w:r>
      <w:r w:rsidR="00645F75">
        <w:rPr>
          <w:szCs w:val="18"/>
        </w:rPr>
        <w:t>voor alle onderwijssectoren op dezelfde manier geldt, zal</w:t>
      </w:r>
      <w:r w:rsidRPr="00AD0A03" w:rsidR="00645F75">
        <w:rPr>
          <w:szCs w:val="18"/>
        </w:rPr>
        <w:t xml:space="preserve"> </w:t>
      </w:r>
      <w:r w:rsidRPr="00AD0A03" w:rsidR="00774A9A">
        <w:rPr>
          <w:szCs w:val="18"/>
        </w:rPr>
        <w:t xml:space="preserve">een korting evenredig </w:t>
      </w:r>
      <w:r w:rsidR="00645F75">
        <w:rPr>
          <w:szCs w:val="18"/>
        </w:rPr>
        <w:t>neerslaan</w:t>
      </w:r>
      <w:r w:rsidRPr="00AD0A03" w:rsidR="00774A9A">
        <w:rPr>
          <w:szCs w:val="18"/>
        </w:rPr>
        <w:t>.</w:t>
      </w:r>
    </w:p>
    <w:p w:rsidRPr="00AD0A03" w:rsidR="00774A9A" w:rsidP="00774A9A" w:rsidRDefault="00B57C11" w14:paraId="4366AF5A" w14:textId="6B371EB7">
      <w:pPr>
        <w:numPr>
          <w:ilvl w:val="0"/>
          <w:numId w:val="22"/>
        </w:numPr>
        <w:spacing w:line="240" w:lineRule="auto"/>
        <w:rPr>
          <w:szCs w:val="18"/>
        </w:rPr>
      </w:pPr>
      <w:r w:rsidRPr="00AD0A03">
        <w:rPr>
          <w:szCs w:val="18"/>
          <w:u w:val="single"/>
        </w:rPr>
        <w:t>Zonder voorbehoud dat de begroting toereikend is</w:t>
      </w:r>
      <w:r w:rsidRPr="00AD0A03" w:rsidR="00774A9A">
        <w:rPr>
          <w:szCs w:val="18"/>
          <w:u w:val="single"/>
        </w:rPr>
        <w:t>:</w:t>
      </w:r>
      <w:r w:rsidRPr="00AD0A03" w:rsidR="00774A9A">
        <w:rPr>
          <w:szCs w:val="18"/>
        </w:rPr>
        <w:t xml:space="preserve"> OCW keert het volledige berekende bedrag uit, ook wanneer het kabinet heeft gekort. Dit betekent dat het oorspronkelijke bedrag (op basis van de actuele prijsontwikkeling) </w:t>
      </w:r>
      <w:r w:rsidR="0059692A">
        <w:rPr>
          <w:szCs w:val="18"/>
        </w:rPr>
        <w:t>exclusief eventuele korting</w:t>
      </w:r>
      <w:r w:rsidRPr="00AD0A03" w:rsidR="0059692A">
        <w:rPr>
          <w:szCs w:val="18"/>
        </w:rPr>
        <w:t xml:space="preserve"> </w:t>
      </w:r>
      <w:r w:rsidRPr="00AD0A03" w:rsidR="00774A9A">
        <w:rPr>
          <w:szCs w:val="18"/>
        </w:rPr>
        <w:t xml:space="preserve">moet worden uitgekeerd. </w:t>
      </w:r>
    </w:p>
    <w:p w:rsidRPr="00AD0A03" w:rsidR="00774A9A" w:rsidP="00774A9A" w:rsidRDefault="00774A9A" w14:paraId="5561D707" w14:textId="77777777">
      <w:pPr>
        <w:spacing w:line="240" w:lineRule="auto"/>
        <w:rPr>
          <w:szCs w:val="18"/>
        </w:rPr>
      </w:pPr>
    </w:p>
    <w:p w:rsidRPr="00AD0A03" w:rsidR="00774A9A" w:rsidP="00774A9A" w:rsidRDefault="00774A9A" w14:paraId="2582FE63" w14:textId="45B6535B">
      <w:pPr>
        <w:spacing w:line="240" w:lineRule="auto"/>
        <w:rPr>
          <w:szCs w:val="18"/>
        </w:rPr>
      </w:pPr>
      <w:r w:rsidRPr="00AD0A03">
        <w:rPr>
          <w:szCs w:val="18"/>
        </w:rPr>
        <w:t>Op dit moment geldt de prijsbijstelling zonder voorbehoud voor drie budgetten: het primair onderwijs, de studiefinanciering</w:t>
      </w:r>
      <w:r w:rsidRPr="00AD0A03">
        <w:rPr>
          <w:rStyle w:val="Voetnootmarkering"/>
          <w:szCs w:val="18"/>
        </w:rPr>
        <w:footnoteReference w:id="4"/>
      </w:r>
      <w:r w:rsidRPr="00AD0A03">
        <w:rPr>
          <w:szCs w:val="18"/>
        </w:rPr>
        <w:t xml:space="preserve"> en de rijksbijdrage media.</w:t>
      </w:r>
      <w:r w:rsidRPr="00AD0A03">
        <w:rPr>
          <w:rStyle w:val="Voetnootmarkering"/>
          <w:szCs w:val="18"/>
        </w:rPr>
        <w:footnoteReference w:id="5"/>
      </w:r>
      <w:r w:rsidRPr="00AD0A03">
        <w:rPr>
          <w:szCs w:val="18"/>
        </w:rPr>
        <w:t xml:space="preserve"> </w:t>
      </w:r>
      <w:r w:rsidR="0059692A">
        <w:rPr>
          <w:szCs w:val="18"/>
        </w:rPr>
        <w:t>De prijsindexatie v</w:t>
      </w:r>
      <w:r w:rsidRPr="00AD0A03">
        <w:rPr>
          <w:szCs w:val="18"/>
        </w:rPr>
        <w:t xml:space="preserve">oor het primair onderwijs en de studiefinanciering wordt opgehoogd op basis van ramingen van het CPB. </w:t>
      </w:r>
      <w:r w:rsidR="0059692A">
        <w:rPr>
          <w:szCs w:val="18"/>
        </w:rPr>
        <w:t>D</w:t>
      </w:r>
      <w:r w:rsidRPr="00AD0A03">
        <w:rPr>
          <w:szCs w:val="18"/>
        </w:rPr>
        <w:t>e rijksbijdrage media wordt jaarlijks opgehoogd met de consumentenprijsindex van het CBS. In het voortgezet onderwijs geldt een wettelijke verplichting mét voorbehoud.</w:t>
      </w:r>
    </w:p>
    <w:p w:rsidRPr="00AD0A03" w:rsidR="00774A9A" w:rsidP="00774A9A" w:rsidRDefault="00774A9A" w14:paraId="2D65E373" w14:textId="77777777">
      <w:pPr>
        <w:spacing w:line="240" w:lineRule="auto"/>
        <w:rPr>
          <w:szCs w:val="18"/>
        </w:rPr>
      </w:pPr>
    </w:p>
    <w:p w:rsidR="00EE66B5" w:rsidP="00EE66B5" w:rsidRDefault="00EE66B5" w14:paraId="68A8C110" w14:textId="735769B5">
      <w:pPr>
        <w:spacing w:line="240" w:lineRule="auto"/>
        <w:rPr>
          <w:szCs w:val="18"/>
        </w:rPr>
      </w:pPr>
      <w:r w:rsidRPr="00AD0A03">
        <w:rPr>
          <w:szCs w:val="18"/>
        </w:rPr>
        <w:t>Het invoeren van wettelijke verplichtingen vereist een wetswijziging. In de tabel hieronder staat waar de wettelijke</w:t>
      </w:r>
      <w:r w:rsidRPr="00067752">
        <w:rPr>
          <w:szCs w:val="18"/>
        </w:rPr>
        <w:t xml:space="preserve"> verplichting voor het </w:t>
      </w:r>
      <w:r w:rsidR="00823323">
        <w:rPr>
          <w:szCs w:val="18"/>
        </w:rPr>
        <w:t>funderend onderwijs</w:t>
      </w:r>
      <w:r w:rsidRPr="00067752">
        <w:rPr>
          <w:szCs w:val="18"/>
        </w:rPr>
        <w:t xml:space="preserve"> nu </w:t>
      </w:r>
      <w:r w:rsidR="00823323">
        <w:rPr>
          <w:szCs w:val="18"/>
        </w:rPr>
        <w:t xml:space="preserve">zijn </w:t>
      </w:r>
      <w:r w:rsidRPr="00067752">
        <w:rPr>
          <w:szCs w:val="18"/>
        </w:rPr>
        <w:t xml:space="preserve">vastgelegd en waar deze voor </w:t>
      </w:r>
      <w:r w:rsidR="00823323">
        <w:rPr>
          <w:szCs w:val="18"/>
        </w:rPr>
        <w:t>het vervolgonderwijs zouden</w:t>
      </w:r>
      <w:r w:rsidRPr="00067752">
        <w:rPr>
          <w:szCs w:val="18"/>
        </w:rPr>
        <w:t xml:space="preserve"> kunnen worden opgenomen.</w:t>
      </w:r>
    </w:p>
    <w:p w:rsidRPr="00D81937" w:rsidR="00EE66B5" w:rsidP="00EE66B5" w:rsidRDefault="00EE66B5" w14:paraId="2D037049" w14:textId="77777777">
      <w:pPr>
        <w:spacing w:line="240" w:lineRule="auto"/>
        <w:rPr>
          <w:szCs w:val="18"/>
        </w:rPr>
      </w:pPr>
    </w:p>
    <w:tbl>
      <w:tblPr>
        <w:tblW w:w="7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6"/>
        <w:gridCol w:w="1312"/>
        <w:gridCol w:w="1463"/>
        <w:gridCol w:w="1630"/>
        <w:gridCol w:w="1599"/>
      </w:tblGrid>
      <w:tr w:rsidRPr="00D81937" w:rsidR="00EE66B5" w:rsidTr="000D4149" w14:paraId="7DBABD39" w14:textId="77777777">
        <w:tc>
          <w:tcPr>
            <w:tcW w:w="2293" w:type="dxa"/>
            <w:hideMark/>
          </w:tcPr>
          <w:p w:rsidRPr="00D81937" w:rsidR="00EE66B5" w:rsidP="000D4149" w:rsidRDefault="00EE66B5" w14:paraId="77F76274" w14:textId="77777777">
            <w:pPr>
              <w:spacing w:line="240" w:lineRule="auto"/>
              <w:rPr>
                <w:b/>
                <w:bCs/>
                <w:sz w:val="16"/>
                <w:szCs w:val="16"/>
              </w:rPr>
            </w:pPr>
            <w:r w:rsidRPr="00D81937">
              <w:rPr>
                <w:b/>
                <w:bCs/>
                <w:sz w:val="16"/>
                <w:szCs w:val="16"/>
              </w:rPr>
              <w:t>Po</w:t>
            </w:r>
          </w:p>
        </w:tc>
        <w:tc>
          <w:tcPr>
            <w:tcW w:w="1700" w:type="dxa"/>
            <w:hideMark/>
          </w:tcPr>
          <w:p w:rsidRPr="00D81937" w:rsidR="00EE66B5" w:rsidP="000D4149" w:rsidRDefault="00EE66B5" w14:paraId="6888F659" w14:textId="77777777">
            <w:pPr>
              <w:spacing w:line="240" w:lineRule="auto"/>
              <w:rPr>
                <w:b/>
                <w:bCs/>
                <w:sz w:val="16"/>
                <w:szCs w:val="16"/>
              </w:rPr>
            </w:pPr>
            <w:r w:rsidRPr="00D81937">
              <w:rPr>
                <w:b/>
                <w:bCs/>
                <w:sz w:val="16"/>
                <w:szCs w:val="16"/>
              </w:rPr>
              <w:t>Vo</w:t>
            </w:r>
          </w:p>
        </w:tc>
        <w:tc>
          <w:tcPr>
            <w:tcW w:w="1055" w:type="dxa"/>
          </w:tcPr>
          <w:p w:rsidRPr="00D81937" w:rsidR="00EE66B5" w:rsidP="000D4149" w:rsidRDefault="00EE66B5" w14:paraId="695F980F" w14:textId="77777777">
            <w:pPr>
              <w:spacing w:line="240" w:lineRule="auto"/>
              <w:rPr>
                <w:b/>
                <w:bCs/>
                <w:sz w:val="16"/>
                <w:szCs w:val="16"/>
              </w:rPr>
            </w:pPr>
            <w:r w:rsidRPr="00D81937">
              <w:rPr>
                <w:b/>
                <w:bCs/>
                <w:sz w:val="16"/>
                <w:szCs w:val="16"/>
              </w:rPr>
              <w:t>S</w:t>
            </w:r>
            <w:r>
              <w:rPr>
                <w:b/>
                <w:bCs/>
                <w:sz w:val="16"/>
                <w:szCs w:val="16"/>
              </w:rPr>
              <w:t>peciaal onderwijs</w:t>
            </w:r>
          </w:p>
        </w:tc>
        <w:tc>
          <w:tcPr>
            <w:tcW w:w="1116" w:type="dxa"/>
            <w:hideMark/>
          </w:tcPr>
          <w:p w:rsidRPr="00D81937" w:rsidR="00EE66B5" w:rsidP="000D4149" w:rsidRDefault="00EE66B5" w14:paraId="13596E97" w14:textId="77777777">
            <w:pPr>
              <w:spacing w:line="240" w:lineRule="auto"/>
              <w:rPr>
                <w:b/>
                <w:bCs/>
                <w:sz w:val="16"/>
                <w:szCs w:val="16"/>
              </w:rPr>
            </w:pPr>
            <w:r w:rsidRPr="00D81937">
              <w:rPr>
                <w:b/>
                <w:bCs/>
                <w:sz w:val="16"/>
                <w:szCs w:val="16"/>
              </w:rPr>
              <w:t>Mbo</w:t>
            </w:r>
          </w:p>
        </w:tc>
        <w:tc>
          <w:tcPr>
            <w:tcW w:w="1326" w:type="dxa"/>
            <w:hideMark/>
          </w:tcPr>
          <w:p w:rsidRPr="00D81937" w:rsidR="00EE66B5" w:rsidP="000D4149" w:rsidRDefault="00EE66B5" w14:paraId="68F442FC" w14:textId="77777777">
            <w:pPr>
              <w:spacing w:line="240" w:lineRule="auto"/>
              <w:rPr>
                <w:b/>
                <w:bCs/>
                <w:sz w:val="16"/>
                <w:szCs w:val="16"/>
              </w:rPr>
            </w:pPr>
            <w:r w:rsidRPr="00D81937">
              <w:rPr>
                <w:b/>
                <w:bCs/>
                <w:sz w:val="16"/>
                <w:szCs w:val="16"/>
              </w:rPr>
              <w:t>Hbo en wo</w:t>
            </w:r>
          </w:p>
        </w:tc>
      </w:tr>
      <w:tr w:rsidRPr="00D81937" w:rsidR="00EE66B5" w:rsidTr="000D4149" w14:paraId="76D109AA" w14:textId="77777777">
        <w:tc>
          <w:tcPr>
            <w:tcW w:w="2293" w:type="dxa"/>
          </w:tcPr>
          <w:p w:rsidRPr="00D81937" w:rsidR="00EE66B5" w:rsidP="000D4149" w:rsidRDefault="00EE66B5" w14:paraId="7FFA2153" w14:textId="77777777">
            <w:pPr>
              <w:spacing w:line="240" w:lineRule="auto"/>
              <w:rPr>
                <w:sz w:val="16"/>
                <w:szCs w:val="16"/>
              </w:rPr>
            </w:pPr>
            <w:r w:rsidRPr="00D81937">
              <w:rPr>
                <w:sz w:val="16"/>
                <w:szCs w:val="16"/>
              </w:rPr>
              <w:t>*W</w:t>
            </w:r>
            <w:r>
              <w:rPr>
                <w:sz w:val="16"/>
                <w:szCs w:val="16"/>
              </w:rPr>
              <w:t>et op het Primair onderwijs</w:t>
            </w:r>
          </w:p>
          <w:p w:rsidRPr="00D81937" w:rsidR="00EE66B5" w:rsidP="000D4149" w:rsidRDefault="00EE66B5" w14:paraId="39DD6377" w14:textId="77777777">
            <w:pPr>
              <w:spacing w:line="240" w:lineRule="auto"/>
              <w:rPr>
                <w:sz w:val="16"/>
                <w:szCs w:val="16"/>
              </w:rPr>
            </w:pPr>
            <w:r w:rsidRPr="00D81937">
              <w:rPr>
                <w:sz w:val="16"/>
                <w:szCs w:val="16"/>
              </w:rPr>
              <w:t>Art. 116 lid 10, 11</w:t>
            </w:r>
          </w:p>
        </w:tc>
        <w:tc>
          <w:tcPr>
            <w:tcW w:w="1700" w:type="dxa"/>
            <w:hideMark/>
          </w:tcPr>
          <w:p w:rsidRPr="00D81937" w:rsidR="00EE66B5" w:rsidP="000D4149" w:rsidRDefault="00EE66B5" w14:paraId="7D3D9EDF" w14:textId="77777777">
            <w:pPr>
              <w:spacing w:line="240" w:lineRule="auto"/>
              <w:rPr>
                <w:sz w:val="16"/>
                <w:szCs w:val="16"/>
              </w:rPr>
            </w:pPr>
            <w:r w:rsidRPr="00D81937">
              <w:rPr>
                <w:sz w:val="16"/>
                <w:szCs w:val="16"/>
              </w:rPr>
              <w:t>**W</w:t>
            </w:r>
            <w:r>
              <w:rPr>
                <w:sz w:val="16"/>
                <w:szCs w:val="16"/>
              </w:rPr>
              <w:t>et voortgezet onderwijs 2020</w:t>
            </w:r>
            <w:r w:rsidRPr="00D81937">
              <w:rPr>
                <w:sz w:val="16"/>
                <w:szCs w:val="16"/>
              </w:rPr>
              <w:t xml:space="preserve"> </w:t>
            </w:r>
          </w:p>
          <w:p w:rsidRPr="00D81937" w:rsidR="00EE66B5" w:rsidP="000D4149" w:rsidRDefault="00EE66B5" w14:paraId="4004DEA0" w14:textId="77777777">
            <w:pPr>
              <w:spacing w:line="240" w:lineRule="auto"/>
              <w:rPr>
                <w:sz w:val="16"/>
                <w:szCs w:val="16"/>
              </w:rPr>
            </w:pPr>
            <w:r w:rsidRPr="00D81937">
              <w:rPr>
                <w:sz w:val="16"/>
                <w:szCs w:val="16"/>
              </w:rPr>
              <w:t>art. 5.6 lid 4</w:t>
            </w:r>
          </w:p>
        </w:tc>
        <w:tc>
          <w:tcPr>
            <w:tcW w:w="1055" w:type="dxa"/>
          </w:tcPr>
          <w:p w:rsidRPr="00D81937" w:rsidR="00EE66B5" w:rsidP="000D4149" w:rsidRDefault="00EE66B5" w14:paraId="15DD85A8" w14:textId="77777777">
            <w:pPr>
              <w:spacing w:line="240" w:lineRule="auto"/>
              <w:rPr>
                <w:sz w:val="16"/>
                <w:szCs w:val="16"/>
              </w:rPr>
            </w:pPr>
            <w:r w:rsidRPr="00D81937">
              <w:rPr>
                <w:sz w:val="16"/>
                <w:szCs w:val="16"/>
              </w:rPr>
              <w:t>*W</w:t>
            </w:r>
            <w:r>
              <w:rPr>
                <w:sz w:val="16"/>
                <w:szCs w:val="16"/>
              </w:rPr>
              <w:t>et op de expertisecentra</w:t>
            </w:r>
          </w:p>
          <w:p w:rsidRPr="00D81937" w:rsidR="00EE66B5" w:rsidP="000D4149" w:rsidRDefault="00EE66B5" w14:paraId="6E5D363A" w14:textId="77777777">
            <w:pPr>
              <w:spacing w:line="240" w:lineRule="auto"/>
              <w:rPr>
                <w:sz w:val="16"/>
                <w:szCs w:val="16"/>
              </w:rPr>
            </w:pPr>
            <w:r w:rsidRPr="00D81937">
              <w:rPr>
                <w:sz w:val="16"/>
                <w:szCs w:val="16"/>
              </w:rPr>
              <w:t>Art. 114, lid 9, 10</w:t>
            </w:r>
          </w:p>
        </w:tc>
        <w:tc>
          <w:tcPr>
            <w:tcW w:w="1116" w:type="dxa"/>
          </w:tcPr>
          <w:p w:rsidRPr="00D81937" w:rsidR="00EE66B5" w:rsidP="000D4149" w:rsidRDefault="00EE66B5" w14:paraId="08F631C1" w14:textId="77777777">
            <w:pPr>
              <w:spacing w:line="240" w:lineRule="auto"/>
              <w:rPr>
                <w:sz w:val="16"/>
                <w:szCs w:val="16"/>
              </w:rPr>
            </w:pPr>
            <w:r w:rsidRPr="00D81937">
              <w:rPr>
                <w:sz w:val="16"/>
                <w:szCs w:val="16"/>
              </w:rPr>
              <w:t>W</w:t>
            </w:r>
            <w:r>
              <w:rPr>
                <w:sz w:val="16"/>
                <w:szCs w:val="16"/>
              </w:rPr>
              <w:t>et educatie en beroepsonderwijs</w:t>
            </w:r>
          </w:p>
          <w:p w:rsidRPr="00D81937" w:rsidR="00EE66B5" w:rsidP="000D4149" w:rsidRDefault="00EE66B5" w14:paraId="67DF7521" w14:textId="77777777">
            <w:pPr>
              <w:spacing w:line="240" w:lineRule="auto"/>
              <w:rPr>
                <w:sz w:val="16"/>
                <w:szCs w:val="16"/>
              </w:rPr>
            </w:pPr>
            <w:r w:rsidRPr="00D81937">
              <w:rPr>
                <w:sz w:val="16"/>
                <w:szCs w:val="16"/>
              </w:rPr>
              <w:t>Art 2.2.1 en 2.2a.1</w:t>
            </w:r>
          </w:p>
        </w:tc>
        <w:tc>
          <w:tcPr>
            <w:tcW w:w="1326" w:type="dxa"/>
          </w:tcPr>
          <w:p w:rsidRPr="00D81937" w:rsidR="00EE66B5" w:rsidP="000D4149" w:rsidRDefault="00EE66B5" w14:paraId="029D5FCA" w14:textId="77777777">
            <w:pPr>
              <w:spacing w:line="240" w:lineRule="auto"/>
              <w:rPr>
                <w:sz w:val="16"/>
                <w:szCs w:val="16"/>
              </w:rPr>
            </w:pPr>
            <w:r w:rsidRPr="00D81937">
              <w:rPr>
                <w:sz w:val="16"/>
                <w:szCs w:val="16"/>
              </w:rPr>
              <w:t>W</w:t>
            </w:r>
            <w:r>
              <w:rPr>
                <w:sz w:val="16"/>
                <w:szCs w:val="16"/>
              </w:rPr>
              <w:t>et op het hoger onderwijs en wetenschappelijk onderzoek</w:t>
            </w:r>
          </w:p>
          <w:p w:rsidRPr="00D81937" w:rsidR="00EE66B5" w:rsidP="000D4149" w:rsidRDefault="00EE66B5" w14:paraId="6A7071F7" w14:textId="77777777">
            <w:pPr>
              <w:spacing w:line="240" w:lineRule="auto"/>
              <w:rPr>
                <w:sz w:val="16"/>
                <w:szCs w:val="16"/>
              </w:rPr>
            </w:pPr>
            <w:r w:rsidRPr="00D81937">
              <w:rPr>
                <w:sz w:val="16"/>
                <w:szCs w:val="16"/>
              </w:rPr>
              <w:t>Art 2.5</w:t>
            </w:r>
          </w:p>
        </w:tc>
      </w:tr>
    </w:tbl>
    <w:p w:rsidRPr="00D81937" w:rsidR="00EE66B5" w:rsidP="00EE66B5" w:rsidRDefault="00EE66B5" w14:paraId="4C6CB60B" w14:textId="30B6ADEC">
      <w:pPr>
        <w:spacing w:line="240" w:lineRule="auto"/>
        <w:rPr>
          <w:sz w:val="16"/>
          <w:szCs w:val="16"/>
        </w:rPr>
      </w:pPr>
      <w:r w:rsidRPr="00D81937">
        <w:rPr>
          <w:sz w:val="16"/>
          <w:szCs w:val="16"/>
        </w:rPr>
        <w:t>* Reeds wettelijk verplicht, zonder voorbehoud.</w:t>
      </w:r>
    </w:p>
    <w:p w:rsidRPr="00D81937" w:rsidR="00EE66B5" w:rsidP="00EE66B5" w:rsidRDefault="00EE66B5" w14:paraId="0190A46F" w14:textId="186BB134">
      <w:pPr>
        <w:spacing w:line="240" w:lineRule="auto"/>
        <w:rPr>
          <w:sz w:val="16"/>
          <w:szCs w:val="16"/>
        </w:rPr>
      </w:pPr>
      <w:r w:rsidRPr="00D81937">
        <w:rPr>
          <w:sz w:val="16"/>
          <w:szCs w:val="16"/>
        </w:rPr>
        <w:t>** Reeds wettelijk verplicht, met voorbehoud.</w:t>
      </w:r>
    </w:p>
    <w:p w:rsidR="00EE66B5" w:rsidP="00774A9A" w:rsidRDefault="00EE66B5" w14:paraId="3A807009" w14:textId="77777777">
      <w:pPr>
        <w:spacing w:line="240" w:lineRule="auto"/>
        <w:rPr>
          <w:szCs w:val="18"/>
        </w:rPr>
      </w:pPr>
    </w:p>
    <w:p w:rsidRPr="007B16CB" w:rsidR="00A964A6" w:rsidP="00A964A6" w:rsidRDefault="00A964A6" w14:paraId="0E4F03B5" w14:textId="77777777">
      <w:pPr>
        <w:spacing w:line="240" w:lineRule="auto"/>
        <w:rPr>
          <w:i/>
          <w:iCs/>
          <w:szCs w:val="18"/>
        </w:rPr>
      </w:pPr>
      <w:r w:rsidRPr="007B16CB">
        <w:rPr>
          <w:i/>
          <w:iCs/>
          <w:szCs w:val="18"/>
        </w:rPr>
        <w:t>Terugblik Voorjaarsnota 2025 en Miljoenennota 2026</w:t>
      </w:r>
    </w:p>
    <w:p w:rsidRPr="007B16CB" w:rsidR="00A964A6" w:rsidP="00A964A6" w:rsidRDefault="00A964A6" w14:paraId="084DFFF6" w14:textId="71A1EC8B">
      <w:pPr>
        <w:spacing w:line="240" w:lineRule="auto"/>
        <w:rPr>
          <w:szCs w:val="18"/>
        </w:rPr>
      </w:pPr>
      <w:r w:rsidRPr="007B16CB">
        <w:rPr>
          <w:szCs w:val="18"/>
        </w:rPr>
        <w:t xml:space="preserve">Bij de Voorjaarsnota 2025 is besloten de prijsbijstelling </w:t>
      </w:r>
      <w:r w:rsidR="006A0A16">
        <w:rPr>
          <w:szCs w:val="18"/>
        </w:rPr>
        <w:t>voor de helft in te houden ter dekking van rijksbrede problematiek.</w:t>
      </w:r>
      <w:r w:rsidRPr="007B16CB">
        <w:rPr>
          <w:szCs w:val="18"/>
        </w:rPr>
        <w:t xml:space="preserve"> OCW ontving daardoor de helft van het bedrag dat nodig was op basis van de prijsontwikkeling.</w:t>
      </w:r>
      <w:r>
        <w:rPr>
          <w:szCs w:val="18"/>
        </w:rPr>
        <w:t xml:space="preserve"> </w:t>
      </w:r>
      <w:r w:rsidRPr="007B16CB">
        <w:rPr>
          <w:szCs w:val="18"/>
        </w:rPr>
        <w:t>OCW heeft deze beperkte prijsbijstelling eerst uitgekeerd aan de budgetten waar dat wettelijk verplicht is</w:t>
      </w:r>
      <w:r>
        <w:rPr>
          <w:szCs w:val="18"/>
        </w:rPr>
        <w:t xml:space="preserve"> zonder voorbehoud dat de begroting toereikend is</w:t>
      </w:r>
      <w:r w:rsidRPr="007B16CB">
        <w:rPr>
          <w:szCs w:val="18"/>
        </w:rPr>
        <w:t xml:space="preserve">: het primair onderwijs, de studiefinanciering en de rijksbijdrage media. Omdat </w:t>
      </w:r>
      <w:r>
        <w:rPr>
          <w:szCs w:val="18"/>
        </w:rPr>
        <w:t>de studiefinanciering en de rijksbijdrage media</w:t>
      </w:r>
      <w:r w:rsidRPr="007B16CB">
        <w:rPr>
          <w:szCs w:val="18"/>
        </w:rPr>
        <w:t xml:space="preserve"> volledig prijsgevoelig zijn, bleef er vrijwel geen prijsbijstelling over voor andere sectoren. Via herprioritering</w:t>
      </w:r>
      <w:r w:rsidRPr="00D81937">
        <w:rPr>
          <w:szCs w:val="18"/>
        </w:rPr>
        <w:t>en</w:t>
      </w:r>
      <w:r w:rsidRPr="007B16CB">
        <w:rPr>
          <w:szCs w:val="18"/>
        </w:rPr>
        <w:t xml:space="preserve"> binnen het funderend onderwijs kon alsnog prijsbijstelling worden uitgekeerd aan het voortgezet onderwijs. Het mbo, hbo, wo en de cultuursector hebben (bijna) geen structurele prijsbijstelling ontvangen.</w:t>
      </w:r>
    </w:p>
    <w:p w:rsidR="00A964A6" w:rsidP="00A964A6" w:rsidRDefault="00A964A6" w14:paraId="3361459A" w14:textId="77777777">
      <w:pPr>
        <w:spacing w:line="240" w:lineRule="auto"/>
        <w:rPr>
          <w:szCs w:val="18"/>
        </w:rPr>
      </w:pPr>
    </w:p>
    <w:p w:rsidRPr="00AD0A03" w:rsidR="00A964A6" w:rsidP="00A964A6" w:rsidRDefault="00A964A6" w14:paraId="35B7F87E" w14:textId="6336234B">
      <w:pPr>
        <w:spacing w:line="240" w:lineRule="auto"/>
        <w:rPr>
          <w:szCs w:val="18"/>
        </w:rPr>
      </w:pPr>
      <w:r w:rsidRPr="007B16CB">
        <w:rPr>
          <w:szCs w:val="18"/>
        </w:rPr>
        <w:t>Bij de onderhandelingen over de Miljoenennota 2026 is afgesproken dat er bij de Voorjaarsnota 2026 rijksbreed € 380 miljoen wordt gekort op de prijsbijstelling. Welk deel daarvan neerkomt op de OCW-begroting is nog niet bekend. Dat hangt af van de jaarlijkse actualisatie van prijsgevoeligheid en prijsontwikkeling</w:t>
      </w:r>
      <w:r w:rsidR="006A0A16">
        <w:rPr>
          <w:szCs w:val="18"/>
        </w:rPr>
        <w:t xml:space="preserve"> en van de besluitvorming</w:t>
      </w:r>
      <w:r w:rsidR="00716BAA">
        <w:rPr>
          <w:szCs w:val="18"/>
        </w:rPr>
        <w:t xml:space="preserve"> bij de Voorjaarsnota</w:t>
      </w:r>
      <w:r w:rsidRPr="007B16CB">
        <w:rPr>
          <w:szCs w:val="18"/>
        </w:rPr>
        <w:t xml:space="preserve">. Als de korting wordt verwerkt, zal opnieuw moeten worden bepaald op welke budgetten de prijsbijstelling kan </w:t>
      </w:r>
      <w:r w:rsidRPr="00AD0A03">
        <w:rPr>
          <w:szCs w:val="18"/>
        </w:rPr>
        <w:lastRenderedPageBreak/>
        <w:t>worden uitgekeerd. De sectoren</w:t>
      </w:r>
      <w:r>
        <w:rPr>
          <w:szCs w:val="18"/>
        </w:rPr>
        <w:t xml:space="preserve"> die een </w:t>
      </w:r>
      <w:r w:rsidRPr="00AD0A03">
        <w:rPr>
          <w:szCs w:val="18"/>
        </w:rPr>
        <w:t>wettelijk verplicht</w:t>
      </w:r>
      <w:r>
        <w:rPr>
          <w:szCs w:val="18"/>
        </w:rPr>
        <w:t>ing</w:t>
      </w:r>
      <w:r w:rsidRPr="00AD0A03">
        <w:rPr>
          <w:szCs w:val="18"/>
        </w:rPr>
        <w:t xml:space="preserve"> </w:t>
      </w:r>
      <w:r>
        <w:rPr>
          <w:szCs w:val="18"/>
        </w:rPr>
        <w:t xml:space="preserve">zonder voorbehoud kennen, </w:t>
      </w:r>
      <w:r w:rsidRPr="00AD0A03">
        <w:rPr>
          <w:szCs w:val="18"/>
        </w:rPr>
        <w:t>ontvangen deze dan opnieuw volledig.</w:t>
      </w:r>
    </w:p>
    <w:p w:rsidR="00E94EE9" w:rsidP="00774A9A" w:rsidRDefault="00E94EE9" w14:paraId="6AF92FE1" w14:textId="77777777">
      <w:pPr>
        <w:spacing w:line="240" w:lineRule="auto"/>
        <w:rPr>
          <w:i/>
          <w:iCs/>
          <w:szCs w:val="18"/>
        </w:rPr>
      </w:pPr>
    </w:p>
    <w:p w:rsidRPr="007325A1" w:rsidR="00A964A6" w:rsidP="00774A9A" w:rsidRDefault="00A964A6" w14:paraId="3267F542" w14:textId="4856C0F8">
      <w:pPr>
        <w:spacing w:line="240" w:lineRule="auto"/>
        <w:rPr>
          <w:i/>
          <w:iCs/>
          <w:szCs w:val="18"/>
        </w:rPr>
      </w:pPr>
      <w:r>
        <w:rPr>
          <w:i/>
          <w:iCs/>
          <w:szCs w:val="18"/>
        </w:rPr>
        <w:t>Gevolgen van meer wettelijke verplichtingen</w:t>
      </w:r>
    </w:p>
    <w:p w:rsidR="0050656E" w:rsidP="00774A9A" w:rsidRDefault="00774A9A" w14:paraId="0997EE55" w14:textId="054373BE">
      <w:pPr>
        <w:spacing w:line="240" w:lineRule="auto"/>
        <w:rPr>
          <w:szCs w:val="18"/>
        </w:rPr>
      </w:pPr>
      <w:r w:rsidRPr="00067752">
        <w:rPr>
          <w:szCs w:val="18"/>
        </w:rPr>
        <w:t xml:space="preserve">Een wettelijke verplichting heeft nadelen. </w:t>
      </w:r>
      <w:r w:rsidR="00BE1568">
        <w:rPr>
          <w:szCs w:val="18"/>
        </w:rPr>
        <w:t xml:space="preserve">Met dergelijke verplichtingen </w:t>
      </w:r>
      <w:r w:rsidRPr="00067752">
        <w:rPr>
          <w:szCs w:val="18"/>
        </w:rPr>
        <w:t xml:space="preserve">beperkt de wetgever de handelingsvrijheid van het kabinet </w:t>
      </w:r>
      <w:r w:rsidR="0050656E">
        <w:rPr>
          <w:szCs w:val="18"/>
        </w:rPr>
        <w:t xml:space="preserve">én het budgetrecht van </w:t>
      </w:r>
      <w:r w:rsidR="0074098F">
        <w:rPr>
          <w:szCs w:val="18"/>
        </w:rPr>
        <w:t>het parlement</w:t>
      </w:r>
      <w:r w:rsidRPr="00067752">
        <w:rPr>
          <w:szCs w:val="18"/>
        </w:rPr>
        <w:t xml:space="preserve">. </w:t>
      </w:r>
      <w:r w:rsidR="0050656E">
        <w:rPr>
          <w:szCs w:val="18"/>
        </w:rPr>
        <w:t>Het uitkeren</w:t>
      </w:r>
      <w:r w:rsidRPr="00067752">
        <w:rPr>
          <w:szCs w:val="18"/>
        </w:rPr>
        <w:t xml:space="preserve"> van de prijsbijstelling ligt dan namelijk deels vast in de wet, waardoor </w:t>
      </w:r>
      <w:r w:rsidR="0050656E">
        <w:rPr>
          <w:szCs w:val="18"/>
        </w:rPr>
        <w:t xml:space="preserve">er </w:t>
      </w:r>
      <w:r w:rsidRPr="00067752">
        <w:rPr>
          <w:szCs w:val="18"/>
        </w:rPr>
        <w:t xml:space="preserve">bij de begrotingsbesluitvorming minder ruimte is </w:t>
      </w:r>
      <w:r w:rsidR="0050656E">
        <w:rPr>
          <w:szCs w:val="18"/>
        </w:rPr>
        <w:t xml:space="preserve">voor het kabinet en </w:t>
      </w:r>
      <w:r w:rsidR="0074098F">
        <w:rPr>
          <w:szCs w:val="18"/>
        </w:rPr>
        <w:t>het parlement</w:t>
      </w:r>
      <w:r w:rsidR="0050656E">
        <w:rPr>
          <w:szCs w:val="18"/>
        </w:rPr>
        <w:t xml:space="preserve"> </w:t>
      </w:r>
      <w:r w:rsidRPr="00067752">
        <w:rPr>
          <w:szCs w:val="18"/>
        </w:rPr>
        <w:t>om keuzes te maken.</w:t>
      </w:r>
    </w:p>
    <w:p w:rsidRPr="00067752" w:rsidR="00774A9A" w:rsidP="00774A9A" w:rsidRDefault="00774A9A" w14:paraId="79F536F1" w14:textId="1A5DBD27">
      <w:pPr>
        <w:spacing w:line="240" w:lineRule="auto"/>
        <w:rPr>
          <w:szCs w:val="18"/>
        </w:rPr>
      </w:pPr>
    </w:p>
    <w:p w:rsidRPr="00067752" w:rsidR="00774A9A" w:rsidP="00774A9A" w:rsidRDefault="0076744A" w14:paraId="03AF4344" w14:textId="3C682DC8">
      <w:pPr>
        <w:spacing w:line="240" w:lineRule="auto"/>
        <w:rPr>
          <w:szCs w:val="18"/>
        </w:rPr>
      </w:pPr>
      <w:r w:rsidRPr="00067752">
        <w:rPr>
          <w:szCs w:val="18"/>
        </w:rPr>
        <w:t xml:space="preserve">Daarnaast kan ongelijkheid ontstaan tussen </w:t>
      </w:r>
      <w:r w:rsidR="00AD0A03">
        <w:rPr>
          <w:szCs w:val="18"/>
        </w:rPr>
        <w:t xml:space="preserve">de </w:t>
      </w:r>
      <w:r w:rsidRPr="00067752">
        <w:rPr>
          <w:szCs w:val="18"/>
        </w:rPr>
        <w:t xml:space="preserve">sectoren </w:t>
      </w:r>
      <w:r w:rsidR="00AD0A03">
        <w:rPr>
          <w:szCs w:val="18"/>
        </w:rPr>
        <w:t xml:space="preserve">op de OCW-begroting </w:t>
      </w:r>
      <w:r w:rsidRPr="00067752">
        <w:rPr>
          <w:szCs w:val="18"/>
        </w:rPr>
        <w:t xml:space="preserve">als niet overal dezelfde verplichting geldt. Bij een rijksbrede korting kan de prijsbijstelling dan niet evenredig worden verdeeld, zonder integrale afweging. Dat kan leiden tot situaties zoals bij de Voorjaarsnota 2025. </w:t>
      </w:r>
      <w:r w:rsidRPr="00067752" w:rsidR="00774A9A">
        <w:rPr>
          <w:szCs w:val="18"/>
        </w:rPr>
        <w:t xml:space="preserve">Omdat de prijsbijstelling een groot deel van de </w:t>
      </w:r>
      <w:r w:rsidR="0050656E">
        <w:rPr>
          <w:szCs w:val="18"/>
        </w:rPr>
        <w:t>OCW-</w:t>
      </w:r>
      <w:r w:rsidRPr="00067752" w:rsidR="00774A9A">
        <w:rPr>
          <w:szCs w:val="18"/>
        </w:rPr>
        <w:t xml:space="preserve">begroting raakt, </w:t>
      </w:r>
      <w:r w:rsidR="0050656E">
        <w:rPr>
          <w:szCs w:val="18"/>
        </w:rPr>
        <w:t>landen</w:t>
      </w:r>
      <w:r w:rsidRPr="00067752" w:rsidR="0050656E">
        <w:rPr>
          <w:szCs w:val="18"/>
        </w:rPr>
        <w:t xml:space="preserve"> </w:t>
      </w:r>
      <w:r w:rsidRPr="00067752" w:rsidR="00774A9A">
        <w:rPr>
          <w:szCs w:val="18"/>
        </w:rPr>
        <w:t xml:space="preserve">bezuinigingen al snel </w:t>
      </w:r>
      <w:r w:rsidR="0050656E">
        <w:rPr>
          <w:szCs w:val="18"/>
        </w:rPr>
        <w:t xml:space="preserve">in de </w:t>
      </w:r>
      <w:r w:rsidRPr="00067752" w:rsidR="00774A9A">
        <w:rPr>
          <w:szCs w:val="18"/>
        </w:rPr>
        <w:t>onderwijsbekostiging of op andere prioriteiten van OCW.</w:t>
      </w:r>
      <w:r w:rsidR="003E33DA">
        <w:rPr>
          <w:szCs w:val="18"/>
        </w:rPr>
        <w:t xml:space="preserve"> </w:t>
      </w:r>
      <w:r w:rsidRPr="00067752" w:rsidR="00774A9A">
        <w:rPr>
          <w:szCs w:val="18"/>
        </w:rPr>
        <w:t xml:space="preserve">Als de wens is om het onderwijs te ontzien, worden de (veel kleinere) begrotingsonderdelen cultuur, onderzoek en emancipatie </w:t>
      </w:r>
      <w:r w:rsidRPr="00D81937" w:rsidR="00774A9A">
        <w:rPr>
          <w:szCs w:val="18"/>
        </w:rPr>
        <w:t>bijzonder zwaar</w:t>
      </w:r>
      <w:r w:rsidRPr="00067752" w:rsidR="00774A9A">
        <w:rPr>
          <w:szCs w:val="18"/>
        </w:rPr>
        <w:t xml:space="preserve"> geraakt. Bij meerdere kortingen kunnen extra wettelijke verplichtingen ertoe leiden dat de</w:t>
      </w:r>
      <w:r w:rsidR="00770B12">
        <w:rPr>
          <w:szCs w:val="18"/>
        </w:rPr>
        <w:t xml:space="preserve"> budgetten </w:t>
      </w:r>
      <w:r w:rsidR="00823323">
        <w:rPr>
          <w:szCs w:val="18"/>
        </w:rPr>
        <w:t xml:space="preserve">van door </w:t>
      </w:r>
      <w:r w:rsidRPr="00067752" w:rsidR="00774A9A">
        <w:rPr>
          <w:szCs w:val="18"/>
        </w:rPr>
        <w:t>OCW</w:t>
      </w:r>
      <w:r w:rsidR="00A964A6">
        <w:rPr>
          <w:szCs w:val="18"/>
        </w:rPr>
        <w:t xml:space="preserve"> </w:t>
      </w:r>
      <w:r w:rsidR="00823323">
        <w:rPr>
          <w:szCs w:val="18"/>
        </w:rPr>
        <w:t xml:space="preserve">gefinancierde instellingen </w:t>
      </w:r>
      <w:r w:rsidRPr="00067752" w:rsidR="00774A9A">
        <w:rPr>
          <w:szCs w:val="18"/>
        </w:rPr>
        <w:t xml:space="preserve">substantieel </w:t>
      </w:r>
      <w:r w:rsidR="00770B12">
        <w:rPr>
          <w:szCs w:val="18"/>
        </w:rPr>
        <w:t>worden verlaagd</w:t>
      </w:r>
      <w:r w:rsidRPr="00067752" w:rsidR="00774A9A">
        <w:rPr>
          <w:szCs w:val="18"/>
        </w:rPr>
        <w:t>.</w:t>
      </w:r>
    </w:p>
    <w:p w:rsidR="00774A9A" w:rsidP="00774A9A" w:rsidRDefault="00774A9A" w14:paraId="58987E18" w14:textId="77777777">
      <w:pPr>
        <w:spacing w:line="240" w:lineRule="auto"/>
        <w:rPr>
          <w:szCs w:val="18"/>
        </w:rPr>
      </w:pPr>
    </w:p>
    <w:p w:rsidR="00C34BF9" w:rsidP="00774A9A" w:rsidRDefault="00C34BF9" w14:paraId="7C5D08E8" w14:textId="00942D4E">
      <w:pPr>
        <w:spacing w:line="240" w:lineRule="auto"/>
        <w:rPr>
          <w:szCs w:val="18"/>
        </w:rPr>
      </w:pPr>
      <w:r>
        <w:rPr>
          <w:szCs w:val="18"/>
        </w:rPr>
        <w:t>Gelijkheid tussen sectoren, in het geval van een kabinetskorting, kan ook bereikt worden door de bestaande wettelijke verplichtingen af te schaffen. Daar zijn wetswijzigingen voor nodig. Als geen enkele sector een wettelijke verplichting heeft kan de kabinetskorting evenredig over de OCW-begroting worden verdeeld.</w:t>
      </w:r>
    </w:p>
    <w:p w:rsidRPr="00D81937" w:rsidR="00C34BF9" w:rsidP="00774A9A" w:rsidRDefault="00C34BF9" w14:paraId="0DAC26B4" w14:textId="77777777">
      <w:pPr>
        <w:spacing w:line="240" w:lineRule="auto"/>
        <w:rPr>
          <w:szCs w:val="18"/>
        </w:rPr>
      </w:pPr>
    </w:p>
    <w:p w:rsidRPr="00067752" w:rsidR="00774A9A" w:rsidP="00774A9A" w:rsidRDefault="00774A9A" w14:paraId="6D2A5088" w14:textId="77777777">
      <w:pPr>
        <w:spacing w:line="240" w:lineRule="auto"/>
        <w:rPr>
          <w:i/>
          <w:iCs/>
          <w:szCs w:val="18"/>
        </w:rPr>
      </w:pPr>
      <w:r w:rsidRPr="00067752">
        <w:rPr>
          <w:i/>
          <w:iCs/>
          <w:szCs w:val="18"/>
        </w:rPr>
        <w:t>Budgettair effect van een wettelijke verplichting voor prijsbijstelling</w:t>
      </w:r>
    </w:p>
    <w:p w:rsidR="009B681E" w:rsidP="00774A9A" w:rsidRDefault="00774A9A" w14:paraId="5BEE064A" w14:textId="77D9FA71">
      <w:pPr>
        <w:spacing w:line="240" w:lineRule="auto"/>
        <w:rPr>
          <w:szCs w:val="18"/>
        </w:rPr>
      </w:pPr>
      <w:r w:rsidRPr="00067752">
        <w:rPr>
          <w:szCs w:val="18"/>
        </w:rPr>
        <w:t>De kosten van een wettelijke verplichting kunnen niet éénmalig worden vastgesteld, omdat de hoogte van de prijsbijstelling ieder jaar verandert. Wel kunnen we ter illustratie laten zien hoe hoog de prijsbijstelling bij de Voorjaarsnota 2025 zou zijn geweest als er geen kabinetskorting had plaatsgevonden</w:t>
      </w:r>
      <w:r w:rsidR="00C23E48">
        <w:rPr>
          <w:szCs w:val="18"/>
        </w:rPr>
        <w:t xml:space="preserve"> en op basis daarvan een </w:t>
      </w:r>
      <w:r w:rsidRPr="00AD0A03" w:rsidR="00C23E48">
        <w:rPr>
          <w:szCs w:val="18"/>
        </w:rPr>
        <w:t>indicatie geven van de kosten voor het introduceren van wettelijke verplichtingen in het vo, mbo</w:t>
      </w:r>
      <w:r w:rsidR="00C23E48">
        <w:rPr>
          <w:szCs w:val="18"/>
        </w:rPr>
        <w:t>, hbo en wo</w:t>
      </w:r>
      <w:r w:rsidRPr="00067752">
        <w:rPr>
          <w:szCs w:val="18"/>
        </w:rPr>
        <w:t xml:space="preserve">. In </w:t>
      </w:r>
      <w:r w:rsidR="009B681E">
        <w:rPr>
          <w:szCs w:val="18"/>
        </w:rPr>
        <w:t>onderstaande</w:t>
      </w:r>
      <w:r w:rsidRPr="00067752" w:rsidR="009B681E">
        <w:rPr>
          <w:szCs w:val="18"/>
        </w:rPr>
        <w:t xml:space="preserve"> </w:t>
      </w:r>
      <w:r w:rsidRPr="00067752">
        <w:rPr>
          <w:szCs w:val="18"/>
        </w:rPr>
        <w:t>tabel staat</w:t>
      </w:r>
      <w:r w:rsidR="009B681E">
        <w:rPr>
          <w:szCs w:val="18"/>
        </w:rPr>
        <w:t>:</w:t>
      </w:r>
    </w:p>
    <w:p w:rsidRPr="00AD0A03" w:rsidR="009B681E" w:rsidP="009B681E" w:rsidRDefault="009B681E" w14:paraId="226CBB1B" w14:textId="4F6A099E">
      <w:pPr>
        <w:pStyle w:val="Lijstalinea"/>
        <w:numPr>
          <w:ilvl w:val="0"/>
          <w:numId w:val="23"/>
        </w:numPr>
        <w:spacing w:line="240" w:lineRule="auto"/>
        <w:rPr>
          <w:szCs w:val="18"/>
        </w:rPr>
      </w:pPr>
      <w:r>
        <w:rPr>
          <w:szCs w:val="18"/>
        </w:rPr>
        <w:t>W</w:t>
      </w:r>
      <w:r w:rsidRPr="009B681E">
        <w:rPr>
          <w:szCs w:val="18"/>
        </w:rPr>
        <w:t>at de totale prijsbijstelling op de OCW-begroting</w:t>
      </w:r>
      <w:r w:rsidR="00AC74F1">
        <w:rPr>
          <w:szCs w:val="18"/>
        </w:rPr>
        <w:t xml:space="preserve"> in 2025</w:t>
      </w:r>
      <w:r w:rsidRPr="009B681E">
        <w:rPr>
          <w:szCs w:val="18"/>
        </w:rPr>
        <w:t xml:space="preserve"> </w:t>
      </w:r>
      <w:r w:rsidR="00552415">
        <w:rPr>
          <w:szCs w:val="18"/>
        </w:rPr>
        <w:t xml:space="preserve">zou zijn als er geen korting was </w:t>
      </w:r>
      <w:r w:rsidRPr="00AD0A03" w:rsidR="00552415">
        <w:rPr>
          <w:szCs w:val="18"/>
        </w:rPr>
        <w:t>geweest</w:t>
      </w:r>
      <w:r w:rsidRPr="00AD0A03">
        <w:rPr>
          <w:szCs w:val="18"/>
        </w:rPr>
        <w:t>;</w:t>
      </w:r>
    </w:p>
    <w:p w:rsidRPr="00AD0A03" w:rsidR="009B681E" w:rsidP="009B681E" w:rsidRDefault="009B681E" w14:paraId="5F3A6546" w14:textId="104977AD">
      <w:pPr>
        <w:pStyle w:val="Lijstalinea"/>
        <w:numPr>
          <w:ilvl w:val="0"/>
          <w:numId w:val="23"/>
        </w:numPr>
        <w:spacing w:line="240" w:lineRule="auto"/>
        <w:rPr>
          <w:szCs w:val="18"/>
        </w:rPr>
      </w:pPr>
      <w:r w:rsidRPr="00AD0A03">
        <w:rPr>
          <w:szCs w:val="18"/>
        </w:rPr>
        <w:t xml:space="preserve">Hoeveel daarvan reeds wettelijk verplicht </w:t>
      </w:r>
      <w:r w:rsidRPr="00AD0A03" w:rsidR="00C23E48">
        <w:rPr>
          <w:szCs w:val="18"/>
        </w:rPr>
        <w:t>is</w:t>
      </w:r>
      <w:r w:rsidRPr="00AD0A03" w:rsidR="00AD0A03">
        <w:rPr>
          <w:szCs w:val="18"/>
        </w:rPr>
        <w:t xml:space="preserve"> (po, media</w:t>
      </w:r>
      <w:r w:rsidR="00BA179A">
        <w:rPr>
          <w:szCs w:val="18"/>
        </w:rPr>
        <w:t xml:space="preserve"> en</w:t>
      </w:r>
      <w:r w:rsidRPr="00AD0A03" w:rsidR="00AD0A03">
        <w:rPr>
          <w:szCs w:val="18"/>
        </w:rPr>
        <w:t xml:space="preserve"> sf)</w:t>
      </w:r>
      <w:r w:rsidRPr="00AD0A03">
        <w:rPr>
          <w:szCs w:val="18"/>
        </w:rPr>
        <w:t>;</w:t>
      </w:r>
    </w:p>
    <w:p w:rsidRPr="00AD0A03" w:rsidR="00774A9A" w:rsidP="00AD0A03" w:rsidRDefault="00AC74F1" w14:paraId="0B606E3E" w14:textId="70273152">
      <w:pPr>
        <w:pStyle w:val="Lijstalinea"/>
        <w:numPr>
          <w:ilvl w:val="0"/>
          <w:numId w:val="23"/>
        </w:numPr>
        <w:spacing w:line="240" w:lineRule="auto"/>
        <w:rPr>
          <w:szCs w:val="18"/>
        </w:rPr>
      </w:pPr>
      <w:r>
        <w:rPr>
          <w:szCs w:val="18"/>
        </w:rPr>
        <w:t>Hoe hoog</w:t>
      </w:r>
      <w:r w:rsidRPr="00AD0A03">
        <w:rPr>
          <w:szCs w:val="18"/>
        </w:rPr>
        <w:t xml:space="preserve"> </w:t>
      </w:r>
      <w:r>
        <w:rPr>
          <w:szCs w:val="18"/>
        </w:rPr>
        <w:t>uitkering van de volledige</w:t>
      </w:r>
      <w:r w:rsidRPr="00AD0A03">
        <w:rPr>
          <w:szCs w:val="18"/>
        </w:rPr>
        <w:t xml:space="preserve"> </w:t>
      </w:r>
      <w:r w:rsidRPr="00AD0A03" w:rsidR="009B681E">
        <w:rPr>
          <w:szCs w:val="18"/>
        </w:rPr>
        <w:t xml:space="preserve">prijsbijstelling op de overige onderwijssectoren </w:t>
      </w:r>
      <w:r w:rsidRPr="00AD0A03" w:rsidR="004136EB">
        <w:rPr>
          <w:szCs w:val="18"/>
        </w:rPr>
        <w:t>zou zijn</w:t>
      </w:r>
      <w:r w:rsidRPr="00AD0A03" w:rsidR="009B681E">
        <w:rPr>
          <w:szCs w:val="18"/>
        </w:rPr>
        <w:t xml:space="preserve">, die </w:t>
      </w:r>
      <w:r>
        <w:rPr>
          <w:szCs w:val="18"/>
        </w:rPr>
        <w:t xml:space="preserve">nu </w:t>
      </w:r>
      <w:r w:rsidRPr="00AD0A03" w:rsidR="009B681E">
        <w:rPr>
          <w:szCs w:val="18"/>
        </w:rPr>
        <w:t>geen wettelijke verplichting kennen (mbo, hbo en wo)</w:t>
      </w:r>
      <w:r w:rsidRPr="00AD0A03" w:rsidR="0074098F">
        <w:rPr>
          <w:szCs w:val="18"/>
        </w:rPr>
        <w:t xml:space="preserve"> of een wettelijke verplichting </w:t>
      </w:r>
      <w:r>
        <w:rPr>
          <w:szCs w:val="18"/>
        </w:rPr>
        <w:t>kent</w:t>
      </w:r>
      <w:r w:rsidRPr="00AD0A03">
        <w:rPr>
          <w:szCs w:val="18"/>
        </w:rPr>
        <w:t xml:space="preserve"> </w:t>
      </w:r>
      <w:r w:rsidRPr="00AD0A03" w:rsidR="0074098F">
        <w:rPr>
          <w:szCs w:val="18"/>
        </w:rPr>
        <w:t>met voorbehoud (vo)</w:t>
      </w:r>
      <w:r w:rsidRPr="00AD0A03" w:rsidR="00774A9A">
        <w:rPr>
          <w:szCs w:val="18"/>
        </w:rPr>
        <w:t>.</w:t>
      </w:r>
    </w:p>
    <w:p w:rsidRPr="00AD0A03" w:rsidR="00774A9A" w:rsidP="00774A9A" w:rsidRDefault="00774A9A" w14:paraId="0D71E551" w14:textId="77777777">
      <w:pPr>
        <w:spacing w:line="240" w:lineRule="auto"/>
        <w:rPr>
          <w:szCs w:val="18"/>
        </w:rPr>
      </w:pPr>
    </w:p>
    <w:p w:rsidR="00C175B5" w:rsidP="00774A9A" w:rsidRDefault="00774A9A" w14:paraId="478DD185" w14:textId="6DBC79D2">
      <w:pPr>
        <w:spacing w:line="240" w:lineRule="auto"/>
        <w:rPr>
          <w:szCs w:val="18"/>
        </w:rPr>
      </w:pPr>
      <w:r w:rsidRPr="00AD0A03">
        <w:rPr>
          <w:szCs w:val="18"/>
        </w:rPr>
        <w:t>Wanneer het kabinet besluit om te korten op de prijsbijstelling zijn de bedragen</w:t>
      </w:r>
      <w:r w:rsidRPr="00067752">
        <w:rPr>
          <w:szCs w:val="18"/>
        </w:rPr>
        <w:t xml:space="preserve"> in de tabel een indicatie van </w:t>
      </w:r>
      <w:r w:rsidR="00C23E48">
        <w:rPr>
          <w:szCs w:val="18"/>
        </w:rPr>
        <w:t xml:space="preserve">de bedragen die nodig zijn </w:t>
      </w:r>
      <w:r w:rsidRPr="00067752">
        <w:rPr>
          <w:szCs w:val="18"/>
        </w:rPr>
        <w:t>om de wettelijk verplichte prijsbijstelling toch volledig uit te keren.</w:t>
      </w:r>
      <w:r w:rsidR="006E734D">
        <w:rPr>
          <w:szCs w:val="18"/>
        </w:rPr>
        <w:t xml:space="preserve"> </w:t>
      </w:r>
      <w:r w:rsidR="00392CED">
        <w:rPr>
          <w:szCs w:val="18"/>
        </w:rPr>
        <w:t>De tabel kan als volgt gelezen worden: a</w:t>
      </w:r>
      <w:r w:rsidR="006E734D">
        <w:rPr>
          <w:szCs w:val="18"/>
        </w:rPr>
        <w:t>ls de prijsbijstelling voor vo, mbo, hbo en wo wettelijk verplicht zou zijn</w:t>
      </w:r>
      <w:r w:rsidR="00392CED">
        <w:rPr>
          <w:szCs w:val="18"/>
        </w:rPr>
        <w:t xml:space="preserve"> zonder voorbehoud</w:t>
      </w:r>
      <w:r w:rsidR="006E734D">
        <w:rPr>
          <w:szCs w:val="18"/>
        </w:rPr>
        <w:t xml:space="preserve">, zou op basis van </w:t>
      </w:r>
      <w:r w:rsidR="00392CED">
        <w:rPr>
          <w:szCs w:val="18"/>
        </w:rPr>
        <w:t xml:space="preserve">prijsontwikkeling bij </w:t>
      </w:r>
      <w:r w:rsidR="006E734D">
        <w:rPr>
          <w:szCs w:val="18"/>
        </w:rPr>
        <w:t xml:space="preserve">Voorjaarsnota 2025 dus </w:t>
      </w:r>
      <w:r w:rsidR="00392CED">
        <w:rPr>
          <w:szCs w:val="18"/>
        </w:rPr>
        <w:t xml:space="preserve">structureel € </w:t>
      </w:r>
      <w:r w:rsidR="006E734D">
        <w:rPr>
          <w:szCs w:val="18"/>
        </w:rPr>
        <w:t xml:space="preserve">123 </w:t>
      </w:r>
      <w:r w:rsidR="00392CED">
        <w:rPr>
          <w:szCs w:val="18"/>
        </w:rPr>
        <w:t xml:space="preserve">miljoen </w:t>
      </w:r>
      <w:r w:rsidR="006E734D">
        <w:rPr>
          <w:szCs w:val="18"/>
        </w:rPr>
        <w:t xml:space="preserve">plus </w:t>
      </w:r>
      <w:r w:rsidR="00392CED">
        <w:rPr>
          <w:szCs w:val="18"/>
        </w:rPr>
        <w:t xml:space="preserve">€ </w:t>
      </w:r>
      <w:r w:rsidR="006E734D">
        <w:rPr>
          <w:szCs w:val="18"/>
        </w:rPr>
        <w:t>153 miljoen euro aan prijsbijstelling volledig uitgekeerd moeten worden</w:t>
      </w:r>
      <w:r w:rsidR="00392CED">
        <w:rPr>
          <w:szCs w:val="18"/>
        </w:rPr>
        <w:t xml:space="preserve"> (totaal € 276 miljoen)</w:t>
      </w:r>
      <w:r w:rsidR="006E734D">
        <w:rPr>
          <w:szCs w:val="18"/>
        </w:rPr>
        <w:t xml:space="preserve">. </w:t>
      </w:r>
      <w:r w:rsidR="00392CED">
        <w:rPr>
          <w:szCs w:val="18"/>
        </w:rPr>
        <w:t>Dat is ongeveer</w:t>
      </w:r>
      <w:r w:rsidR="006E734D">
        <w:rPr>
          <w:szCs w:val="18"/>
        </w:rPr>
        <w:t xml:space="preserve"> 80 procent van de totale prijsbijstelling.</w:t>
      </w:r>
      <w:r w:rsidR="00392CED">
        <w:rPr>
          <w:szCs w:val="18"/>
        </w:rPr>
        <w:t xml:space="preserve"> Bij een rijksbrede kabinetskorting zal OCW dat bedrag structureel moeten dekken op de eigen begroting, conform de begrotingsregels van het kabinet.</w:t>
      </w:r>
    </w:p>
    <w:p w:rsidR="00C175B5" w:rsidRDefault="00C175B5" w14:paraId="729A6180" w14:textId="77777777">
      <w:pPr>
        <w:spacing w:line="240" w:lineRule="auto"/>
        <w:rPr>
          <w:szCs w:val="18"/>
        </w:rPr>
      </w:pPr>
      <w:r>
        <w:rPr>
          <w:szCs w:val="18"/>
        </w:rPr>
        <w:br w:type="page"/>
      </w:r>
    </w:p>
    <w:tbl>
      <w:tblPr>
        <w:tblW w:w="5000" w:type="pct"/>
        <w:tblCellMar>
          <w:left w:w="70" w:type="dxa"/>
          <w:right w:w="70" w:type="dxa"/>
        </w:tblCellMar>
        <w:tblLook w:val="04A0" w:firstRow="1" w:lastRow="0" w:firstColumn="1" w:lastColumn="0" w:noHBand="0" w:noVBand="1"/>
      </w:tblPr>
      <w:tblGrid>
        <w:gridCol w:w="2825"/>
        <w:gridCol w:w="780"/>
        <w:gridCol w:w="780"/>
        <w:gridCol w:w="779"/>
        <w:gridCol w:w="779"/>
        <w:gridCol w:w="778"/>
        <w:gridCol w:w="779"/>
      </w:tblGrid>
      <w:tr w:rsidRPr="00D81937" w:rsidR="00774A9A" w:rsidTr="009F4369" w14:paraId="359997DC" w14:textId="77777777">
        <w:trPr>
          <w:trHeight w:val="255"/>
        </w:trPr>
        <w:tc>
          <w:tcPr>
            <w:tcW w:w="5000" w:type="pct"/>
            <w:gridSpan w:val="7"/>
            <w:tcBorders>
              <w:top w:val="nil"/>
              <w:left w:val="nil"/>
              <w:bottom w:val="single" w:color="auto" w:sz="4" w:space="0"/>
              <w:right w:val="nil"/>
            </w:tcBorders>
            <w:noWrap/>
            <w:vAlign w:val="bottom"/>
            <w:hideMark/>
          </w:tcPr>
          <w:p w:rsidRPr="00D81937" w:rsidR="00774A9A" w:rsidP="00D41BF7" w:rsidRDefault="00774A9A" w14:paraId="23880E4E" w14:textId="77777777">
            <w:pPr>
              <w:spacing w:line="240" w:lineRule="auto"/>
              <w:jc w:val="right"/>
              <w:rPr>
                <w:i/>
                <w:iCs/>
                <w:sz w:val="16"/>
                <w:szCs w:val="16"/>
              </w:rPr>
            </w:pPr>
            <w:r w:rsidRPr="00D81937">
              <w:rPr>
                <w:i/>
                <w:iCs/>
                <w:sz w:val="16"/>
                <w:szCs w:val="16"/>
              </w:rPr>
              <w:lastRenderedPageBreak/>
              <w:t>(Bedragen x € 1 miljoen)</w:t>
            </w:r>
          </w:p>
        </w:tc>
      </w:tr>
      <w:tr w:rsidRPr="00D81937" w:rsidR="00774A9A" w:rsidTr="009F4369" w14:paraId="68BF9F57" w14:textId="77777777">
        <w:trPr>
          <w:trHeight w:val="210"/>
        </w:trPr>
        <w:tc>
          <w:tcPr>
            <w:tcW w:w="5000" w:type="pct"/>
            <w:gridSpan w:val="7"/>
            <w:tcBorders>
              <w:top w:val="single" w:color="auto" w:sz="4" w:space="0"/>
              <w:left w:val="nil"/>
              <w:bottom w:val="single" w:color="auto" w:sz="4" w:space="0"/>
              <w:right w:val="nil"/>
            </w:tcBorders>
            <w:noWrap/>
            <w:vAlign w:val="bottom"/>
            <w:hideMark/>
          </w:tcPr>
          <w:p w:rsidRPr="00D81937" w:rsidR="00774A9A" w:rsidP="00D41BF7" w:rsidRDefault="00774A9A" w14:paraId="60639E5F" w14:textId="77777777">
            <w:pPr>
              <w:spacing w:line="240" w:lineRule="auto"/>
              <w:rPr>
                <w:b/>
                <w:bCs/>
                <w:sz w:val="16"/>
                <w:szCs w:val="16"/>
              </w:rPr>
            </w:pPr>
            <w:r w:rsidRPr="00D81937">
              <w:rPr>
                <w:b/>
                <w:bCs/>
                <w:sz w:val="16"/>
                <w:szCs w:val="16"/>
              </w:rPr>
              <w:t>Prijsbijstelling op de OCW-begroting*</w:t>
            </w:r>
          </w:p>
        </w:tc>
      </w:tr>
      <w:tr w:rsidRPr="00D81937" w:rsidR="00774A9A" w:rsidTr="00943529" w14:paraId="606B8680" w14:textId="77777777">
        <w:trPr>
          <w:trHeight w:val="210"/>
        </w:trPr>
        <w:tc>
          <w:tcPr>
            <w:tcW w:w="1781" w:type="pct"/>
            <w:tcBorders>
              <w:top w:val="nil"/>
              <w:left w:val="nil"/>
              <w:bottom w:val="single" w:color="auto" w:sz="4" w:space="0"/>
              <w:right w:val="nil"/>
            </w:tcBorders>
            <w:noWrap/>
            <w:vAlign w:val="bottom"/>
            <w:hideMark/>
          </w:tcPr>
          <w:p w:rsidRPr="00D81937" w:rsidR="00774A9A" w:rsidP="00D41BF7" w:rsidRDefault="00774A9A" w14:paraId="1A50BDF9" w14:textId="77777777">
            <w:pPr>
              <w:spacing w:line="240" w:lineRule="auto"/>
              <w:rPr>
                <w:sz w:val="16"/>
                <w:szCs w:val="16"/>
              </w:rPr>
            </w:pPr>
            <w:r w:rsidRPr="00D81937">
              <w:rPr>
                <w:sz w:val="16"/>
                <w:szCs w:val="16"/>
              </w:rPr>
              <w:t> </w:t>
            </w:r>
          </w:p>
        </w:tc>
        <w:tc>
          <w:tcPr>
            <w:tcW w:w="537" w:type="pct"/>
            <w:tcBorders>
              <w:top w:val="nil"/>
              <w:left w:val="nil"/>
              <w:bottom w:val="single" w:color="auto" w:sz="4" w:space="0"/>
              <w:right w:val="nil"/>
            </w:tcBorders>
            <w:noWrap/>
            <w:vAlign w:val="bottom"/>
            <w:hideMark/>
          </w:tcPr>
          <w:p w:rsidRPr="00D81937" w:rsidR="00774A9A" w:rsidP="00D41BF7" w:rsidRDefault="00774A9A" w14:paraId="2694CC7B" w14:textId="77777777">
            <w:pPr>
              <w:spacing w:line="240" w:lineRule="auto"/>
              <w:rPr>
                <w:b/>
                <w:bCs/>
                <w:sz w:val="16"/>
                <w:szCs w:val="16"/>
              </w:rPr>
            </w:pPr>
            <w:r w:rsidRPr="00D81937">
              <w:rPr>
                <w:b/>
                <w:bCs/>
                <w:sz w:val="16"/>
                <w:szCs w:val="16"/>
              </w:rPr>
              <w:t>2025</w:t>
            </w:r>
          </w:p>
        </w:tc>
        <w:tc>
          <w:tcPr>
            <w:tcW w:w="537" w:type="pct"/>
            <w:tcBorders>
              <w:top w:val="nil"/>
              <w:left w:val="nil"/>
              <w:bottom w:val="single" w:color="auto" w:sz="4" w:space="0"/>
              <w:right w:val="nil"/>
            </w:tcBorders>
            <w:noWrap/>
            <w:vAlign w:val="bottom"/>
            <w:hideMark/>
          </w:tcPr>
          <w:p w:rsidRPr="00D81937" w:rsidR="00774A9A" w:rsidP="00D41BF7" w:rsidRDefault="00774A9A" w14:paraId="3575480D" w14:textId="77777777">
            <w:pPr>
              <w:spacing w:line="240" w:lineRule="auto"/>
              <w:rPr>
                <w:b/>
                <w:bCs/>
                <w:sz w:val="16"/>
                <w:szCs w:val="16"/>
              </w:rPr>
            </w:pPr>
            <w:r w:rsidRPr="00D81937">
              <w:rPr>
                <w:b/>
                <w:bCs/>
                <w:sz w:val="16"/>
                <w:szCs w:val="16"/>
              </w:rPr>
              <w:t>2026</w:t>
            </w:r>
          </w:p>
        </w:tc>
        <w:tc>
          <w:tcPr>
            <w:tcW w:w="536" w:type="pct"/>
            <w:tcBorders>
              <w:top w:val="nil"/>
              <w:left w:val="nil"/>
              <w:bottom w:val="single" w:color="auto" w:sz="4" w:space="0"/>
              <w:right w:val="nil"/>
            </w:tcBorders>
            <w:noWrap/>
            <w:vAlign w:val="bottom"/>
            <w:hideMark/>
          </w:tcPr>
          <w:p w:rsidRPr="00D81937" w:rsidR="00774A9A" w:rsidP="00D41BF7" w:rsidRDefault="00774A9A" w14:paraId="6F59EB7E" w14:textId="77777777">
            <w:pPr>
              <w:spacing w:line="240" w:lineRule="auto"/>
              <w:rPr>
                <w:b/>
                <w:bCs/>
                <w:sz w:val="16"/>
                <w:szCs w:val="16"/>
              </w:rPr>
            </w:pPr>
            <w:r w:rsidRPr="00D81937">
              <w:rPr>
                <w:b/>
                <w:bCs/>
                <w:sz w:val="16"/>
                <w:szCs w:val="16"/>
              </w:rPr>
              <w:t>2027</w:t>
            </w:r>
          </w:p>
        </w:tc>
        <w:tc>
          <w:tcPr>
            <w:tcW w:w="536" w:type="pct"/>
            <w:tcBorders>
              <w:top w:val="nil"/>
              <w:left w:val="nil"/>
              <w:bottom w:val="single" w:color="auto" w:sz="4" w:space="0"/>
              <w:right w:val="nil"/>
            </w:tcBorders>
            <w:noWrap/>
            <w:vAlign w:val="bottom"/>
            <w:hideMark/>
          </w:tcPr>
          <w:p w:rsidRPr="00D81937" w:rsidR="00774A9A" w:rsidP="00D41BF7" w:rsidRDefault="00774A9A" w14:paraId="67AC39A1" w14:textId="77777777">
            <w:pPr>
              <w:spacing w:line="240" w:lineRule="auto"/>
              <w:rPr>
                <w:b/>
                <w:bCs/>
                <w:sz w:val="16"/>
                <w:szCs w:val="16"/>
              </w:rPr>
            </w:pPr>
            <w:r w:rsidRPr="00D81937">
              <w:rPr>
                <w:b/>
                <w:bCs/>
                <w:sz w:val="16"/>
                <w:szCs w:val="16"/>
              </w:rPr>
              <w:t>2028</w:t>
            </w:r>
          </w:p>
        </w:tc>
        <w:tc>
          <w:tcPr>
            <w:tcW w:w="536" w:type="pct"/>
            <w:tcBorders>
              <w:top w:val="nil"/>
              <w:left w:val="nil"/>
              <w:bottom w:val="single" w:color="auto" w:sz="4" w:space="0"/>
              <w:right w:val="nil"/>
            </w:tcBorders>
            <w:noWrap/>
            <w:vAlign w:val="bottom"/>
            <w:hideMark/>
          </w:tcPr>
          <w:p w:rsidRPr="00D81937" w:rsidR="00774A9A" w:rsidP="00D41BF7" w:rsidRDefault="00774A9A" w14:paraId="552BD53D" w14:textId="77777777">
            <w:pPr>
              <w:spacing w:line="240" w:lineRule="auto"/>
              <w:rPr>
                <w:b/>
                <w:bCs/>
                <w:sz w:val="16"/>
                <w:szCs w:val="16"/>
              </w:rPr>
            </w:pPr>
            <w:r w:rsidRPr="00D81937">
              <w:rPr>
                <w:b/>
                <w:bCs/>
                <w:sz w:val="16"/>
                <w:szCs w:val="16"/>
              </w:rPr>
              <w:t>2029</w:t>
            </w:r>
          </w:p>
        </w:tc>
        <w:tc>
          <w:tcPr>
            <w:tcW w:w="538" w:type="pct"/>
            <w:tcBorders>
              <w:top w:val="nil"/>
              <w:left w:val="nil"/>
              <w:bottom w:val="single" w:color="auto" w:sz="4" w:space="0"/>
              <w:right w:val="nil"/>
            </w:tcBorders>
            <w:noWrap/>
            <w:vAlign w:val="bottom"/>
            <w:hideMark/>
          </w:tcPr>
          <w:p w:rsidRPr="00D81937" w:rsidR="00774A9A" w:rsidP="00D41BF7" w:rsidRDefault="00774A9A" w14:paraId="0DA079C1" w14:textId="77777777">
            <w:pPr>
              <w:spacing w:line="240" w:lineRule="auto"/>
              <w:rPr>
                <w:b/>
                <w:bCs/>
                <w:sz w:val="16"/>
                <w:szCs w:val="16"/>
              </w:rPr>
            </w:pPr>
            <w:r w:rsidRPr="00D81937">
              <w:rPr>
                <w:b/>
                <w:bCs/>
                <w:sz w:val="16"/>
                <w:szCs w:val="16"/>
              </w:rPr>
              <w:t>2030</w:t>
            </w:r>
          </w:p>
        </w:tc>
      </w:tr>
      <w:tr w:rsidRPr="00D81937" w:rsidR="00774A9A" w:rsidTr="00943529" w14:paraId="6458DD65"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1813CED8" w14:textId="77777777">
            <w:pPr>
              <w:spacing w:line="240" w:lineRule="auto"/>
              <w:rPr>
                <w:b/>
                <w:bCs/>
                <w:sz w:val="16"/>
                <w:szCs w:val="16"/>
              </w:rPr>
            </w:pPr>
          </w:p>
        </w:tc>
        <w:tc>
          <w:tcPr>
            <w:tcW w:w="537" w:type="pct"/>
            <w:tcBorders>
              <w:top w:val="nil"/>
              <w:left w:val="nil"/>
              <w:bottom w:val="nil"/>
              <w:right w:val="nil"/>
            </w:tcBorders>
            <w:noWrap/>
            <w:vAlign w:val="bottom"/>
            <w:hideMark/>
          </w:tcPr>
          <w:p w:rsidRPr="00D81937" w:rsidR="00774A9A" w:rsidP="00D41BF7" w:rsidRDefault="00774A9A" w14:paraId="4AF2EEFD" w14:textId="77777777">
            <w:pPr>
              <w:spacing w:line="240" w:lineRule="auto"/>
              <w:rPr>
                <w:sz w:val="16"/>
                <w:szCs w:val="16"/>
              </w:rPr>
            </w:pPr>
          </w:p>
        </w:tc>
        <w:tc>
          <w:tcPr>
            <w:tcW w:w="537" w:type="pct"/>
            <w:tcBorders>
              <w:top w:val="nil"/>
              <w:left w:val="nil"/>
              <w:bottom w:val="nil"/>
              <w:right w:val="nil"/>
            </w:tcBorders>
            <w:noWrap/>
            <w:vAlign w:val="bottom"/>
            <w:hideMark/>
          </w:tcPr>
          <w:p w:rsidRPr="00D81937" w:rsidR="00774A9A" w:rsidP="00D41BF7" w:rsidRDefault="00774A9A" w14:paraId="64C7346D" w14:textId="77777777">
            <w:pPr>
              <w:spacing w:line="240" w:lineRule="auto"/>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4933359B" w14:textId="77777777">
            <w:pPr>
              <w:spacing w:line="240" w:lineRule="auto"/>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4C9C4663" w14:textId="77777777">
            <w:pPr>
              <w:spacing w:line="240" w:lineRule="auto"/>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22451DF5" w14:textId="77777777">
            <w:pPr>
              <w:spacing w:line="240" w:lineRule="auto"/>
              <w:rPr>
                <w:sz w:val="16"/>
                <w:szCs w:val="16"/>
              </w:rPr>
            </w:pPr>
          </w:p>
        </w:tc>
        <w:tc>
          <w:tcPr>
            <w:tcW w:w="538" w:type="pct"/>
            <w:tcBorders>
              <w:top w:val="nil"/>
              <w:left w:val="nil"/>
              <w:bottom w:val="nil"/>
              <w:right w:val="nil"/>
            </w:tcBorders>
            <w:noWrap/>
            <w:vAlign w:val="bottom"/>
            <w:hideMark/>
          </w:tcPr>
          <w:p w:rsidRPr="00D81937" w:rsidR="00774A9A" w:rsidP="00D41BF7" w:rsidRDefault="00774A9A" w14:paraId="509AF940" w14:textId="77777777">
            <w:pPr>
              <w:spacing w:line="240" w:lineRule="auto"/>
              <w:rPr>
                <w:sz w:val="16"/>
                <w:szCs w:val="16"/>
              </w:rPr>
            </w:pPr>
          </w:p>
        </w:tc>
      </w:tr>
      <w:tr w:rsidRPr="00D81937" w:rsidR="00774A9A" w:rsidTr="00943529" w14:paraId="4C4FD049" w14:textId="77777777">
        <w:trPr>
          <w:trHeight w:val="210"/>
        </w:trPr>
        <w:tc>
          <w:tcPr>
            <w:tcW w:w="1781" w:type="pct"/>
            <w:tcBorders>
              <w:top w:val="nil"/>
              <w:left w:val="nil"/>
              <w:bottom w:val="nil"/>
              <w:right w:val="nil"/>
            </w:tcBorders>
            <w:noWrap/>
            <w:vAlign w:val="bottom"/>
            <w:hideMark/>
          </w:tcPr>
          <w:p w:rsidRPr="00D81937" w:rsidR="00774A9A" w:rsidP="00D41BF7" w:rsidRDefault="009B681E" w14:paraId="40326108" w14:textId="44306A0D">
            <w:pPr>
              <w:spacing w:line="240" w:lineRule="auto"/>
              <w:rPr>
                <w:b/>
                <w:bCs/>
                <w:sz w:val="16"/>
                <w:szCs w:val="16"/>
              </w:rPr>
            </w:pPr>
            <w:r>
              <w:rPr>
                <w:b/>
                <w:bCs/>
                <w:sz w:val="16"/>
                <w:szCs w:val="16"/>
              </w:rPr>
              <w:t xml:space="preserve">(1) </w:t>
            </w:r>
            <w:r w:rsidRPr="00D81937" w:rsidR="00774A9A">
              <w:rPr>
                <w:b/>
                <w:bCs/>
                <w:sz w:val="16"/>
                <w:szCs w:val="16"/>
              </w:rPr>
              <w:t>Prijsbijstelling to</w:t>
            </w:r>
            <w:r w:rsidR="00C23E48">
              <w:rPr>
                <w:b/>
                <w:bCs/>
                <w:sz w:val="16"/>
                <w:szCs w:val="16"/>
              </w:rPr>
              <w:t xml:space="preserve">taal (Voorjaarsnota 2025) </w:t>
            </w:r>
          </w:p>
        </w:tc>
        <w:tc>
          <w:tcPr>
            <w:tcW w:w="537" w:type="pct"/>
            <w:tcBorders>
              <w:top w:val="nil"/>
              <w:left w:val="nil"/>
              <w:bottom w:val="nil"/>
              <w:right w:val="nil"/>
            </w:tcBorders>
            <w:noWrap/>
            <w:vAlign w:val="bottom"/>
            <w:hideMark/>
          </w:tcPr>
          <w:p w:rsidRPr="00D81937" w:rsidR="00774A9A" w:rsidP="00D41BF7" w:rsidRDefault="00774A9A" w14:paraId="67C1349D" w14:textId="77777777">
            <w:pPr>
              <w:spacing w:line="240" w:lineRule="auto"/>
              <w:jc w:val="right"/>
              <w:rPr>
                <w:b/>
                <w:bCs/>
                <w:color w:val="000000"/>
                <w:sz w:val="16"/>
                <w:szCs w:val="16"/>
              </w:rPr>
            </w:pPr>
            <w:r w:rsidRPr="00D81937">
              <w:rPr>
                <w:b/>
                <w:bCs/>
                <w:color w:val="000000"/>
                <w:sz w:val="16"/>
                <w:szCs w:val="16"/>
              </w:rPr>
              <w:t xml:space="preserve">       384 </w:t>
            </w:r>
          </w:p>
        </w:tc>
        <w:tc>
          <w:tcPr>
            <w:tcW w:w="537" w:type="pct"/>
            <w:tcBorders>
              <w:top w:val="nil"/>
              <w:left w:val="nil"/>
              <w:bottom w:val="nil"/>
              <w:right w:val="nil"/>
            </w:tcBorders>
            <w:noWrap/>
            <w:vAlign w:val="bottom"/>
            <w:hideMark/>
          </w:tcPr>
          <w:p w:rsidRPr="00D81937" w:rsidR="00774A9A" w:rsidP="00D41BF7" w:rsidRDefault="00774A9A" w14:paraId="7A0C5A86" w14:textId="77777777">
            <w:pPr>
              <w:spacing w:line="240" w:lineRule="auto"/>
              <w:jc w:val="right"/>
              <w:rPr>
                <w:b/>
                <w:bCs/>
                <w:color w:val="000000"/>
                <w:sz w:val="16"/>
                <w:szCs w:val="16"/>
              </w:rPr>
            </w:pPr>
            <w:r w:rsidRPr="00D81937">
              <w:rPr>
                <w:b/>
                <w:bCs/>
                <w:color w:val="000000"/>
                <w:sz w:val="16"/>
                <w:szCs w:val="16"/>
              </w:rPr>
              <w:t xml:space="preserve">       357 </w:t>
            </w:r>
          </w:p>
        </w:tc>
        <w:tc>
          <w:tcPr>
            <w:tcW w:w="536" w:type="pct"/>
            <w:tcBorders>
              <w:top w:val="nil"/>
              <w:left w:val="nil"/>
              <w:bottom w:val="nil"/>
              <w:right w:val="nil"/>
            </w:tcBorders>
            <w:noWrap/>
            <w:vAlign w:val="bottom"/>
            <w:hideMark/>
          </w:tcPr>
          <w:p w:rsidRPr="00D81937" w:rsidR="00774A9A" w:rsidP="00D41BF7" w:rsidRDefault="00774A9A" w14:paraId="46F9D1AC" w14:textId="77777777">
            <w:pPr>
              <w:spacing w:line="240" w:lineRule="auto"/>
              <w:jc w:val="right"/>
              <w:rPr>
                <w:b/>
                <w:bCs/>
                <w:color w:val="000000"/>
                <w:sz w:val="16"/>
                <w:szCs w:val="16"/>
              </w:rPr>
            </w:pPr>
            <w:r w:rsidRPr="00D81937">
              <w:rPr>
                <w:b/>
                <w:bCs/>
                <w:color w:val="000000"/>
                <w:sz w:val="16"/>
                <w:szCs w:val="16"/>
              </w:rPr>
              <w:t xml:space="preserve">       393 </w:t>
            </w:r>
          </w:p>
        </w:tc>
        <w:tc>
          <w:tcPr>
            <w:tcW w:w="536" w:type="pct"/>
            <w:tcBorders>
              <w:top w:val="nil"/>
              <w:left w:val="nil"/>
              <w:bottom w:val="nil"/>
              <w:right w:val="nil"/>
            </w:tcBorders>
            <w:noWrap/>
            <w:vAlign w:val="bottom"/>
            <w:hideMark/>
          </w:tcPr>
          <w:p w:rsidRPr="00D81937" w:rsidR="00774A9A" w:rsidP="00D41BF7" w:rsidRDefault="00774A9A" w14:paraId="78ED8B39" w14:textId="77777777">
            <w:pPr>
              <w:spacing w:line="240" w:lineRule="auto"/>
              <w:jc w:val="right"/>
              <w:rPr>
                <w:b/>
                <w:bCs/>
                <w:color w:val="000000"/>
                <w:sz w:val="16"/>
                <w:szCs w:val="16"/>
              </w:rPr>
            </w:pPr>
            <w:r w:rsidRPr="00D81937">
              <w:rPr>
                <w:b/>
                <w:bCs/>
                <w:color w:val="000000"/>
                <w:sz w:val="16"/>
                <w:szCs w:val="16"/>
              </w:rPr>
              <w:t xml:space="preserve">       347 </w:t>
            </w:r>
          </w:p>
        </w:tc>
        <w:tc>
          <w:tcPr>
            <w:tcW w:w="536" w:type="pct"/>
            <w:tcBorders>
              <w:top w:val="nil"/>
              <w:left w:val="nil"/>
              <w:bottom w:val="nil"/>
              <w:right w:val="nil"/>
            </w:tcBorders>
            <w:noWrap/>
            <w:vAlign w:val="bottom"/>
            <w:hideMark/>
          </w:tcPr>
          <w:p w:rsidRPr="00D81937" w:rsidR="00774A9A" w:rsidP="00D41BF7" w:rsidRDefault="00774A9A" w14:paraId="4C02FE72" w14:textId="77777777">
            <w:pPr>
              <w:spacing w:line="240" w:lineRule="auto"/>
              <w:jc w:val="right"/>
              <w:rPr>
                <w:b/>
                <w:bCs/>
                <w:color w:val="000000"/>
                <w:sz w:val="16"/>
                <w:szCs w:val="16"/>
              </w:rPr>
            </w:pPr>
            <w:r w:rsidRPr="00D81937">
              <w:rPr>
                <w:b/>
                <w:bCs/>
                <w:color w:val="000000"/>
                <w:sz w:val="16"/>
                <w:szCs w:val="16"/>
              </w:rPr>
              <w:t xml:space="preserve">       345 </w:t>
            </w:r>
          </w:p>
        </w:tc>
        <w:tc>
          <w:tcPr>
            <w:tcW w:w="538" w:type="pct"/>
            <w:tcBorders>
              <w:top w:val="nil"/>
              <w:left w:val="nil"/>
              <w:bottom w:val="nil"/>
              <w:right w:val="nil"/>
            </w:tcBorders>
            <w:noWrap/>
            <w:vAlign w:val="bottom"/>
            <w:hideMark/>
          </w:tcPr>
          <w:p w:rsidRPr="00D81937" w:rsidR="00774A9A" w:rsidP="00D41BF7" w:rsidRDefault="00774A9A" w14:paraId="29E83541" w14:textId="77777777">
            <w:pPr>
              <w:spacing w:line="240" w:lineRule="auto"/>
              <w:jc w:val="right"/>
              <w:rPr>
                <w:b/>
                <w:bCs/>
                <w:color w:val="000000"/>
                <w:sz w:val="16"/>
                <w:szCs w:val="16"/>
              </w:rPr>
            </w:pPr>
            <w:r w:rsidRPr="00D81937">
              <w:rPr>
                <w:b/>
                <w:bCs/>
                <w:color w:val="000000"/>
                <w:sz w:val="16"/>
                <w:szCs w:val="16"/>
              </w:rPr>
              <w:t xml:space="preserve">       343 </w:t>
            </w:r>
          </w:p>
        </w:tc>
      </w:tr>
      <w:tr w:rsidRPr="00D81937" w:rsidR="00774A9A" w:rsidTr="00943529" w14:paraId="2C2E1BD1"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2CF659E9" w14:textId="77777777">
            <w:pPr>
              <w:spacing w:line="240" w:lineRule="auto"/>
              <w:jc w:val="right"/>
              <w:rPr>
                <w:b/>
                <w:bCs/>
                <w:color w:val="000000"/>
                <w:sz w:val="16"/>
                <w:szCs w:val="16"/>
              </w:rPr>
            </w:pPr>
          </w:p>
        </w:tc>
        <w:tc>
          <w:tcPr>
            <w:tcW w:w="537" w:type="pct"/>
            <w:tcBorders>
              <w:top w:val="nil"/>
              <w:left w:val="nil"/>
              <w:bottom w:val="nil"/>
              <w:right w:val="nil"/>
            </w:tcBorders>
            <w:noWrap/>
            <w:vAlign w:val="bottom"/>
            <w:hideMark/>
          </w:tcPr>
          <w:p w:rsidRPr="00D81937" w:rsidR="00774A9A" w:rsidP="00D41BF7" w:rsidRDefault="00774A9A" w14:paraId="01E40DE0" w14:textId="77777777">
            <w:pPr>
              <w:spacing w:line="240" w:lineRule="auto"/>
              <w:rPr>
                <w:sz w:val="16"/>
                <w:szCs w:val="16"/>
              </w:rPr>
            </w:pPr>
          </w:p>
        </w:tc>
        <w:tc>
          <w:tcPr>
            <w:tcW w:w="537" w:type="pct"/>
            <w:tcBorders>
              <w:top w:val="nil"/>
              <w:left w:val="nil"/>
              <w:bottom w:val="nil"/>
              <w:right w:val="nil"/>
            </w:tcBorders>
            <w:noWrap/>
            <w:vAlign w:val="bottom"/>
            <w:hideMark/>
          </w:tcPr>
          <w:p w:rsidRPr="00D81937" w:rsidR="00774A9A" w:rsidP="00D41BF7" w:rsidRDefault="00774A9A" w14:paraId="24F4EFC4" w14:textId="77777777">
            <w:pPr>
              <w:spacing w:line="240" w:lineRule="auto"/>
              <w:jc w:val="right"/>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639EFE2E" w14:textId="77777777">
            <w:pPr>
              <w:spacing w:line="240" w:lineRule="auto"/>
              <w:jc w:val="right"/>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658A2298" w14:textId="77777777">
            <w:pPr>
              <w:spacing w:line="240" w:lineRule="auto"/>
              <w:jc w:val="right"/>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7F5E1308" w14:textId="77777777">
            <w:pPr>
              <w:spacing w:line="240" w:lineRule="auto"/>
              <w:jc w:val="right"/>
              <w:rPr>
                <w:sz w:val="16"/>
                <w:szCs w:val="16"/>
              </w:rPr>
            </w:pPr>
          </w:p>
        </w:tc>
        <w:tc>
          <w:tcPr>
            <w:tcW w:w="538" w:type="pct"/>
            <w:tcBorders>
              <w:top w:val="nil"/>
              <w:left w:val="nil"/>
              <w:bottom w:val="nil"/>
              <w:right w:val="nil"/>
            </w:tcBorders>
            <w:noWrap/>
            <w:vAlign w:val="bottom"/>
            <w:hideMark/>
          </w:tcPr>
          <w:p w:rsidRPr="00D81937" w:rsidR="00774A9A" w:rsidP="00D41BF7" w:rsidRDefault="00774A9A" w14:paraId="570D16BC" w14:textId="77777777">
            <w:pPr>
              <w:spacing w:line="240" w:lineRule="auto"/>
              <w:jc w:val="right"/>
              <w:rPr>
                <w:sz w:val="16"/>
                <w:szCs w:val="16"/>
              </w:rPr>
            </w:pPr>
          </w:p>
        </w:tc>
      </w:tr>
      <w:tr w:rsidRPr="00D81937" w:rsidR="00774A9A" w:rsidTr="009F4369" w14:paraId="630B58CD" w14:textId="77777777">
        <w:trPr>
          <w:trHeight w:val="210"/>
        </w:trPr>
        <w:tc>
          <w:tcPr>
            <w:tcW w:w="5000" w:type="pct"/>
            <w:gridSpan w:val="7"/>
            <w:tcBorders>
              <w:top w:val="nil"/>
              <w:left w:val="nil"/>
              <w:bottom w:val="nil"/>
              <w:right w:val="nil"/>
            </w:tcBorders>
            <w:noWrap/>
            <w:vAlign w:val="bottom"/>
            <w:hideMark/>
          </w:tcPr>
          <w:p w:rsidRPr="00D81937" w:rsidR="00774A9A" w:rsidP="00D41BF7" w:rsidRDefault="009B681E" w14:paraId="7FEDDB84" w14:textId="6D5C9405">
            <w:pPr>
              <w:spacing w:line="240" w:lineRule="auto"/>
              <w:rPr>
                <w:i/>
                <w:iCs/>
                <w:sz w:val="16"/>
                <w:szCs w:val="16"/>
              </w:rPr>
            </w:pPr>
            <w:r>
              <w:rPr>
                <w:i/>
                <w:iCs/>
                <w:sz w:val="16"/>
                <w:szCs w:val="16"/>
              </w:rPr>
              <w:t xml:space="preserve">(2) </w:t>
            </w:r>
            <w:r w:rsidRPr="00D81937" w:rsidR="00774A9A">
              <w:rPr>
                <w:i/>
                <w:iCs/>
                <w:sz w:val="16"/>
                <w:szCs w:val="16"/>
              </w:rPr>
              <w:t>Wv. Prijsbijstelling reeds wettelijk verplicht</w:t>
            </w:r>
            <w:r>
              <w:rPr>
                <w:i/>
                <w:iCs/>
                <w:sz w:val="16"/>
                <w:szCs w:val="16"/>
              </w:rPr>
              <w:t>, zonder voorbehoud</w:t>
            </w:r>
          </w:p>
        </w:tc>
      </w:tr>
      <w:tr w:rsidRPr="00D81937" w:rsidR="00774A9A" w:rsidTr="00943529" w14:paraId="51A9C10E"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455AA86F" w14:textId="4B182514">
            <w:pPr>
              <w:spacing w:line="240" w:lineRule="auto"/>
              <w:rPr>
                <w:sz w:val="16"/>
                <w:szCs w:val="16"/>
              </w:rPr>
            </w:pPr>
            <w:r w:rsidRPr="00D81937">
              <w:rPr>
                <w:sz w:val="16"/>
                <w:szCs w:val="16"/>
              </w:rPr>
              <w:t>Bekostiging po</w:t>
            </w:r>
            <w:r w:rsidR="0074098F">
              <w:rPr>
                <w:sz w:val="16"/>
                <w:szCs w:val="16"/>
              </w:rPr>
              <w:t xml:space="preserve"> (incl. speciaal onderwijs)</w:t>
            </w:r>
          </w:p>
        </w:tc>
        <w:tc>
          <w:tcPr>
            <w:tcW w:w="537" w:type="pct"/>
            <w:tcBorders>
              <w:top w:val="nil"/>
              <w:left w:val="nil"/>
              <w:bottom w:val="nil"/>
              <w:right w:val="nil"/>
            </w:tcBorders>
            <w:noWrap/>
            <w:vAlign w:val="bottom"/>
            <w:hideMark/>
          </w:tcPr>
          <w:p w:rsidRPr="00D81937" w:rsidR="00774A9A" w:rsidP="00D41BF7" w:rsidRDefault="00774A9A" w14:paraId="41FC7CBF" w14:textId="77777777">
            <w:pPr>
              <w:spacing w:line="240" w:lineRule="auto"/>
              <w:jc w:val="right"/>
              <w:rPr>
                <w:sz w:val="16"/>
                <w:szCs w:val="16"/>
              </w:rPr>
            </w:pPr>
            <w:r w:rsidRPr="00D81937">
              <w:rPr>
                <w:sz w:val="16"/>
                <w:szCs w:val="16"/>
              </w:rPr>
              <w:t>46</w:t>
            </w:r>
          </w:p>
        </w:tc>
        <w:tc>
          <w:tcPr>
            <w:tcW w:w="537" w:type="pct"/>
            <w:tcBorders>
              <w:top w:val="nil"/>
              <w:left w:val="nil"/>
              <w:bottom w:val="nil"/>
              <w:right w:val="nil"/>
            </w:tcBorders>
            <w:noWrap/>
            <w:vAlign w:val="bottom"/>
            <w:hideMark/>
          </w:tcPr>
          <w:p w:rsidRPr="00D81937" w:rsidR="00774A9A" w:rsidP="00D41BF7" w:rsidRDefault="00774A9A" w14:paraId="0E4A7DBC" w14:textId="77777777">
            <w:pPr>
              <w:spacing w:line="240" w:lineRule="auto"/>
              <w:jc w:val="right"/>
              <w:rPr>
                <w:sz w:val="16"/>
                <w:szCs w:val="16"/>
              </w:rPr>
            </w:pPr>
            <w:r w:rsidRPr="00D81937">
              <w:rPr>
                <w:sz w:val="16"/>
                <w:szCs w:val="16"/>
              </w:rPr>
              <w:t>45</w:t>
            </w:r>
          </w:p>
        </w:tc>
        <w:tc>
          <w:tcPr>
            <w:tcW w:w="536" w:type="pct"/>
            <w:tcBorders>
              <w:top w:val="nil"/>
              <w:left w:val="nil"/>
              <w:bottom w:val="nil"/>
              <w:right w:val="nil"/>
            </w:tcBorders>
            <w:noWrap/>
            <w:vAlign w:val="bottom"/>
            <w:hideMark/>
          </w:tcPr>
          <w:p w:rsidRPr="00D81937" w:rsidR="00774A9A" w:rsidP="00D41BF7" w:rsidRDefault="00774A9A" w14:paraId="5AC660AC" w14:textId="77777777">
            <w:pPr>
              <w:spacing w:line="240" w:lineRule="auto"/>
              <w:jc w:val="right"/>
              <w:rPr>
                <w:sz w:val="16"/>
                <w:szCs w:val="16"/>
              </w:rPr>
            </w:pPr>
            <w:r w:rsidRPr="00D81937">
              <w:rPr>
                <w:sz w:val="16"/>
                <w:szCs w:val="16"/>
              </w:rPr>
              <w:t>45</w:t>
            </w:r>
          </w:p>
        </w:tc>
        <w:tc>
          <w:tcPr>
            <w:tcW w:w="536" w:type="pct"/>
            <w:tcBorders>
              <w:top w:val="nil"/>
              <w:left w:val="nil"/>
              <w:bottom w:val="nil"/>
              <w:right w:val="nil"/>
            </w:tcBorders>
            <w:noWrap/>
            <w:vAlign w:val="bottom"/>
            <w:hideMark/>
          </w:tcPr>
          <w:p w:rsidRPr="00D81937" w:rsidR="00774A9A" w:rsidP="00D41BF7" w:rsidRDefault="00774A9A" w14:paraId="07779C5A" w14:textId="77777777">
            <w:pPr>
              <w:spacing w:line="240" w:lineRule="auto"/>
              <w:jc w:val="right"/>
              <w:rPr>
                <w:sz w:val="16"/>
                <w:szCs w:val="16"/>
              </w:rPr>
            </w:pPr>
            <w:r w:rsidRPr="00D81937">
              <w:rPr>
                <w:sz w:val="16"/>
                <w:szCs w:val="16"/>
              </w:rPr>
              <w:t>45</w:t>
            </w:r>
          </w:p>
        </w:tc>
        <w:tc>
          <w:tcPr>
            <w:tcW w:w="536" w:type="pct"/>
            <w:tcBorders>
              <w:top w:val="nil"/>
              <w:left w:val="nil"/>
              <w:bottom w:val="nil"/>
              <w:right w:val="nil"/>
            </w:tcBorders>
            <w:noWrap/>
            <w:vAlign w:val="bottom"/>
            <w:hideMark/>
          </w:tcPr>
          <w:p w:rsidRPr="00D81937" w:rsidR="00774A9A" w:rsidP="00D41BF7" w:rsidRDefault="00774A9A" w14:paraId="12B5D176" w14:textId="77777777">
            <w:pPr>
              <w:spacing w:line="240" w:lineRule="auto"/>
              <w:jc w:val="right"/>
              <w:rPr>
                <w:sz w:val="16"/>
                <w:szCs w:val="16"/>
              </w:rPr>
            </w:pPr>
            <w:r w:rsidRPr="00D81937">
              <w:rPr>
                <w:sz w:val="16"/>
                <w:szCs w:val="16"/>
              </w:rPr>
              <w:t>45</w:t>
            </w:r>
          </w:p>
        </w:tc>
        <w:tc>
          <w:tcPr>
            <w:tcW w:w="538" w:type="pct"/>
            <w:tcBorders>
              <w:top w:val="nil"/>
              <w:left w:val="nil"/>
              <w:bottom w:val="nil"/>
              <w:right w:val="nil"/>
            </w:tcBorders>
            <w:noWrap/>
            <w:vAlign w:val="bottom"/>
            <w:hideMark/>
          </w:tcPr>
          <w:p w:rsidRPr="00D81937" w:rsidR="00774A9A" w:rsidP="00D41BF7" w:rsidRDefault="00774A9A" w14:paraId="64314826" w14:textId="77777777">
            <w:pPr>
              <w:spacing w:line="240" w:lineRule="auto"/>
              <w:jc w:val="right"/>
              <w:rPr>
                <w:sz w:val="16"/>
                <w:szCs w:val="16"/>
              </w:rPr>
            </w:pPr>
            <w:r w:rsidRPr="00D81937">
              <w:rPr>
                <w:sz w:val="16"/>
                <w:szCs w:val="16"/>
              </w:rPr>
              <w:t>45</w:t>
            </w:r>
          </w:p>
        </w:tc>
      </w:tr>
      <w:tr w:rsidRPr="00D81937" w:rsidR="00774A9A" w:rsidTr="00943529" w14:paraId="5FF00EE5"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78601B76" w14:textId="77777777">
            <w:pPr>
              <w:spacing w:line="240" w:lineRule="auto"/>
              <w:rPr>
                <w:sz w:val="16"/>
                <w:szCs w:val="16"/>
              </w:rPr>
            </w:pPr>
            <w:r w:rsidRPr="00D81937">
              <w:rPr>
                <w:sz w:val="16"/>
                <w:szCs w:val="16"/>
              </w:rPr>
              <w:t>Studiefinanciering</w:t>
            </w:r>
          </w:p>
        </w:tc>
        <w:tc>
          <w:tcPr>
            <w:tcW w:w="537" w:type="pct"/>
            <w:tcBorders>
              <w:top w:val="nil"/>
              <w:left w:val="nil"/>
              <w:bottom w:val="nil"/>
              <w:right w:val="nil"/>
            </w:tcBorders>
            <w:noWrap/>
            <w:vAlign w:val="bottom"/>
            <w:hideMark/>
          </w:tcPr>
          <w:p w:rsidRPr="00D81937" w:rsidR="00774A9A" w:rsidP="00D41BF7" w:rsidRDefault="00774A9A" w14:paraId="1A0A74DB" w14:textId="77777777">
            <w:pPr>
              <w:spacing w:line="240" w:lineRule="auto"/>
              <w:jc w:val="right"/>
              <w:rPr>
                <w:sz w:val="16"/>
                <w:szCs w:val="16"/>
              </w:rPr>
            </w:pPr>
            <w:r w:rsidRPr="00D81937">
              <w:rPr>
                <w:sz w:val="16"/>
                <w:szCs w:val="16"/>
              </w:rPr>
              <w:t>14</w:t>
            </w:r>
          </w:p>
        </w:tc>
        <w:tc>
          <w:tcPr>
            <w:tcW w:w="537" w:type="pct"/>
            <w:tcBorders>
              <w:top w:val="nil"/>
              <w:left w:val="nil"/>
              <w:bottom w:val="nil"/>
              <w:right w:val="nil"/>
            </w:tcBorders>
            <w:noWrap/>
            <w:vAlign w:val="bottom"/>
            <w:hideMark/>
          </w:tcPr>
          <w:p w:rsidRPr="00D81937" w:rsidR="00774A9A" w:rsidP="00D41BF7" w:rsidRDefault="00774A9A" w14:paraId="1E31BA1F" w14:textId="77777777">
            <w:pPr>
              <w:spacing w:line="240" w:lineRule="auto"/>
              <w:jc w:val="right"/>
              <w:rPr>
                <w:sz w:val="16"/>
                <w:szCs w:val="16"/>
              </w:rPr>
            </w:pPr>
            <w:r w:rsidRPr="00D81937">
              <w:rPr>
                <w:sz w:val="16"/>
                <w:szCs w:val="16"/>
              </w:rPr>
              <w:t>44</w:t>
            </w:r>
          </w:p>
        </w:tc>
        <w:tc>
          <w:tcPr>
            <w:tcW w:w="536" w:type="pct"/>
            <w:tcBorders>
              <w:top w:val="nil"/>
              <w:left w:val="nil"/>
              <w:bottom w:val="nil"/>
              <w:right w:val="nil"/>
            </w:tcBorders>
            <w:noWrap/>
            <w:vAlign w:val="bottom"/>
            <w:hideMark/>
          </w:tcPr>
          <w:p w:rsidRPr="00D81937" w:rsidR="00774A9A" w:rsidP="00D41BF7" w:rsidRDefault="00774A9A" w14:paraId="74BDF274" w14:textId="77777777">
            <w:pPr>
              <w:spacing w:line="240" w:lineRule="auto"/>
              <w:jc w:val="right"/>
              <w:rPr>
                <w:sz w:val="16"/>
                <w:szCs w:val="16"/>
              </w:rPr>
            </w:pPr>
            <w:r w:rsidRPr="00D81937">
              <w:rPr>
                <w:sz w:val="16"/>
                <w:szCs w:val="16"/>
              </w:rPr>
              <w:t>44</w:t>
            </w:r>
          </w:p>
        </w:tc>
        <w:tc>
          <w:tcPr>
            <w:tcW w:w="536" w:type="pct"/>
            <w:tcBorders>
              <w:top w:val="nil"/>
              <w:left w:val="nil"/>
              <w:bottom w:val="nil"/>
              <w:right w:val="nil"/>
            </w:tcBorders>
            <w:noWrap/>
            <w:vAlign w:val="bottom"/>
            <w:hideMark/>
          </w:tcPr>
          <w:p w:rsidRPr="00D81937" w:rsidR="00774A9A" w:rsidP="00D41BF7" w:rsidRDefault="00774A9A" w14:paraId="360B3903" w14:textId="77777777">
            <w:pPr>
              <w:spacing w:line="240" w:lineRule="auto"/>
              <w:jc w:val="right"/>
              <w:rPr>
                <w:sz w:val="16"/>
                <w:szCs w:val="16"/>
              </w:rPr>
            </w:pPr>
            <w:r w:rsidRPr="00D81937">
              <w:rPr>
                <w:sz w:val="16"/>
                <w:szCs w:val="16"/>
              </w:rPr>
              <w:t>45</w:t>
            </w:r>
          </w:p>
        </w:tc>
        <w:tc>
          <w:tcPr>
            <w:tcW w:w="536" w:type="pct"/>
            <w:tcBorders>
              <w:top w:val="nil"/>
              <w:left w:val="nil"/>
              <w:bottom w:val="nil"/>
              <w:right w:val="nil"/>
            </w:tcBorders>
            <w:noWrap/>
            <w:vAlign w:val="bottom"/>
            <w:hideMark/>
          </w:tcPr>
          <w:p w:rsidRPr="00D81937" w:rsidR="00774A9A" w:rsidP="00D41BF7" w:rsidRDefault="00774A9A" w14:paraId="6796FF14" w14:textId="77777777">
            <w:pPr>
              <w:spacing w:line="240" w:lineRule="auto"/>
              <w:jc w:val="right"/>
              <w:rPr>
                <w:sz w:val="16"/>
                <w:szCs w:val="16"/>
              </w:rPr>
            </w:pPr>
            <w:r w:rsidRPr="00D81937">
              <w:rPr>
                <w:sz w:val="16"/>
                <w:szCs w:val="16"/>
              </w:rPr>
              <w:t>45</w:t>
            </w:r>
          </w:p>
        </w:tc>
        <w:tc>
          <w:tcPr>
            <w:tcW w:w="538" w:type="pct"/>
            <w:tcBorders>
              <w:top w:val="nil"/>
              <w:left w:val="nil"/>
              <w:bottom w:val="nil"/>
              <w:right w:val="nil"/>
            </w:tcBorders>
            <w:noWrap/>
            <w:vAlign w:val="bottom"/>
            <w:hideMark/>
          </w:tcPr>
          <w:p w:rsidRPr="00D81937" w:rsidR="00774A9A" w:rsidP="00D41BF7" w:rsidRDefault="00774A9A" w14:paraId="26C49E0D" w14:textId="77777777">
            <w:pPr>
              <w:spacing w:line="240" w:lineRule="auto"/>
              <w:jc w:val="right"/>
              <w:rPr>
                <w:sz w:val="16"/>
                <w:szCs w:val="16"/>
              </w:rPr>
            </w:pPr>
            <w:r w:rsidRPr="00D81937">
              <w:rPr>
                <w:sz w:val="16"/>
                <w:szCs w:val="16"/>
              </w:rPr>
              <w:t>46</w:t>
            </w:r>
          </w:p>
        </w:tc>
      </w:tr>
      <w:tr w:rsidRPr="00D81937" w:rsidR="00774A9A" w:rsidTr="00943529" w14:paraId="2618C939"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17784D8C" w14:textId="77777777">
            <w:pPr>
              <w:spacing w:line="240" w:lineRule="auto"/>
              <w:rPr>
                <w:sz w:val="16"/>
                <w:szCs w:val="16"/>
              </w:rPr>
            </w:pPr>
            <w:r w:rsidRPr="00D81937">
              <w:rPr>
                <w:sz w:val="16"/>
                <w:szCs w:val="16"/>
              </w:rPr>
              <w:t>Rijksbijdrage media</w:t>
            </w:r>
          </w:p>
        </w:tc>
        <w:tc>
          <w:tcPr>
            <w:tcW w:w="537" w:type="pct"/>
            <w:tcBorders>
              <w:top w:val="nil"/>
              <w:left w:val="nil"/>
              <w:bottom w:val="nil"/>
              <w:right w:val="nil"/>
            </w:tcBorders>
            <w:noWrap/>
            <w:vAlign w:val="bottom"/>
            <w:hideMark/>
          </w:tcPr>
          <w:p w:rsidRPr="00D81937" w:rsidR="00774A9A" w:rsidP="00D41BF7" w:rsidRDefault="00774A9A" w14:paraId="7D43ABFA" w14:textId="77777777">
            <w:pPr>
              <w:spacing w:line="240" w:lineRule="auto"/>
              <w:jc w:val="right"/>
              <w:rPr>
                <w:sz w:val="16"/>
                <w:szCs w:val="16"/>
              </w:rPr>
            </w:pPr>
            <w:r w:rsidRPr="00D81937">
              <w:rPr>
                <w:sz w:val="16"/>
                <w:szCs w:val="16"/>
              </w:rPr>
              <w:t>34</w:t>
            </w:r>
          </w:p>
        </w:tc>
        <w:tc>
          <w:tcPr>
            <w:tcW w:w="537" w:type="pct"/>
            <w:tcBorders>
              <w:top w:val="nil"/>
              <w:left w:val="nil"/>
              <w:bottom w:val="nil"/>
              <w:right w:val="nil"/>
            </w:tcBorders>
            <w:noWrap/>
            <w:vAlign w:val="bottom"/>
            <w:hideMark/>
          </w:tcPr>
          <w:p w:rsidRPr="00D81937" w:rsidR="00774A9A" w:rsidP="00D41BF7" w:rsidRDefault="00774A9A" w14:paraId="282997E6" w14:textId="77777777">
            <w:pPr>
              <w:spacing w:line="240" w:lineRule="auto"/>
              <w:jc w:val="right"/>
              <w:rPr>
                <w:sz w:val="16"/>
                <w:szCs w:val="16"/>
              </w:rPr>
            </w:pPr>
            <w:r w:rsidRPr="00D81937">
              <w:rPr>
                <w:sz w:val="16"/>
                <w:szCs w:val="16"/>
              </w:rPr>
              <w:t>34</w:t>
            </w:r>
          </w:p>
        </w:tc>
        <w:tc>
          <w:tcPr>
            <w:tcW w:w="536" w:type="pct"/>
            <w:tcBorders>
              <w:top w:val="nil"/>
              <w:left w:val="nil"/>
              <w:bottom w:val="nil"/>
              <w:right w:val="nil"/>
            </w:tcBorders>
            <w:noWrap/>
            <w:vAlign w:val="bottom"/>
            <w:hideMark/>
          </w:tcPr>
          <w:p w:rsidRPr="00D81937" w:rsidR="00774A9A" w:rsidP="00D41BF7" w:rsidRDefault="00774A9A" w14:paraId="5EB5129E" w14:textId="77777777">
            <w:pPr>
              <w:spacing w:line="240" w:lineRule="auto"/>
              <w:jc w:val="right"/>
              <w:rPr>
                <w:sz w:val="16"/>
                <w:szCs w:val="16"/>
              </w:rPr>
            </w:pPr>
            <w:r w:rsidRPr="00D81937">
              <w:rPr>
                <w:sz w:val="16"/>
                <w:szCs w:val="16"/>
              </w:rPr>
              <w:t>31</w:t>
            </w:r>
          </w:p>
        </w:tc>
        <w:tc>
          <w:tcPr>
            <w:tcW w:w="536" w:type="pct"/>
            <w:tcBorders>
              <w:top w:val="nil"/>
              <w:left w:val="nil"/>
              <w:bottom w:val="nil"/>
              <w:right w:val="nil"/>
            </w:tcBorders>
            <w:noWrap/>
            <w:vAlign w:val="bottom"/>
            <w:hideMark/>
          </w:tcPr>
          <w:p w:rsidRPr="00D81937" w:rsidR="00774A9A" w:rsidP="00D41BF7" w:rsidRDefault="00774A9A" w14:paraId="63981CD9" w14:textId="77777777">
            <w:pPr>
              <w:spacing w:line="240" w:lineRule="auto"/>
              <w:jc w:val="right"/>
              <w:rPr>
                <w:sz w:val="16"/>
                <w:szCs w:val="16"/>
              </w:rPr>
            </w:pPr>
            <w:r w:rsidRPr="00D81937">
              <w:rPr>
                <w:sz w:val="16"/>
                <w:szCs w:val="16"/>
              </w:rPr>
              <w:t>31</w:t>
            </w:r>
          </w:p>
        </w:tc>
        <w:tc>
          <w:tcPr>
            <w:tcW w:w="536" w:type="pct"/>
            <w:tcBorders>
              <w:top w:val="nil"/>
              <w:left w:val="nil"/>
              <w:bottom w:val="nil"/>
              <w:right w:val="nil"/>
            </w:tcBorders>
            <w:noWrap/>
            <w:vAlign w:val="bottom"/>
            <w:hideMark/>
          </w:tcPr>
          <w:p w:rsidRPr="00D81937" w:rsidR="00774A9A" w:rsidP="00D41BF7" w:rsidRDefault="00774A9A" w14:paraId="5D97AEC9" w14:textId="77777777">
            <w:pPr>
              <w:spacing w:line="240" w:lineRule="auto"/>
              <w:jc w:val="right"/>
              <w:rPr>
                <w:sz w:val="16"/>
                <w:szCs w:val="16"/>
              </w:rPr>
            </w:pPr>
            <w:r w:rsidRPr="00D81937">
              <w:rPr>
                <w:sz w:val="16"/>
                <w:szCs w:val="16"/>
              </w:rPr>
              <w:t>31</w:t>
            </w:r>
          </w:p>
        </w:tc>
        <w:tc>
          <w:tcPr>
            <w:tcW w:w="538" w:type="pct"/>
            <w:tcBorders>
              <w:top w:val="nil"/>
              <w:left w:val="nil"/>
              <w:bottom w:val="nil"/>
              <w:right w:val="nil"/>
            </w:tcBorders>
            <w:noWrap/>
            <w:vAlign w:val="bottom"/>
            <w:hideMark/>
          </w:tcPr>
          <w:p w:rsidRPr="00D81937" w:rsidR="00774A9A" w:rsidP="00D41BF7" w:rsidRDefault="00774A9A" w14:paraId="1F193BD3" w14:textId="77777777">
            <w:pPr>
              <w:spacing w:line="240" w:lineRule="auto"/>
              <w:jc w:val="right"/>
              <w:rPr>
                <w:sz w:val="16"/>
                <w:szCs w:val="16"/>
              </w:rPr>
            </w:pPr>
            <w:r w:rsidRPr="00D81937">
              <w:rPr>
                <w:sz w:val="16"/>
                <w:szCs w:val="16"/>
              </w:rPr>
              <w:t>32</w:t>
            </w:r>
          </w:p>
        </w:tc>
      </w:tr>
      <w:tr w:rsidRPr="00D81937" w:rsidR="00774A9A" w:rsidTr="00943529" w14:paraId="313A0FD9" w14:textId="77777777">
        <w:trPr>
          <w:trHeight w:val="210"/>
        </w:trPr>
        <w:tc>
          <w:tcPr>
            <w:tcW w:w="1781" w:type="pct"/>
            <w:tcBorders>
              <w:top w:val="single" w:color="auto" w:sz="4" w:space="0"/>
              <w:left w:val="nil"/>
              <w:bottom w:val="single" w:color="auto" w:sz="4" w:space="0"/>
              <w:right w:val="nil"/>
            </w:tcBorders>
            <w:noWrap/>
            <w:vAlign w:val="bottom"/>
            <w:hideMark/>
          </w:tcPr>
          <w:p w:rsidRPr="00D81937" w:rsidR="00774A9A" w:rsidP="00D41BF7" w:rsidRDefault="00774A9A" w14:paraId="1FEC52B2" w14:textId="77777777">
            <w:pPr>
              <w:spacing w:line="240" w:lineRule="auto"/>
              <w:rPr>
                <w:b/>
                <w:bCs/>
                <w:sz w:val="16"/>
                <w:szCs w:val="16"/>
              </w:rPr>
            </w:pPr>
            <w:r w:rsidRPr="00D81937">
              <w:rPr>
                <w:b/>
                <w:bCs/>
                <w:sz w:val="16"/>
                <w:szCs w:val="16"/>
              </w:rPr>
              <w:t xml:space="preserve">Totaal </w:t>
            </w:r>
          </w:p>
        </w:tc>
        <w:tc>
          <w:tcPr>
            <w:tcW w:w="537" w:type="pct"/>
            <w:tcBorders>
              <w:top w:val="single" w:color="auto" w:sz="4" w:space="0"/>
              <w:left w:val="nil"/>
              <w:bottom w:val="single" w:color="auto" w:sz="4" w:space="0"/>
              <w:right w:val="nil"/>
            </w:tcBorders>
            <w:noWrap/>
            <w:vAlign w:val="bottom"/>
            <w:hideMark/>
          </w:tcPr>
          <w:p w:rsidRPr="00D81937" w:rsidR="00774A9A" w:rsidP="00D41BF7" w:rsidRDefault="00774A9A" w14:paraId="482D38FA" w14:textId="77777777">
            <w:pPr>
              <w:spacing w:line="240" w:lineRule="auto"/>
              <w:jc w:val="right"/>
              <w:rPr>
                <w:b/>
                <w:bCs/>
                <w:sz w:val="16"/>
                <w:szCs w:val="16"/>
              </w:rPr>
            </w:pPr>
            <w:r w:rsidRPr="00D81937">
              <w:rPr>
                <w:b/>
                <w:bCs/>
                <w:sz w:val="16"/>
                <w:szCs w:val="16"/>
              </w:rPr>
              <w:t>94</w:t>
            </w:r>
          </w:p>
        </w:tc>
        <w:tc>
          <w:tcPr>
            <w:tcW w:w="537" w:type="pct"/>
            <w:tcBorders>
              <w:top w:val="single" w:color="auto" w:sz="4" w:space="0"/>
              <w:left w:val="nil"/>
              <w:bottom w:val="single" w:color="auto" w:sz="4" w:space="0"/>
              <w:right w:val="nil"/>
            </w:tcBorders>
            <w:noWrap/>
            <w:vAlign w:val="bottom"/>
            <w:hideMark/>
          </w:tcPr>
          <w:p w:rsidRPr="00D81937" w:rsidR="00774A9A" w:rsidP="00D41BF7" w:rsidRDefault="00774A9A" w14:paraId="09EF9F26" w14:textId="77777777">
            <w:pPr>
              <w:spacing w:line="240" w:lineRule="auto"/>
              <w:jc w:val="right"/>
              <w:rPr>
                <w:b/>
                <w:bCs/>
                <w:sz w:val="16"/>
                <w:szCs w:val="16"/>
              </w:rPr>
            </w:pPr>
            <w:r w:rsidRPr="00D81937">
              <w:rPr>
                <w:b/>
                <w:bCs/>
                <w:sz w:val="16"/>
                <w:szCs w:val="16"/>
              </w:rPr>
              <w:t>123</w:t>
            </w:r>
          </w:p>
        </w:tc>
        <w:tc>
          <w:tcPr>
            <w:tcW w:w="536" w:type="pct"/>
            <w:tcBorders>
              <w:top w:val="single" w:color="auto" w:sz="4" w:space="0"/>
              <w:left w:val="nil"/>
              <w:bottom w:val="single" w:color="auto" w:sz="4" w:space="0"/>
              <w:right w:val="nil"/>
            </w:tcBorders>
            <w:noWrap/>
            <w:vAlign w:val="bottom"/>
            <w:hideMark/>
          </w:tcPr>
          <w:p w:rsidRPr="00D81937" w:rsidR="00774A9A" w:rsidP="00D41BF7" w:rsidRDefault="00774A9A" w14:paraId="48B91D7E" w14:textId="77777777">
            <w:pPr>
              <w:spacing w:line="240" w:lineRule="auto"/>
              <w:jc w:val="right"/>
              <w:rPr>
                <w:b/>
                <w:bCs/>
                <w:sz w:val="16"/>
                <w:szCs w:val="16"/>
              </w:rPr>
            </w:pPr>
            <w:r w:rsidRPr="00D81937">
              <w:rPr>
                <w:b/>
                <w:bCs/>
                <w:sz w:val="16"/>
                <w:szCs w:val="16"/>
              </w:rPr>
              <w:t>120</w:t>
            </w:r>
          </w:p>
        </w:tc>
        <w:tc>
          <w:tcPr>
            <w:tcW w:w="536" w:type="pct"/>
            <w:tcBorders>
              <w:top w:val="single" w:color="auto" w:sz="4" w:space="0"/>
              <w:left w:val="nil"/>
              <w:bottom w:val="single" w:color="auto" w:sz="4" w:space="0"/>
              <w:right w:val="nil"/>
            </w:tcBorders>
            <w:noWrap/>
            <w:vAlign w:val="bottom"/>
            <w:hideMark/>
          </w:tcPr>
          <w:p w:rsidRPr="00D81937" w:rsidR="00774A9A" w:rsidP="00D41BF7" w:rsidRDefault="00774A9A" w14:paraId="00AD3675" w14:textId="77777777">
            <w:pPr>
              <w:spacing w:line="240" w:lineRule="auto"/>
              <w:jc w:val="right"/>
              <w:rPr>
                <w:b/>
                <w:bCs/>
                <w:sz w:val="16"/>
                <w:szCs w:val="16"/>
              </w:rPr>
            </w:pPr>
            <w:r w:rsidRPr="00D81937">
              <w:rPr>
                <w:b/>
                <w:bCs/>
                <w:sz w:val="16"/>
                <w:szCs w:val="16"/>
              </w:rPr>
              <w:t>121</w:t>
            </w:r>
          </w:p>
        </w:tc>
        <w:tc>
          <w:tcPr>
            <w:tcW w:w="536" w:type="pct"/>
            <w:tcBorders>
              <w:top w:val="single" w:color="auto" w:sz="4" w:space="0"/>
              <w:left w:val="nil"/>
              <w:bottom w:val="single" w:color="auto" w:sz="4" w:space="0"/>
              <w:right w:val="nil"/>
            </w:tcBorders>
            <w:noWrap/>
            <w:vAlign w:val="bottom"/>
            <w:hideMark/>
          </w:tcPr>
          <w:p w:rsidRPr="00D81937" w:rsidR="00774A9A" w:rsidP="00D41BF7" w:rsidRDefault="00774A9A" w14:paraId="100EC527" w14:textId="77777777">
            <w:pPr>
              <w:spacing w:line="240" w:lineRule="auto"/>
              <w:jc w:val="right"/>
              <w:rPr>
                <w:b/>
                <w:bCs/>
                <w:sz w:val="16"/>
                <w:szCs w:val="16"/>
              </w:rPr>
            </w:pPr>
            <w:r w:rsidRPr="00D81937">
              <w:rPr>
                <w:b/>
                <w:bCs/>
                <w:sz w:val="16"/>
                <w:szCs w:val="16"/>
              </w:rPr>
              <w:t>122</w:t>
            </w:r>
          </w:p>
        </w:tc>
        <w:tc>
          <w:tcPr>
            <w:tcW w:w="538" w:type="pct"/>
            <w:tcBorders>
              <w:top w:val="single" w:color="auto" w:sz="4" w:space="0"/>
              <w:left w:val="nil"/>
              <w:bottom w:val="single" w:color="auto" w:sz="4" w:space="0"/>
              <w:right w:val="nil"/>
            </w:tcBorders>
            <w:noWrap/>
            <w:vAlign w:val="bottom"/>
            <w:hideMark/>
          </w:tcPr>
          <w:p w:rsidRPr="00D81937" w:rsidR="00774A9A" w:rsidP="00D41BF7" w:rsidRDefault="00774A9A" w14:paraId="21AE27D0" w14:textId="77777777">
            <w:pPr>
              <w:spacing w:line="240" w:lineRule="auto"/>
              <w:jc w:val="right"/>
              <w:rPr>
                <w:b/>
                <w:bCs/>
                <w:sz w:val="16"/>
                <w:szCs w:val="16"/>
              </w:rPr>
            </w:pPr>
            <w:r w:rsidRPr="00D81937">
              <w:rPr>
                <w:b/>
                <w:bCs/>
                <w:sz w:val="16"/>
                <w:szCs w:val="16"/>
              </w:rPr>
              <w:t>123</w:t>
            </w:r>
          </w:p>
        </w:tc>
      </w:tr>
      <w:tr w:rsidRPr="00D81937" w:rsidR="00774A9A" w:rsidTr="00943529" w14:paraId="6C4CAA5C"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1B7EB949" w14:textId="77777777">
            <w:pPr>
              <w:spacing w:line="240" w:lineRule="auto"/>
              <w:jc w:val="right"/>
              <w:rPr>
                <w:b/>
                <w:bCs/>
                <w:sz w:val="16"/>
                <w:szCs w:val="16"/>
              </w:rPr>
            </w:pPr>
          </w:p>
        </w:tc>
        <w:tc>
          <w:tcPr>
            <w:tcW w:w="537" w:type="pct"/>
            <w:tcBorders>
              <w:top w:val="nil"/>
              <w:left w:val="nil"/>
              <w:bottom w:val="nil"/>
              <w:right w:val="nil"/>
            </w:tcBorders>
            <w:noWrap/>
            <w:vAlign w:val="bottom"/>
            <w:hideMark/>
          </w:tcPr>
          <w:p w:rsidRPr="00D81937" w:rsidR="00774A9A" w:rsidP="00D41BF7" w:rsidRDefault="00774A9A" w14:paraId="6796DF40" w14:textId="77777777">
            <w:pPr>
              <w:spacing w:line="240" w:lineRule="auto"/>
              <w:rPr>
                <w:sz w:val="16"/>
                <w:szCs w:val="16"/>
              </w:rPr>
            </w:pPr>
          </w:p>
        </w:tc>
        <w:tc>
          <w:tcPr>
            <w:tcW w:w="537" w:type="pct"/>
            <w:tcBorders>
              <w:top w:val="nil"/>
              <w:left w:val="nil"/>
              <w:bottom w:val="nil"/>
              <w:right w:val="nil"/>
            </w:tcBorders>
            <w:noWrap/>
            <w:vAlign w:val="bottom"/>
            <w:hideMark/>
          </w:tcPr>
          <w:p w:rsidRPr="00D81937" w:rsidR="00774A9A" w:rsidP="00D41BF7" w:rsidRDefault="00774A9A" w14:paraId="21FF8583" w14:textId="77777777">
            <w:pPr>
              <w:spacing w:line="240" w:lineRule="auto"/>
              <w:jc w:val="right"/>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62B1B9EB" w14:textId="77777777">
            <w:pPr>
              <w:spacing w:line="240" w:lineRule="auto"/>
              <w:jc w:val="right"/>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57366993" w14:textId="77777777">
            <w:pPr>
              <w:spacing w:line="240" w:lineRule="auto"/>
              <w:jc w:val="right"/>
              <w:rPr>
                <w:sz w:val="16"/>
                <w:szCs w:val="16"/>
              </w:rPr>
            </w:pPr>
          </w:p>
        </w:tc>
        <w:tc>
          <w:tcPr>
            <w:tcW w:w="536" w:type="pct"/>
            <w:tcBorders>
              <w:top w:val="nil"/>
              <w:left w:val="nil"/>
              <w:bottom w:val="nil"/>
              <w:right w:val="nil"/>
            </w:tcBorders>
            <w:noWrap/>
            <w:vAlign w:val="bottom"/>
            <w:hideMark/>
          </w:tcPr>
          <w:p w:rsidRPr="00D81937" w:rsidR="00774A9A" w:rsidP="00D41BF7" w:rsidRDefault="00774A9A" w14:paraId="5D7D1A3F" w14:textId="77777777">
            <w:pPr>
              <w:spacing w:line="240" w:lineRule="auto"/>
              <w:jc w:val="right"/>
              <w:rPr>
                <w:sz w:val="16"/>
                <w:szCs w:val="16"/>
              </w:rPr>
            </w:pPr>
          </w:p>
        </w:tc>
        <w:tc>
          <w:tcPr>
            <w:tcW w:w="538" w:type="pct"/>
            <w:tcBorders>
              <w:top w:val="nil"/>
              <w:left w:val="nil"/>
              <w:bottom w:val="nil"/>
              <w:right w:val="nil"/>
            </w:tcBorders>
            <w:noWrap/>
            <w:vAlign w:val="bottom"/>
            <w:hideMark/>
          </w:tcPr>
          <w:p w:rsidRPr="00D81937" w:rsidR="00774A9A" w:rsidP="00D41BF7" w:rsidRDefault="00774A9A" w14:paraId="2364C7AB" w14:textId="77777777">
            <w:pPr>
              <w:spacing w:line="240" w:lineRule="auto"/>
              <w:jc w:val="right"/>
              <w:rPr>
                <w:sz w:val="16"/>
                <w:szCs w:val="16"/>
              </w:rPr>
            </w:pPr>
          </w:p>
        </w:tc>
      </w:tr>
      <w:tr w:rsidRPr="00D81937" w:rsidR="00774A9A" w:rsidTr="009F4369" w14:paraId="6169F8E9" w14:textId="77777777">
        <w:trPr>
          <w:trHeight w:val="210"/>
        </w:trPr>
        <w:tc>
          <w:tcPr>
            <w:tcW w:w="5000" w:type="pct"/>
            <w:gridSpan w:val="7"/>
            <w:tcBorders>
              <w:top w:val="nil"/>
              <w:left w:val="nil"/>
              <w:bottom w:val="nil"/>
              <w:right w:val="nil"/>
            </w:tcBorders>
            <w:noWrap/>
            <w:vAlign w:val="bottom"/>
            <w:hideMark/>
          </w:tcPr>
          <w:p w:rsidRPr="00D81937" w:rsidR="00774A9A" w:rsidP="00D41BF7" w:rsidRDefault="009B681E" w14:paraId="543070F3" w14:textId="3B56A9FC">
            <w:pPr>
              <w:spacing w:line="240" w:lineRule="auto"/>
              <w:rPr>
                <w:i/>
                <w:iCs/>
                <w:sz w:val="16"/>
                <w:szCs w:val="16"/>
              </w:rPr>
            </w:pPr>
            <w:r>
              <w:rPr>
                <w:i/>
                <w:iCs/>
                <w:sz w:val="16"/>
                <w:szCs w:val="16"/>
              </w:rPr>
              <w:t xml:space="preserve">(3) </w:t>
            </w:r>
            <w:r w:rsidRPr="00D81937" w:rsidR="00774A9A">
              <w:rPr>
                <w:i/>
                <w:iCs/>
                <w:sz w:val="16"/>
                <w:szCs w:val="16"/>
              </w:rPr>
              <w:t>Wv. prijsbijstelling onderwijsbekostiging niet wettelijk verplicht</w:t>
            </w:r>
            <w:r>
              <w:rPr>
                <w:i/>
                <w:iCs/>
                <w:sz w:val="16"/>
                <w:szCs w:val="16"/>
              </w:rPr>
              <w:t xml:space="preserve"> of met voorbehoud</w:t>
            </w:r>
          </w:p>
        </w:tc>
      </w:tr>
      <w:tr w:rsidRPr="00D81937" w:rsidR="00774A9A" w:rsidTr="00943529" w14:paraId="32A01E4C"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397EEC4B" w14:textId="77777777">
            <w:pPr>
              <w:spacing w:line="240" w:lineRule="auto"/>
              <w:rPr>
                <w:sz w:val="16"/>
                <w:szCs w:val="16"/>
              </w:rPr>
            </w:pPr>
            <w:r w:rsidRPr="00D81937">
              <w:rPr>
                <w:sz w:val="16"/>
                <w:szCs w:val="16"/>
              </w:rPr>
              <w:t>Vo</w:t>
            </w:r>
          </w:p>
        </w:tc>
        <w:tc>
          <w:tcPr>
            <w:tcW w:w="537" w:type="pct"/>
            <w:tcBorders>
              <w:top w:val="nil"/>
              <w:left w:val="nil"/>
              <w:bottom w:val="nil"/>
              <w:right w:val="nil"/>
            </w:tcBorders>
            <w:noWrap/>
            <w:vAlign w:val="bottom"/>
            <w:hideMark/>
          </w:tcPr>
          <w:p w:rsidRPr="00D81937" w:rsidR="00774A9A" w:rsidP="00D41BF7" w:rsidRDefault="00774A9A" w14:paraId="553BD76E" w14:textId="77777777">
            <w:pPr>
              <w:spacing w:line="240" w:lineRule="auto"/>
              <w:jc w:val="right"/>
              <w:rPr>
                <w:sz w:val="16"/>
                <w:szCs w:val="16"/>
              </w:rPr>
            </w:pPr>
            <w:r w:rsidRPr="00D81937">
              <w:rPr>
                <w:sz w:val="16"/>
                <w:szCs w:val="16"/>
              </w:rPr>
              <w:t>46</w:t>
            </w:r>
          </w:p>
        </w:tc>
        <w:tc>
          <w:tcPr>
            <w:tcW w:w="537" w:type="pct"/>
            <w:tcBorders>
              <w:top w:val="nil"/>
              <w:left w:val="nil"/>
              <w:bottom w:val="nil"/>
              <w:right w:val="nil"/>
            </w:tcBorders>
            <w:noWrap/>
            <w:vAlign w:val="bottom"/>
            <w:hideMark/>
          </w:tcPr>
          <w:p w:rsidRPr="00D81937" w:rsidR="00774A9A" w:rsidP="00D41BF7" w:rsidRDefault="00774A9A" w14:paraId="73C47D29" w14:textId="77777777">
            <w:pPr>
              <w:spacing w:line="240" w:lineRule="auto"/>
              <w:jc w:val="right"/>
              <w:rPr>
                <w:sz w:val="16"/>
                <w:szCs w:val="16"/>
              </w:rPr>
            </w:pPr>
            <w:r w:rsidRPr="00D81937">
              <w:rPr>
                <w:sz w:val="16"/>
                <w:szCs w:val="16"/>
              </w:rPr>
              <w:t>46</w:t>
            </w:r>
          </w:p>
        </w:tc>
        <w:tc>
          <w:tcPr>
            <w:tcW w:w="536" w:type="pct"/>
            <w:tcBorders>
              <w:top w:val="nil"/>
              <w:left w:val="nil"/>
              <w:bottom w:val="nil"/>
              <w:right w:val="nil"/>
            </w:tcBorders>
            <w:noWrap/>
            <w:vAlign w:val="bottom"/>
            <w:hideMark/>
          </w:tcPr>
          <w:p w:rsidRPr="00D81937" w:rsidR="00774A9A" w:rsidP="00D41BF7" w:rsidRDefault="00774A9A" w14:paraId="540284CE" w14:textId="77777777">
            <w:pPr>
              <w:spacing w:line="240" w:lineRule="auto"/>
              <w:jc w:val="right"/>
              <w:rPr>
                <w:sz w:val="16"/>
                <w:szCs w:val="16"/>
              </w:rPr>
            </w:pPr>
            <w:r w:rsidRPr="00D81937">
              <w:rPr>
                <w:sz w:val="16"/>
                <w:szCs w:val="16"/>
              </w:rPr>
              <w:t>46</w:t>
            </w:r>
          </w:p>
        </w:tc>
        <w:tc>
          <w:tcPr>
            <w:tcW w:w="536" w:type="pct"/>
            <w:tcBorders>
              <w:top w:val="nil"/>
              <w:left w:val="nil"/>
              <w:bottom w:val="nil"/>
              <w:right w:val="nil"/>
            </w:tcBorders>
            <w:noWrap/>
            <w:vAlign w:val="bottom"/>
            <w:hideMark/>
          </w:tcPr>
          <w:p w:rsidRPr="00D81937" w:rsidR="00774A9A" w:rsidP="00D41BF7" w:rsidRDefault="00774A9A" w14:paraId="7FADB6DD" w14:textId="77777777">
            <w:pPr>
              <w:spacing w:line="240" w:lineRule="auto"/>
              <w:jc w:val="right"/>
              <w:rPr>
                <w:sz w:val="16"/>
                <w:szCs w:val="16"/>
              </w:rPr>
            </w:pPr>
            <w:r w:rsidRPr="00D81937">
              <w:rPr>
                <w:sz w:val="16"/>
                <w:szCs w:val="16"/>
              </w:rPr>
              <w:t>45</w:t>
            </w:r>
          </w:p>
        </w:tc>
        <w:tc>
          <w:tcPr>
            <w:tcW w:w="536" w:type="pct"/>
            <w:tcBorders>
              <w:top w:val="nil"/>
              <w:left w:val="nil"/>
              <w:bottom w:val="nil"/>
              <w:right w:val="nil"/>
            </w:tcBorders>
            <w:noWrap/>
            <w:vAlign w:val="bottom"/>
            <w:hideMark/>
          </w:tcPr>
          <w:p w:rsidRPr="00D81937" w:rsidR="00774A9A" w:rsidP="00D41BF7" w:rsidRDefault="00774A9A" w14:paraId="464D28EE" w14:textId="77777777">
            <w:pPr>
              <w:spacing w:line="240" w:lineRule="auto"/>
              <w:jc w:val="right"/>
              <w:rPr>
                <w:sz w:val="16"/>
                <w:szCs w:val="16"/>
              </w:rPr>
            </w:pPr>
            <w:r w:rsidRPr="00D81937">
              <w:rPr>
                <w:sz w:val="16"/>
                <w:szCs w:val="16"/>
              </w:rPr>
              <w:t>45</w:t>
            </w:r>
          </w:p>
        </w:tc>
        <w:tc>
          <w:tcPr>
            <w:tcW w:w="538" w:type="pct"/>
            <w:tcBorders>
              <w:top w:val="nil"/>
              <w:left w:val="nil"/>
              <w:bottom w:val="nil"/>
              <w:right w:val="nil"/>
            </w:tcBorders>
            <w:noWrap/>
            <w:vAlign w:val="bottom"/>
            <w:hideMark/>
          </w:tcPr>
          <w:p w:rsidRPr="00D81937" w:rsidR="00774A9A" w:rsidP="00D41BF7" w:rsidRDefault="00774A9A" w14:paraId="19281AFD" w14:textId="77777777">
            <w:pPr>
              <w:spacing w:line="240" w:lineRule="auto"/>
              <w:jc w:val="right"/>
              <w:rPr>
                <w:sz w:val="16"/>
                <w:szCs w:val="16"/>
              </w:rPr>
            </w:pPr>
            <w:r w:rsidRPr="00D81937">
              <w:rPr>
                <w:sz w:val="16"/>
                <w:szCs w:val="16"/>
              </w:rPr>
              <w:t>45</w:t>
            </w:r>
          </w:p>
        </w:tc>
      </w:tr>
      <w:tr w:rsidRPr="00D81937" w:rsidR="00774A9A" w:rsidTr="00943529" w14:paraId="18519B75"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43B720E7" w14:textId="77777777">
            <w:pPr>
              <w:spacing w:line="240" w:lineRule="auto"/>
              <w:rPr>
                <w:sz w:val="16"/>
                <w:szCs w:val="16"/>
              </w:rPr>
            </w:pPr>
            <w:r w:rsidRPr="00D81937">
              <w:rPr>
                <w:sz w:val="16"/>
                <w:szCs w:val="16"/>
              </w:rPr>
              <w:t>Mbo</w:t>
            </w:r>
          </w:p>
        </w:tc>
        <w:tc>
          <w:tcPr>
            <w:tcW w:w="537" w:type="pct"/>
            <w:tcBorders>
              <w:top w:val="nil"/>
              <w:left w:val="nil"/>
              <w:bottom w:val="nil"/>
              <w:right w:val="nil"/>
            </w:tcBorders>
            <w:noWrap/>
            <w:vAlign w:val="bottom"/>
            <w:hideMark/>
          </w:tcPr>
          <w:p w:rsidRPr="00D81937" w:rsidR="00774A9A" w:rsidP="00D41BF7" w:rsidRDefault="00774A9A" w14:paraId="637608D8" w14:textId="77777777">
            <w:pPr>
              <w:spacing w:line="240" w:lineRule="auto"/>
              <w:jc w:val="right"/>
              <w:rPr>
                <w:sz w:val="16"/>
                <w:szCs w:val="16"/>
              </w:rPr>
            </w:pPr>
            <w:r w:rsidRPr="00D81937">
              <w:rPr>
                <w:sz w:val="16"/>
                <w:szCs w:val="16"/>
              </w:rPr>
              <w:t>31</w:t>
            </w:r>
          </w:p>
        </w:tc>
        <w:tc>
          <w:tcPr>
            <w:tcW w:w="537" w:type="pct"/>
            <w:tcBorders>
              <w:top w:val="nil"/>
              <w:left w:val="nil"/>
              <w:bottom w:val="nil"/>
              <w:right w:val="nil"/>
            </w:tcBorders>
            <w:noWrap/>
            <w:vAlign w:val="bottom"/>
            <w:hideMark/>
          </w:tcPr>
          <w:p w:rsidRPr="00D81937" w:rsidR="00774A9A" w:rsidP="00D41BF7" w:rsidRDefault="00774A9A" w14:paraId="423E38E2" w14:textId="77777777">
            <w:pPr>
              <w:spacing w:line="240" w:lineRule="auto"/>
              <w:jc w:val="right"/>
              <w:rPr>
                <w:sz w:val="16"/>
                <w:szCs w:val="16"/>
              </w:rPr>
            </w:pPr>
            <w:r w:rsidRPr="00D81937">
              <w:rPr>
                <w:sz w:val="16"/>
                <w:szCs w:val="16"/>
              </w:rPr>
              <w:t>31</w:t>
            </w:r>
          </w:p>
        </w:tc>
        <w:tc>
          <w:tcPr>
            <w:tcW w:w="536" w:type="pct"/>
            <w:tcBorders>
              <w:top w:val="nil"/>
              <w:left w:val="nil"/>
              <w:bottom w:val="nil"/>
              <w:right w:val="nil"/>
            </w:tcBorders>
            <w:noWrap/>
            <w:vAlign w:val="bottom"/>
            <w:hideMark/>
          </w:tcPr>
          <w:p w:rsidRPr="00D81937" w:rsidR="00774A9A" w:rsidP="00D41BF7" w:rsidRDefault="00774A9A" w14:paraId="68191DF3" w14:textId="77777777">
            <w:pPr>
              <w:spacing w:line="240" w:lineRule="auto"/>
              <w:jc w:val="right"/>
              <w:rPr>
                <w:sz w:val="16"/>
                <w:szCs w:val="16"/>
              </w:rPr>
            </w:pPr>
            <w:r w:rsidRPr="00D81937">
              <w:rPr>
                <w:sz w:val="16"/>
                <w:szCs w:val="16"/>
              </w:rPr>
              <w:t>32</w:t>
            </w:r>
          </w:p>
        </w:tc>
        <w:tc>
          <w:tcPr>
            <w:tcW w:w="536" w:type="pct"/>
            <w:tcBorders>
              <w:top w:val="nil"/>
              <w:left w:val="nil"/>
              <w:bottom w:val="nil"/>
              <w:right w:val="nil"/>
            </w:tcBorders>
            <w:noWrap/>
            <w:vAlign w:val="bottom"/>
            <w:hideMark/>
          </w:tcPr>
          <w:p w:rsidRPr="00D81937" w:rsidR="00774A9A" w:rsidP="00D41BF7" w:rsidRDefault="00774A9A" w14:paraId="269EEA0A" w14:textId="77777777">
            <w:pPr>
              <w:spacing w:line="240" w:lineRule="auto"/>
              <w:jc w:val="right"/>
              <w:rPr>
                <w:sz w:val="16"/>
                <w:szCs w:val="16"/>
              </w:rPr>
            </w:pPr>
            <w:r w:rsidRPr="00D81937">
              <w:rPr>
                <w:sz w:val="16"/>
                <w:szCs w:val="16"/>
              </w:rPr>
              <w:t>32</w:t>
            </w:r>
          </w:p>
        </w:tc>
        <w:tc>
          <w:tcPr>
            <w:tcW w:w="536" w:type="pct"/>
            <w:tcBorders>
              <w:top w:val="nil"/>
              <w:left w:val="nil"/>
              <w:bottom w:val="nil"/>
              <w:right w:val="nil"/>
            </w:tcBorders>
            <w:noWrap/>
            <w:vAlign w:val="bottom"/>
            <w:hideMark/>
          </w:tcPr>
          <w:p w:rsidRPr="00D81937" w:rsidR="00774A9A" w:rsidP="00D41BF7" w:rsidRDefault="00774A9A" w14:paraId="398557A7" w14:textId="77777777">
            <w:pPr>
              <w:spacing w:line="240" w:lineRule="auto"/>
              <w:jc w:val="right"/>
              <w:rPr>
                <w:sz w:val="16"/>
                <w:szCs w:val="16"/>
              </w:rPr>
            </w:pPr>
            <w:r w:rsidRPr="00D81937">
              <w:rPr>
                <w:sz w:val="16"/>
                <w:szCs w:val="16"/>
              </w:rPr>
              <w:t>31</w:t>
            </w:r>
          </w:p>
        </w:tc>
        <w:tc>
          <w:tcPr>
            <w:tcW w:w="538" w:type="pct"/>
            <w:tcBorders>
              <w:top w:val="nil"/>
              <w:left w:val="nil"/>
              <w:bottom w:val="nil"/>
              <w:right w:val="nil"/>
            </w:tcBorders>
            <w:noWrap/>
            <w:vAlign w:val="bottom"/>
            <w:hideMark/>
          </w:tcPr>
          <w:p w:rsidRPr="00D81937" w:rsidR="00774A9A" w:rsidP="00D41BF7" w:rsidRDefault="00774A9A" w14:paraId="4B806939" w14:textId="77777777">
            <w:pPr>
              <w:spacing w:line="240" w:lineRule="auto"/>
              <w:jc w:val="right"/>
              <w:rPr>
                <w:sz w:val="16"/>
                <w:szCs w:val="16"/>
              </w:rPr>
            </w:pPr>
            <w:r w:rsidRPr="00D81937">
              <w:rPr>
                <w:sz w:val="16"/>
                <w:szCs w:val="16"/>
              </w:rPr>
              <w:t>31</w:t>
            </w:r>
          </w:p>
        </w:tc>
      </w:tr>
      <w:tr w:rsidRPr="00D81937" w:rsidR="00774A9A" w:rsidTr="00943529" w14:paraId="1067C686"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0DC592A0" w14:textId="77777777">
            <w:pPr>
              <w:spacing w:line="240" w:lineRule="auto"/>
              <w:rPr>
                <w:sz w:val="16"/>
                <w:szCs w:val="16"/>
              </w:rPr>
            </w:pPr>
            <w:r w:rsidRPr="00D81937">
              <w:rPr>
                <w:sz w:val="16"/>
                <w:szCs w:val="16"/>
              </w:rPr>
              <w:t>Hbo</w:t>
            </w:r>
          </w:p>
        </w:tc>
        <w:tc>
          <w:tcPr>
            <w:tcW w:w="537" w:type="pct"/>
            <w:tcBorders>
              <w:top w:val="nil"/>
              <w:left w:val="nil"/>
              <w:bottom w:val="nil"/>
              <w:right w:val="nil"/>
            </w:tcBorders>
            <w:noWrap/>
            <w:vAlign w:val="bottom"/>
            <w:hideMark/>
          </w:tcPr>
          <w:p w:rsidRPr="00D81937" w:rsidR="00774A9A" w:rsidP="00D41BF7" w:rsidRDefault="00774A9A" w14:paraId="6F96C3A9" w14:textId="77777777">
            <w:pPr>
              <w:spacing w:line="240" w:lineRule="auto"/>
              <w:jc w:val="right"/>
              <w:rPr>
                <w:sz w:val="16"/>
                <w:szCs w:val="16"/>
              </w:rPr>
            </w:pPr>
            <w:r w:rsidRPr="00D81937">
              <w:rPr>
                <w:sz w:val="16"/>
                <w:szCs w:val="16"/>
              </w:rPr>
              <w:t>27</w:t>
            </w:r>
          </w:p>
        </w:tc>
        <w:tc>
          <w:tcPr>
            <w:tcW w:w="537" w:type="pct"/>
            <w:tcBorders>
              <w:top w:val="nil"/>
              <w:left w:val="nil"/>
              <w:bottom w:val="nil"/>
              <w:right w:val="nil"/>
            </w:tcBorders>
            <w:noWrap/>
            <w:vAlign w:val="bottom"/>
            <w:hideMark/>
          </w:tcPr>
          <w:p w:rsidRPr="00D81937" w:rsidR="00774A9A" w:rsidP="00D41BF7" w:rsidRDefault="00774A9A" w14:paraId="05DD2BCD" w14:textId="77777777">
            <w:pPr>
              <w:spacing w:line="240" w:lineRule="auto"/>
              <w:jc w:val="right"/>
              <w:rPr>
                <w:sz w:val="16"/>
                <w:szCs w:val="16"/>
              </w:rPr>
            </w:pPr>
            <w:r w:rsidRPr="00D81937">
              <w:rPr>
                <w:sz w:val="16"/>
                <w:szCs w:val="16"/>
              </w:rPr>
              <w:t>26</w:t>
            </w:r>
          </w:p>
        </w:tc>
        <w:tc>
          <w:tcPr>
            <w:tcW w:w="536" w:type="pct"/>
            <w:tcBorders>
              <w:top w:val="nil"/>
              <w:left w:val="nil"/>
              <w:bottom w:val="nil"/>
              <w:right w:val="nil"/>
            </w:tcBorders>
            <w:noWrap/>
            <w:vAlign w:val="bottom"/>
            <w:hideMark/>
          </w:tcPr>
          <w:p w:rsidRPr="00D81937" w:rsidR="00774A9A" w:rsidP="00D41BF7" w:rsidRDefault="00774A9A" w14:paraId="10E5FF43" w14:textId="77777777">
            <w:pPr>
              <w:spacing w:line="240" w:lineRule="auto"/>
              <w:jc w:val="right"/>
              <w:rPr>
                <w:sz w:val="16"/>
                <w:szCs w:val="16"/>
              </w:rPr>
            </w:pPr>
            <w:r w:rsidRPr="00D81937">
              <w:rPr>
                <w:sz w:val="16"/>
                <w:szCs w:val="16"/>
              </w:rPr>
              <w:t>24</w:t>
            </w:r>
          </w:p>
        </w:tc>
        <w:tc>
          <w:tcPr>
            <w:tcW w:w="536" w:type="pct"/>
            <w:tcBorders>
              <w:top w:val="nil"/>
              <w:left w:val="nil"/>
              <w:bottom w:val="nil"/>
              <w:right w:val="nil"/>
            </w:tcBorders>
            <w:noWrap/>
            <w:vAlign w:val="bottom"/>
            <w:hideMark/>
          </w:tcPr>
          <w:p w:rsidRPr="00D81937" w:rsidR="00774A9A" w:rsidP="00D41BF7" w:rsidRDefault="00774A9A" w14:paraId="627E721F" w14:textId="77777777">
            <w:pPr>
              <w:spacing w:line="240" w:lineRule="auto"/>
              <w:jc w:val="right"/>
              <w:rPr>
                <w:sz w:val="16"/>
                <w:szCs w:val="16"/>
              </w:rPr>
            </w:pPr>
            <w:r w:rsidRPr="00D81937">
              <w:rPr>
                <w:sz w:val="16"/>
                <w:szCs w:val="16"/>
              </w:rPr>
              <w:t>23</w:t>
            </w:r>
          </w:p>
        </w:tc>
        <w:tc>
          <w:tcPr>
            <w:tcW w:w="536" w:type="pct"/>
            <w:tcBorders>
              <w:top w:val="nil"/>
              <w:left w:val="nil"/>
              <w:bottom w:val="nil"/>
              <w:right w:val="nil"/>
            </w:tcBorders>
            <w:noWrap/>
            <w:vAlign w:val="bottom"/>
            <w:hideMark/>
          </w:tcPr>
          <w:p w:rsidRPr="00D81937" w:rsidR="00774A9A" w:rsidP="00D41BF7" w:rsidRDefault="00774A9A" w14:paraId="27ED05BA" w14:textId="77777777">
            <w:pPr>
              <w:spacing w:line="240" w:lineRule="auto"/>
              <w:jc w:val="right"/>
              <w:rPr>
                <w:sz w:val="16"/>
                <w:szCs w:val="16"/>
              </w:rPr>
            </w:pPr>
            <w:r w:rsidRPr="00D81937">
              <w:rPr>
                <w:sz w:val="16"/>
                <w:szCs w:val="16"/>
              </w:rPr>
              <w:t>23</w:t>
            </w:r>
          </w:p>
        </w:tc>
        <w:tc>
          <w:tcPr>
            <w:tcW w:w="538" w:type="pct"/>
            <w:tcBorders>
              <w:top w:val="nil"/>
              <w:left w:val="nil"/>
              <w:bottom w:val="nil"/>
              <w:right w:val="nil"/>
            </w:tcBorders>
            <w:noWrap/>
            <w:vAlign w:val="bottom"/>
            <w:hideMark/>
          </w:tcPr>
          <w:p w:rsidRPr="00D81937" w:rsidR="00774A9A" w:rsidP="00D41BF7" w:rsidRDefault="00774A9A" w14:paraId="4B016AB7" w14:textId="77777777">
            <w:pPr>
              <w:spacing w:line="240" w:lineRule="auto"/>
              <w:jc w:val="right"/>
              <w:rPr>
                <w:sz w:val="16"/>
                <w:szCs w:val="16"/>
              </w:rPr>
            </w:pPr>
            <w:r w:rsidRPr="00D81937">
              <w:rPr>
                <w:sz w:val="16"/>
                <w:szCs w:val="16"/>
              </w:rPr>
              <w:t>23</w:t>
            </w:r>
          </w:p>
        </w:tc>
      </w:tr>
      <w:tr w:rsidRPr="00D81937" w:rsidR="00774A9A" w:rsidTr="00943529" w14:paraId="6287A7D4" w14:textId="77777777">
        <w:trPr>
          <w:trHeight w:val="210"/>
        </w:trPr>
        <w:tc>
          <w:tcPr>
            <w:tcW w:w="1781" w:type="pct"/>
            <w:tcBorders>
              <w:top w:val="nil"/>
              <w:left w:val="nil"/>
              <w:bottom w:val="nil"/>
              <w:right w:val="nil"/>
            </w:tcBorders>
            <w:noWrap/>
            <w:vAlign w:val="bottom"/>
            <w:hideMark/>
          </w:tcPr>
          <w:p w:rsidRPr="00D81937" w:rsidR="00774A9A" w:rsidP="00D41BF7" w:rsidRDefault="00774A9A" w14:paraId="7837C690" w14:textId="77777777">
            <w:pPr>
              <w:spacing w:line="240" w:lineRule="auto"/>
              <w:rPr>
                <w:sz w:val="16"/>
                <w:szCs w:val="16"/>
              </w:rPr>
            </w:pPr>
            <w:r w:rsidRPr="00D81937">
              <w:rPr>
                <w:sz w:val="16"/>
                <w:szCs w:val="16"/>
              </w:rPr>
              <w:t>Wo</w:t>
            </w:r>
          </w:p>
        </w:tc>
        <w:tc>
          <w:tcPr>
            <w:tcW w:w="537" w:type="pct"/>
            <w:tcBorders>
              <w:top w:val="nil"/>
              <w:left w:val="nil"/>
              <w:bottom w:val="nil"/>
              <w:right w:val="nil"/>
            </w:tcBorders>
            <w:noWrap/>
            <w:vAlign w:val="bottom"/>
            <w:hideMark/>
          </w:tcPr>
          <w:p w:rsidRPr="00D81937" w:rsidR="00774A9A" w:rsidP="00D41BF7" w:rsidRDefault="00774A9A" w14:paraId="0EC971E2" w14:textId="77777777">
            <w:pPr>
              <w:spacing w:line="240" w:lineRule="auto"/>
              <w:jc w:val="right"/>
              <w:rPr>
                <w:sz w:val="16"/>
                <w:szCs w:val="16"/>
              </w:rPr>
            </w:pPr>
            <w:r w:rsidRPr="00D81937">
              <w:rPr>
                <w:sz w:val="16"/>
                <w:szCs w:val="16"/>
              </w:rPr>
              <w:t>57</w:t>
            </w:r>
          </w:p>
        </w:tc>
        <w:tc>
          <w:tcPr>
            <w:tcW w:w="537" w:type="pct"/>
            <w:tcBorders>
              <w:top w:val="nil"/>
              <w:left w:val="nil"/>
              <w:bottom w:val="nil"/>
              <w:right w:val="nil"/>
            </w:tcBorders>
            <w:noWrap/>
            <w:vAlign w:val="bottom"/>
            <w:hideMark/>
          </w:tcPr>
          <w:p w:rsidRPr="00D81937" w:rsidR="00774A9A" w:rsidP="00D41BF7" w:rsidRDefault="00774A9A" w14:paraId="6122B069" w14:textId="77777777">
            <w:pPr>
              <w:spacing w:line="240" w:lineRule="auto"/>
              <w:jc w:val="right"/>
              <w:rPr>
                <w:sz w:val="16"/>
                <w:szCs w:val="16"/>
              </w:rPr>
            </w:pPr>
            <w:r w:rsidRPr="00D81937">
              <w:rPr>
                <w:sz w:val="16"/>
                <w:szCs w:val="16"/>
              </w:rPr>
              <w:t>57</w:t>
            </w:r>
          </w:p>
        </w:tc>
        <w:tc>
          <w:tcPr>
            <w:tcW w:w="536" w:type="pct"/>
            <w:tcBorders>
              <w:top w:val="nil"/>
              <w:left w:val="nil"/>
              <w:bottom w:val="nil"/>
              <w:right w:val="nil"/>
            </w:tcBorders>
            <w:noWrap/>
            <w:vAlign w:val="bottom"/>
            <w:hideMark/>
          </w:tcPr>
          <w:p w:rsidRPr="00D81937" w:rsidR="00774A9A" w:rsidP="00D41BF7" w:rsidRDefault="00774A9A" w14:paraId="0AD686A9" w14:textId="77777777">
            <w:pPr>
              <w:spacing w:line="240" w:lineRule="auto"/>
              <w:jc w:val="right"/>
              <w:rPr>
                <w:sz w:val="16"/>
                <w:szCs w:val="16"/>
              </w:rPr>
            </w:pPr>
            <w:r w:rsidRPr="00D81937">
              <w:rPr>
                <w:sz w:val="16"/>
                <w:szCs w:val="16"/>
              </w:rPr>
              <w:t>55</w:t>
            </w:r>
          </w:p>
        </w:tc>
        <w:tc>
          <w:tcPr>
            <w:tcW w:w="536" w:type="pct"/>
            <w:tcBorders>
              <w:top w:val="nil"/>
              <w:left w:val="nil"/>
              <w:bottom w:val="nil"/>
              <w:right w:val="nil"/>
            </w:tcBorders>
            <w:noWrap/>
            <w:vAlign w:val="bottom"/>
            <w:hideMark/>
          </w:tcPr>
          <w:p w:rsidRPr="00D81937" w:rsidR="00774A9A" w:rsidP="00D41BF7" w:rsidRDefault="00774A9A" w14:paraId="62F8C50E" w14:textId="77777777">
            <w:pPr>
              <w:spacing w:line="240" w:lineRule="auto"/>
              <w:jc w:val="right"/>
              <w:rPr>
                <w:sz w:val="16"/>
                <w:szCs w:val="16"/>
              </w:rPr>
            </w:pPr>
            <w:r w:rsidRPr="00D81937">
              <w:rPr>
                <w:sz w:val="16"/>
                <w:szCs w:val="16"/>
              </w:rPr>
              <w:t>55</w:t>
            </w:r>
          </w:p>
        </w:tc>
        <w:tc>
          <w:tcPr>
            <w:tcW w:w="536" w:type="pct"/>
            <w:tcBorders>
              <w:top w:val="nil"/>
              <w:left w:val="nil"/>
              <w:bottom w:val="nil"/>
              <w:right w:val="nil"/>
            </w:tcBorders>
            <w:noWrap/>
            <w:vAlign w:val="bottom"/>
            <w:hideMark/>
          </w:tcPr>
          <w:p w:rsidRPr="00D81937" w:rsidR="00774A9A" w:rsidP="00D41BF7" w:rsidRDefault="00774A9A" w14:paraId="7CAC84BF" w14:textId="77777777">
            <w:pPr>
              <w:spacing w:line="240" w:lineRule="auto"/>
              <w:jc w:val="right"/>
              <w:rPr>
                <w:sz w:val="16"/>
                <w:szCs w:val="16"/>
              </w:rPr>
            </w:pPr>
            <w:r w:rsidRPr="00D81937">
              <w:rPr>
                <w:sz w:val="16"/>
                <w:szCs w:val="16"/>
              </w:rPr>
              <w:t>54</w:t>
            </w:r>
          </w:p>
        </w:tc>
        <w:tc>
          <w:tcPr>
            <w:tcW w:w="538" w:type="pct"/>
            <w:tcBorders>
              <w:top w:val="nil"/>
              <w:left w:val="nil"/>
              <w:bottom w:val="nil"/>
              <w:right w:val="nil"/>
            </w:tcBorders>
            <w:noWrap/>
            <w:vAlign w:val="bottom"/>
            <w:hideMark/>
          </w:tcPr>
          <w:p w:rsidRPr="00D81937" w:rsidR="00774A9A" w:rsidP="00D41BF7" w:rsidRDefault="00774A9A" w14:paraId="016D8B5A" w14:textId="77777777">
            <w:pPr>
              <w:spacing w:line="240" w:lineRule="auto"/>
              <w:jc w:val="right"/>
              <w:rPr>
                <w:sz w:val="16"/>
                <w:szCs w:val="16"/>
              </w:rPr>
            </w:pPr>
            <w:r w:rsidRPr="00D81937">
              <w:rPr>
                <w:sz w:val="16"/>
                <w:szCs w:val="16"/>
              </w:rPr>
              <w:t>55</w:t>
            </w:r>
          </w:p>
        </w:tc>
      </w:tr>
      <w:tr w:rsidRPr="00D81937" w:rsidR="00774A9A" w:rsidTr="00943529" w14:paraId="5DE88F05" w14:textId="77777777">
        <w:trPr>
          <w:trHeight w:val="210"/>
        </w:trPr>
        <w:tc>
          <w:tcPr>
            <w:tcW w:w="1781" w:type="pct"/>
            <w:tcBorders>
              <w:top w:val="single" w:color="auto" w:sz="4" w:space="0"/>
              <w:left w:val="nil"/>
              <w:bottom w:val="single" w:color="auto" w:sz="4" w:space="0"/>
              <w:right w:val="nil"/>
            </w:tcBorders>
            <w:noWrap/>
            <w:vAlign w:val="bottom"/>
            <w:hideMark/>
          </w:tcPr>
          <w:p w:rsidRPr="00D81937" w:rsidR="00774A9A" w:rsidP="00D41BF7" w:rsidRDefault="00774A9A" w14:paraId="093E4956" w14:textId="77777777">
            <w:pPr>
              <w:spacing w:line="240" w:lineRule="auto"/>
              <w:rPr>
                <w:b/>
                <w:bCs/>
                <w:sz w:val="16"/>
                <w:szCs w:val="16"/>
              </w:rPr>
            </w:pPr>
            <w:r w:rsidRPr="00D81937">
              <w:rPr>
                <w:b/>
                <w:bCs/>
                <w:sz w:val="16"/>
                <w:szCs w:val="16"/>
              </w:rPr>
              <w:t>Totaal</w:t>
            </w:r>
          </w:p>
        </w:tc>
        <w:tc>
          <w:tcPr>
            <w:tcW w:w="537" w:type="pct"/>
            <w:tcBorders>
              <w:top w:val="single" w:color="auto" w:sz="4" w:space="0"/>
              <w:left w:val="nil"/>
              <w:bottom w:val="single" w:color="auto" w:sz="4" w:space="0"/>
              <w:right w:val="nil"/>
            </w:tcBorders>
            <w:noWrap/>
            <w:vAlign w:val="bottom"/>
            <w:hideMark/>
          </w:tcPr>
          <w:p w:rsidRPr="00D81937" w:rsidR="00774A9A" w:rsidP="00D41BF7" w:rsidRDefault="00774A9A" w14:paraId="3590149A" w14:textId="77777777">
            <w:pPr>
              <w:spacing w:line="240" w:lineRule="auto"/>
              <w:jc w:val="right"/>
              <w:rPr>
                <w:b/>
                <w:bCs/>
                <w:sz w:val="16"/>
                <w:szCs w:val="16"/>
              </w:rPr>
            </w:pPr>
            <w:r w:rsidRPr="00D81937">
              <w:rPr>
                <w:b/>
                <w:bCs/>
                <w:sz w:val="16"/>
                <w:szCs w:val="16"/>
              </w:rPr>
              <w:t>162</w:t>
            </w:r>
          </w:p>
        </w:tc>
        <w:tc>
          <w:tcPr>
            <w:tcW w:w="537" w:type="pct"/>
            <w:tcBorders>
              <w:top w:val="single" w:color="auto" w:sz="4" w:space="0"/>
              <w:left w:val="nil"/>
              <w:bottom w:val="single" w:color="auto" w:sz="4" w:space="0"/>
              <w:right w:val="nil"/>
            </w:tcBorders>
            <w:noWrap/>
            <w:vAlign w:val="bottom"/>
            <w:hideMark/>
          </w:tcPr>
          <w:p w:rsidRPr="00D81937" w:rsidR="00774A9A" w:rsidP="00D41BF7" w:rsidRDefault="00774A9A" w14:paraId="73731FCC" w14:textId="77777777">
            <w:pPr>
              <w:spacing w:line="240" w:lineRule="auto"/>
              <w:jc w:val="right"/>
              <w:rPr>
                <w:b/>
                <w:bCs/>
                <w:sz w:val="16"/>
                <w:szCs w:val="16"/>
              </w:rPr>
            </w:pPr>
            <w:r w:rsidRPr="00D81937">
              <w:rPr>
                <w:b/>
                <w:bCs/>
                <w:sz w:val="16"/>
                <w:szCs w:val="16"/>
              </w:rPr>
              <w:t>160</w:t>
            </w:r>
          </w:p>
        </w:tc>
        <w:tc>
          <w:tcPr>
            <w:tcW w:w="536" w:type="pct"/>
            <w:tcBorders>
              <w:top w:val="single" w:color="auto" w:sz="4" w:space="0"/>
              <w:left w:val="nil"/>
              <w:bottom w:val="single" w:color="auto" w:sz="4" w:space="0"/>
              <w:right w:val="nil"/>
            </w:tcBorders>
            <w:noWrap/>
            <w:vAlign w:val="bottom"/>
            <w:hideMark/>
          </w:tcPr>
          <w:p w:rsidRPr="00D81937" w:rsidR="00774A9A" w:rsidP="00D41BF7" w:rsidRDefault="00774A9A" w14:paraId="2297DCBB" w14:textId="77777777">
            <w:pPr>
              <w:spacing w:line="240" w:lineRule="auto"/>
              <w:jc w:val="right"/>
              <w:rPr>
                <w:b/>
                <w:bCs/>
                <w:sz w:val="16"/>
                <w:szCs w:val="16"/>
              </w:rPr>
            </w:pPr>
            <w:r w:rsidRPr="00D81937">
              <w:rPr>
                <w:b/>
                <w:bCs/>
                <w:sz w:val="16"/>
                <w:szCs w:val="16"/>
              </w:rPr>
              <w:t>157</w:t>
            </w:r>
          </w:p>
        </w:tc>
        <w:tc>
          <w:tcPr>
            <w:tcW w:w="536" w:type="pct"/>
            <w:tcBorders>
              <w:top w:val="single" w:color="auto" w:sz="4" w:space="0"/>
              <w:left w:val="nil"/>
              <w:bottom w:val="single" w:color="auto" w:sz="4" w:space="0"/>
              <w:right w:val="nil"/>
            </w:tcBorders>
            <w:noWrap/>
            <w:vAlign w:val="bottom"/>
            <w:hideMark/>
          </w:tcPr>
          <w:p w:rsidRPr="00D81937" w:rsidR="00774A9A" w:rsidP="00D41BF7" w:rsidRDefault="00774A9A" w14:paraId="36FBC315" w14:textId="77777777">
            <w:pPr>
              <w:spacing w:line="240" w:lineRule="auto"/>
              <w:jc w:val="right"/>
              <w:rPr>
                <w:b/>
                <w:bCs/>
                <w:sz w:val="16"/>
                <w:szCs w:val="16"/>
              </w:rPr>
            </w:pPr>
            <w:r w:rsidRPr="00D81937">
              <w:rPr>
                <w:b/>
                <w:bCs/>
                <w:sz w:val="16"/>
                <w:szCs w:val="16"/>
              </w:rPr>
              <w:t>155</w:t>
            </w:r>
          </w:p>
        </w:tc>
        <w:tc>
          <w:tcPr>
            <w:tcW w:w="536" w:type="pct"/>
            <w:tcBorders>
              <w:top w:val="single" w:color="auto" w:sz="4" w:space="0"/>
              <w:left w:val="nil"/>
              <w:bottom w:val="single" w:color="auto" w:sz="4" w:space="0"/>
              <w:right w:val="nil"/>
            </w:tcBorders>
            <w:noWrap/>
            <w:vAlign w:val="bottom"/>
            <w:hideMark/>
          </w:tcPr>
          <w:p w:rsidRPr="00D81937" w:rsidR="00774A9A" w:rsidP="00D41BF7" w:rsidRDefault="00774A9A" w14:paraId="7377CB9A" w14:textId="77777777">
            <w:pPr>
              <w:spacing w:line="240" w:lineRule="auto"/>
              <w:jc w:val="right"/>
              <w:rPr>
                <w:b/>
                <w:bCs/>
                <w:sz w:val="16"/>
                <w:szCs w:val="16"/>
              </w:rPr>
            </w:pPr>
            <w:r w:rsidRPr="00D81937">
              <w:rPr>
                <w:b/>
                <w:bCs/>
                <w:sz w:val="16"/>
                <w:szCs w:val="16"/>
              </w:rPr>
              <w:t>154</w:t>
            </w:r>
          </w:p>
        </w:tc>
        <w:tc>
          <w:tcPr>
            <w:tcW w:w="538" w:type="pct"/>
            <w:tcBorders>
              <w:top w:val="single" w:color="auto" w:sz="4" w:space="0"/>
              <w:left w:val="nil"/>
              <w:bottom w:val="single" w:color="auto" w:sz="4" w:space="0"/>
              <w:right w:val="nil"/>
            </w:tcBorders>
            <w:noWrap/>
            <w:vAlign w:val="bottom"/>
            <w:hideMark/>
          </w:tcPr>
          <w:p w:rsidRPr="00D81937" w:rsidR="00774A9A" w:rsidP="00D41BF7" w:rsidRDefault="00774A9A" w14:paraId="55CABE04" w14:textId="77777777">
            <w:pPr>
              <w:spacing w:line="240" w:lineRule="auto"/>
              <w:jc w:val="right"/>
              <w:rPr>
                <w:b/>
                <w:bCs/>
                <w:sz w:val="16"/>
                <w:szCs w:val="16"/>
              </w:rPr>
            </w:pPr>
            <w:r w:rsidRPr="00D81937">
              <w:rPr>
                <w:b/>
                <w:bCs/>
                <w:sz w:val="16"/>
                <w:szCs w:val="16"/>
              </w:rPr>
              <w:t>153</w:t>
            </w:r>
          </w:p>
        </w:tc>
      </w:tr>
      <w:tr w:rsidRPr="00D81937" w:rsidR="00774A9A" w:rsidTr="009F4369" w14:paraId="14A11C0E" w14:textId="77777777">
        <w:trPr>
          <w:trHeight w:val="210"/>
        </w:trPr>
        <w:tc>
          <w:tcPr>
            <w:tcW w:w="5000" w:type="pct"/>
            <w:gridSpan w:val="7"/>
            <w:tcBorders>
              <w:top w:val="nil"/>
              <w:left w:val="nil"/>
              <w:bottom w:val="nil"/>
              <w:right w:val="nil"/>
            </w:tcBorders>
            <w:noWrap/>
            <w:vAlign w:val="bottom"/>
            <w:hideMark/>
          </w:tcPr>
          <w:p w:rsidRPr="00D81937" w:rsidR="00774A9A" w:rsidP="00D41BF7" w:rsidRDefault="00774A9A" w14:paraId="3DC39E6A" w14:textId="77777777">
            <w:pPr>
              <w:spacing w:line="240" w:lineRule="auto"/>
              <w:rPr>
                <w:sz w:val="16"/>
                <w:szCs w:val="16"/>
              </w:rPr>
            </w:pPr>
            <w:r w:rsidRPr="00D81937">
              <w:rPr>
                <w:sz w:val="16"/>
                <w:szCs w:val="16"/>
              </w:rPr>
              <w:t>* Stand Voorjaarsnota 2026, zonder kabinetskorting. Exclusief niet-plafondrelevante prijsbijstelling op art. 11 (Studiefinanciering).</w:t>
            </w:r>
          </w:p>
        </w:tc>
      </w:tr>
    </w:tbl>
    <w:p w:rsidRPr="00D81937" w:rsidR="00774A9A" w:rsidP="00774A9A" w:rsidRDefault="00774A9A" w14:paraId="03BE0CDF" w14:textId="77777777">
      <w:pPr>
        <w:spacing w:line="240" w:lineRule="auto"/>
        <w:rPr>
          <w:szCs w:val="18"/>
        </w:rPr>
      </w:pPr>
    </w:p>
    <w:p w:rsidRPr="00067752" w:rsidR="00774A9A" w:rsidP="00774A9A" w:rsidRDefault="00774A9A" w14:paraId="2D007AF0" w14:textId="77777777">
      <w:pPr>
        <w:spacing w:line="240" w:lineRule="auto"/>
        <w:rPr>
          <w:szCs w:val="18"/>
        </w:rPr>
      </w:pPr>
      <w:r w:rsidRPr="00067752">
        <w:rPr>
          <w:b/>
          <w:bCs/>
          <w:szCs w:val="18"/>
        </w:rPr>
        <w:t>Tot slot</w:t>
      </w:r>
    </w:p>
    <w:p w:rsidR="00DD3946" w:rsidP="00774A9A" w:rsidRDefault="00774A9A" w14:paraId="58DAEED1" w14:textId="2CF148CE">
      <w:pPr>
        <w:spacing w:line="240" w:lineRule="auto"/>
        <w:rPr>
          <w:szCs w:val="18"/>
        </w:rPr>
      </w:pPr>
      <w:r w:rsidRPr="00067752">
        <w:rPr>
          <w:szCs w:val="18"/>
        </w:rPr>
        <w:t xml:space="preserve">De loon- en prijsbijstelling is een </w:t>
      </w:r>
      <w:r w:rsidR="0074098F">
        <w:rPr>
          <w:szCs w:val="18"/>
        </w:rPr>
        <w:t>regulier</w:t>
      </w:r>
      <w:r w:rsidRPr="00067752" w:rsidR="0074098F">
        <w:rPr>
          <w:szCs w:val="18"/>
        </w:rPr>
        <w:t xml:space="preserve"> </w:t>
      </w:r>
      <w:r w:rsidRPr="00067752">
        <w:rPr>
          <w:szCs w:val="18"/>
        </w:rPr>
        <w:t>onderdeel van de</w:t>
      </w:r>
      <w:r w:rsidR="0074098F">
        <w:rPr>
          <w:szCs w:val="18"/>
        </w:rPr>
        <w:t xml:space="preserve"> begrotingssystematiek en is belangrijk voor toereikende</w:t>
      </w:r>
      <w:r w:rsidRPr="00067752">
        <w:rPr>
          <w:szCs w:val="18"/>
        </w:rPr>
        <w:t xml:space="preserve"> financiering van het beleid van OCW. </w:t>
      </w:r>
      <w:r w:rsidR="0074098F">
        <w:rPr>
          <w:szCs w:val="18"/>
        </w:rPr>
        <w:t xml:space="preserve">Het kabinet kan besluiten om de loon- en prijsbijstelling niet of gedeeltelijk uit te keren aan departementale begrotingen. Het parlement heeft over deze besluiten budgetrecht. Wettelijke verplichtingen rondom loon- en prijsbijstelling verkleinen de keuzemogelijkheden van het kabinet en van het parlement. Om deze reden acht het kabinet meer wettelijke verplichtingen niet verstandig. </w:t>
      </w:r>
      <w:r w:rsidR="00C34BF9">
        <w:rPr>
          <w:szCs w:val="18"/>
        </w:rPr>
        <w:t xml:space="preserve">Andersom worden de keuzemogelijkheden voor het kabinet en het parlement groter als de wettelijke verplichtingen worden afgeschaft. </w:t>
      </w:r>
    </w:p>
    <w:p w:rsidR="00DD3946" w:rsidP="00774A9A" w:rsidRDefault="00DD3946" w14:paraId="551B944F" w14:textId="77777777">
      <w:pPr>
        <w:spacing w:line="240" w:lineRule="auto"/>
        <w:rPr>
          <w:szCs w:val="18"/>
        </w:rPr>
      </w:pPr>
    </w:p>
    <w:p w:rsidR="00E94EE9" w:rsidP="00774A9A" w:rsidRDefault="0074098F" w14:paraId="0EFEDE3E" w14:textId="77777777">
      <w:pPr>
        <w:spacing w:line="240" w:lineRule="auto"/>
        <w:rPr>
          <w:szCs w:val="18"/>
        </w:rPr>
      </w:pPr>
      <w:r>
        <w:rPr>
          <w:szCs w:val="18"/>
        </w:rPr>
        <w:t xml:space="preserve">Voor OCW geldt </w:t>
      </w:r>
      <w:r w:rsidR="00E34892">
        <w:rPr>
          <w:szCs w:val="18"/>
        </w:rPr>
        <w:t xml:space="preserve">dat </w:t>
      </w:r>
      <w:r>
        <w:rPr>
          <w:szCs w:val="18"/>
        </w:rPr>
        <w:t xml:space="preserve">meer </w:t>
      </w:r>
      <w:r w:rsidRPr="00067752">
        <w:rPr>
          <w:szCs w:val="18"/>
        </w:rPr>
        <w:t>wettelijke verplichtingen</w:t>
      </w:r>
      <w:r w:rsidR="00E34892">
        <w:rPr>
          <w:szCs w:val="18"/>
        </w:rPr>
        <w:t xml:space="preserve"> op prijsbijstelling</w:t>
      </w:r>
      <w:r w:rsidRPr="00067752">
        <w:rPr>
          <w:szCs w:val="18"/>
        </w:rPr>
        <w:t xml:space="preserve"> in </w:t>
      </w:r>
      <w:r w:rsidR="00E34892">
        <w:rPr>
          <w:szCs w:val="18"/>
        </w:rPr>
        <w:t>de</w:t>
      </w:r>
      <w:r w:rsidRPr="00067752">
        <w:rPr>
          <w:szCs w:val="18"/>
        </w:rPr>
        <w:t xml:space="preserve"> onderwijs</w:t>
      </w:r>
      <w:r w:rsidR="00E34892">
        <w:rPr>
          <w:szCs w:val="18"/>
        </w:rPr>
        <w:t>sectoren</w:t>
      </w:r>
      <w:r w:rsidRPr="00067752">
        <w:rPr>
          <w:szCs w:val="18"/>
        </w:rPr>
        <w:t xml:space="preserve"> de onzekerheid </w:t>
      </w:r>
      <w:r>
        <w:rPr>
          <w:szCs w:val="18"/>
        </w:rPr>
        <w:t xml:space="preserve">vergroten </w:t>
      </w:r>
      <w:r w:rsidRPr="00067752">
        <w:rPr>
          <w:szCs w:val="18"/>
        </w:rPr>
        <w:t xml:space="preserve">voor de andere onderdelen van de OCW-begroting, zoals cultuur, onderzoek en emancipatie. </w:t>
      </w:r>
      <w:r w:rsidR="003E3DF8">
        <w:rPr>
          <w:szCs w:val="18"/>
        </w:rPr>
        <w:t xml:space="preserve">De zekerheid die dit biedt voor de onderwijssectoren is in de praktijk beperkt. </w:t>
      </w:r>
      <w:r w:rsidR="00E34892">
        <w:rPr>
          <w:szCs w:val="18"/>
        </w:rPr>
        <w:t>Bij</w:t>
      </w:r>
      <w:r w:rsidRPr="00067752" w:rsidR="00DD3946">
        <w:rPr>
          <w:szCs w:val="18"/>
        </w:rPr>
        <w:t xml:space="preserve"> een</w:t>
      </w:r>
      <w:r w:rsidR="00E34892">
        <w:rPr>
          <w:szCs w:val="18"/>
        </w:rPr>
        <w:t xml:space="preserve"> </w:t>
      </w:r>
      <w:r w:rsidRPr="00067752" w:rsidR="00DD3946">
        <w:rPr>
          <w:szCs w:val="18"/>
        </w:rPr>
        <w:t xml:space="preserve">rijksbrede korting, zoals bij de Voorjaarsnota 2025, kan </w:t>
      </w:r>
      <w:r w:rsidR="00E34892">
        <w:rPr>
          <w:szCs w:val="18"/>
        </w:rPr>
        <w:t xml:space="preserve">namelijk alleen </w:t>
      </w:r>
      <w:r w:rsidRPr="00067752" w:rsidR="00DD3946">
        <w:rPr>
          <w:szCs w:val="18"/>
        </w:rPr>
        <w:t>aan de wettelijke verplichting</w:t>
      </w:r>
      <w:r w:rsidR="00E34892">
        <w:rPr>
          <w:szCs w:val="18"/>
        </w:rPr>
        <w:t>en</w:t>
      </w:r>
      <w:r w:rsidRPr="00067752" w:rsidR="00DD3946">
        <w:rPr>
          <w:szCs w:val="18"/>
        </w:rPr>
        <w:t xml:space="preserve"> worden voldaan door elders binnen de </w:t>
      </w:r>
      <w:r w:rsidR="00474890">
        <w:rPr>
          <w:szCs w:val="18"/>
        </w:rPr>
        <w:t>OCW-</w:t>
      </w:r>
      <w:r w:rsidRPr="00067752" w:rsidR="00DD3946">
        <w:rPr>
          <w:szCs w:val="18"/>
        </w:rPr>
        <w:t>begroting te bezuinigen.</w:t>
      </w:r>
      <w:r w:rsidR="00DD3946">
        <w:rPr>
          <w:szCs w:val="18"/>
        </w:rPr>
        <w:t xml:space="preserve"> Bij hogere kortingen kan</w:t>
      </w:r>
      <w:r w:rsidR="00E34892">
        <w:rPr>
          <w:szCs w:val="18"/>
        </w:rPr>
        <w:t xml:space="preserve"> </w:t>
      </w:r>
      <w:r w:rsidR="00553233">
        <w:rPr>
          <w:szCs w:val="18"/>
        </w:rPr>
        <w:t>de situatie ontstaan dat onderwijssectoren die de prijsbijstelling verplicht hebben ontvangen, ook deels ter dekking hiervoor gekort moeten worden.</w:t>
      </w:r>
      <w:r w:rsidR="008C2F5C">
        <w:rPr>
          <w:szCs w:val="18"/>
        </w:rPr>
        <w:t xml:space="preserve"> </w:t>
      </w:r>
      <w:r w:rsidR="0001104A">
        <w:rPr>
          <w:szCs w:val="18"/>
        </w:rPr>
        <w:t>Extra</w:t>
      </w:r>
      <w:r w:rsidRPr="00067752" w:rsidR="00E34892">
        <w:rPr>
          <w:szCs w:val="18"/>
        </w:rPr>
        <w:t xml:space="preserve"> wettelijke verplichting</w:t>
      </w:r>
      <w:r w:rsidR="0001104A">
        <w:rPr>
          <w:szCs w:val="18"/>
        </w:rPr>
        <w:t xml:space="preserve">en </w:t>
      </w:r>
      <w:r w:rsidRPr="00067752" w:rsidR="00E34892">
        <w:rPr>
          <w:szCs w:val="18"/>
        </w:rPr>
        <w:t>bied</w:t>
      </w:r>
      <w:r w:rsidR="0001104A">
        <w:rPr>
          <w:szCs w:val="18"/>
        </w:rPr>
        <w:t>en daarmee</w:t>
      </w:r>
      <w:r w:rsidRPr="00067752" w:rsidR="00E34892">
        <w:rPr>
          <w:szCs w:val="18"/>
        </w:rPr>
        <w:t xml:space="preserve"> </w:t>
      </w:r>
      <w:r w:rsidR="00E34892">
        <w:rPr>
          <w:szCs w:val="18"/>
        </w:rPr>
        <w:t xml:space="preserve">in de praktijk </w:t>
      </w:r>
      <w:r w:rsidRPr="00067752" w:rsidR="00E34892">
        <w:rPr>
          <w:szCs w:val="18"/>
        </w:rPr>
        <w:t xml:space="preserve">alleen zekerheid </w:t>
      </w:r>
      <w:r w:rsidR="00E34892">
        <w:rPr>
          <w:szCs w:val="18"/>
        </w:rPr>
        <w:t xml:space="preserve">voor onderwijssectoren </w:t>
      </w:r>
      <w:r w:rsidRPr="00067752" w:rsidR="00E34892">
        <w:rPr>
          <w:szCs w:val="18"/>
        </w:rPr>
        <w:t>als de prijsbijstelling, zonder korting, aan de OCW-begroting wordt toegevoegd.</w:t>
      </w:r>
    </w:p>
    <w:p w:rsidR="00E94EE9" w:rsidRDefault="00E94EE9" w14:paraId="451333C0" w14:textId="6EA21FF2">
      <w:pPr>
        <w:spacing w:line="240" w:lineRule="auto"/>
        <w:rPr>
          <w:szCs w:val="18"/>
        </w:rPr>
      </w:pPr>
    </w:p>
    <w:p w:rsidRPr="00067752" w:rsidR="00774A9A" w:rsidP="00774A9A" w:rsidRDefault="0001104A" w14:paraId="06791E4F" w14:textId="4777415C">
      <w:pPr>
        <w:spacing w:line="240" w:lineRule="auto"/>
        <w:rPr>
          <w:szCs w:val="18"/>
        </w:rPr>
      </w:pPr>
      <w:r>
        <w:rPr>
          <w:szCs w:val="18"/>
        </w:rPr>
        <w:t>Dit verhoogt echter</w:t>
      </w:r>
      <w:r w:rsidR="008C2F5C">
        <w:rPr>
          <w:szCs w:val="18"/>
        </w:rPr>
        <w:t xml:space="preserve"> weer</w:t>
      </w:r>
      <w:r w:rsidR="00E34892">
        <w:rPr>
          <w:szCs w:val="18"/>
        </w:rPr>
        <w:t xml:space="preserve"> d</w:t>
      </w:r>
      <w:r w:rsidR="0074098F">
        <w:rPr>
          <w:szCs w:val="18"/>
        </w:rPr>
        <w:t>e druk op andere departementale begrotingen.</w:t>
      </w:r>
    </w:p>
    <w:p w:rsidR="00774A9A" w:rsidP="00774A9A" w:rsidRDefault="00774A9A" w14:paraId="7CE5A61C" w14:textId="77777777">
      <w:pPr>
        <w:spacing w:line="240" w:lineRule="auto"/>
        <w:rPr>
          <w:szCs w:val="18"/>
        </w:rPr>
      </w:pPr>
    </w:p>
    <w:p w:rsidR="00774A9A" w:rsidP="00774A9A" w:rsidRDefault="00774A9A" w14:paraId="112277FC" w14:textId="77777777">
      <w:pPr>
        <w:spacing w:line="240" w:lineRule="auto"/>
        <w:rPr>
          <w:szCs w:val="18"/>
        </w:rPr>
      </w:pPr>
      <w:r w:rsidRPr="00067752">
        <w:rPr>
          <w:szCs w:val="18"/>
        </w:rPr>
        <w:t>Deze brief wordt, op verzoek, ook aan de Eerste Kamer gestuurd.</w:t>
      </w:r>
    </w:p>
    <w:p w:rsidR="00943529" w:rsidP="00774A9A" w:rsidRDefault="00943529" w14:paraId="6949DFCB" w14:textId="77777777">
      <w:pPr>
        <w:spacing w:line="240" w:lineRule="auto"/>
        <w:rPr>
          <w:szCs w:val="18"/>
        </w:rPr>
      </w:pPr>
    </w:p>
    <w:p w:rsidR="00943529" w:rsidP="00774A9A" w:rsidRDefault="00943529" w14:paraId="31630353" w14:textId="77777777">
      <w:pPr>
        <w:spacing w:line="240" w:lineRule="auto"/>
        <w:rPr>
          <w:szCs w:val="18"/>
        </w:rPr>
      </w:pPr>
    </w:p>
    <w:p w:rsidR="00943529" w:rsidP="00774A9A" w:rsidRDefault="00943529" w14:paraId="25215CA0" w14:textId="77777777">
      <w:pPr>
        <w:spacing w:line="240" w:lineRule="auto"/>
        <w:rPr>
          <w:szCs w:val="18"/>
        </w:rPr>
      </w:pPr>
    </w:p>
    <w:p w:rsidR="00943529" w:rsidP="00774A9A" w:rsidRDefault="00943529" w14:paraId="11678A3B" w14:textId="77777777">
      <w:pPr>
        <w:spacing w:line="240" w:lineRule="auto"/>
        <w:rPr>
          <w:szCs w:val="18"/>
        </w:rPr>
      </w:pPr>
    </w:p>
    <w:p w:rsidR="00943529" w:rsidP="00774A9A" w:rsidRDefault="00943529" w14:paraId="4C16D1BA" w14:textId="77777777">
      <w:pPr>
        <w:spacing w:line="240" w:lineRule="auto"/>
        <w:rPr>
          <w:szCs w:val="18"/>
        </w:rPr>
      </w:pPr>
    </w:p>
    <w:p w:rsidR="00943529" w:rsidP="00774A9A" w:rsidRDefault="00943529" w14:paraId="00527B58" w14:textId="77777777">
      <w:pPr>
        <w:spacing w:line="240" w:lineRule="auto"/>
        <w:rPr>
          <w:szCs w:val="18"/>
        </w:rPr>
      </w:pPr>
    </w:p>
    <w:p w:rsidR="00943529" w:rsidP="00774A9A" w:rsidRDefault="00943529" w14:paraId="477297B7" w14:textId="77777777">
      <w:pPr>
        <w:spacing w:line="240" w:lineRule="auto"/>
        <w:rPr>
          <w:szCs w:val="18"/>
        </w:rPr>
      </w:pPr>
    </w:p>
    <w:p w:rsidR="00943529" w:rsidP="00774A9A" w:rsidRDefault="00943529" w14:paraId="5D2197B3" w14:textId="77777777">
      <w:pPr>
        <w:spacing w:line="240" w:lineRule="auto"/>
        <w:rPr>
          <w:szCs w:val="18"/>
        </w:rPr>
      </w:pPr>
    </w:p>
    <w:p w:rsidR="00E94EE9" w:rsidP="00E94EE9" w:rsidRDefault="00E94EE9" w14:paraId="58238334" w14:textId="77777777">
      <w:pPr>
        <w:spacing w:line="240" w:lineRule="auto"/>
      </w:pPr>
      <w:r>
        <w:lastRenderedPageBreak/>
        <w:t>De minister van Onderwijs, Cultuur en Wetenschap</w:t>
      </w:r>
    </w:p>
    <w:p w:rsidR="00E94EE9" w:rsidP="00E94EE9" w:rsidRDefault="00E94EE9" w14:paraId="656D3F2D" w14:textId="77777777">
      <w:pPr>
        <w:spacing w:line="240" w:lineRule="auto"/>
      </w:pPr>
    </w:p>
    <w:p w:rsidR="00E94EE9" w:rsidP="00E94EE9" w:rsidRDefault="00E94EE9" w14:paraId="2B1D80A8" w14:textId="77777777">
      <w:pPr>
        <w:spacing w:line="240" w:lineRule="auto"/>
      </w:pPr>
    </w:p>
    <w:p w:rsidR="00E94EE9" w:rsidP="00E94EE9" w:rsidRDefault="00E94EE9" w14:paraId="59F2E400" w14:textId="77777777">
      <w:pPr>
        <w:pStyle w:val="standaard-tekst"/>
        <w:spacing w:line="240" w:lineRule="auto"/>
      </w:pPr>
    </w:p>
    <w:p w:rsidR="00E94EE9" w:rsidP="00E94EE9" w:rsidRDefault="00E94EE9" w14:paraId="33FCFA2D" w14:textId="77777777">
      <w:pPr>
        <w:pStyle w:val="standaard-tekst"/>
        <w:spacing w:line="240" w:lineRule="auto"/>
      </w:pPr>
    </w:p>
    <w:p w:rsidR="00E94EE9" w:rsidP="00E94EE9" w:rsidRDefault="00E94EE9" w14:paraId="0BF5A037" w14:textId="77777777">
      <w:pPr>
        <w:pStyle w:val="standaard-tekst"/>
        <w:spacing w:line="240" w:lineRule="auto"/>
      </w:pPr>
    </w:p>
    <w:p w:rsidR="00E94EE9" w:rsidP="00E94EE9" w:rsidRDefault="00E94EE9" w14:paraId="546A9B24" w14:textId="77777777">
      <w:pPr>
        <w:pStyle w:val="standaard-tekst"/>
        <w:spacing w:line="240" w:lineRule="auto"/>
      </w:pPr>
    </w:p>
    <w:p w:rsidR="00E94EE9" w:rsidP="00E94EE9" w:rsidRDefault="00E94EE9" w14:paraId="237AB14A" w14:textId="77777777">
      <w:pPr>
        <w:pStyle w:val="standaard-tekst"/>
        <w:spacing w:line="240" w:lineRule="auto"/>
      </w:pPr>
    </w:p>
    <w:p w:rsidR="00E94EE9" w:rsidP="00E94EE9" w:rsidRDefault="00E94EE9" w14:paraId="32567B9A" w14:textId="77777777">
      <w:pPr>
        <w:pStyle w:val="standaard-tekst"/>
        <w:spacing w:line="240" w:lineRule="auto"/>
      </w:pPr>
    </w:p>
    <w:p w:rsidR="00E94EE9" w:rsidP="00E94EE9" w:rsidRDefault="00E94EE9" w14:paraId="25DD88AC" w14:textId="531D9E80">
      <w:pPr>
        <w:pStyle w:val="standaard-tekst"/>
        <w:spacing w:line="240" w:lineRule="auto"/>
      </w:pPr>
      <w:r>
        <w:t>Gouke Moes</w:t>
      </w:r>
    </w:p>
    <w:p w:rsidR="00E94EE9" w:rsidP="00E94EE9" w:rsidRDefault="00E94EE9" w14:paraId="3ED0E795" w14:textId="77777777">
      <w:pPr>
        <w:spacing w:line="240" w:lineRule="auto"/>
      </w:pPr>
    </w:p>
    <w:p w:rsidR="00E94EE9" w:rsidP="00E94EE9" w:rsidRDefault="00E94EE9" w14:paraId="6F510256" w14:textId="77777777">
      <w:pPr>
        <w:spacing w:line="240" w:lineRule="auto"/>
      </w:pPr>
    </w:p>
    <w:p w:rsidR="00E94EE9" w:rsidP="00E94EE9" w:rsidRDefault="00E94EE9" w14:paraId="11D39AD3" w14:textId="77777777">
      <w:pPr>
        <w:spacing w:line="240" w:lineRule="auto"/>
      </w:pPr>
      <w:r>
        <w:t>De staatssecretaris van Onderwijs, Cultuur en Wetenschap,</w:t>
      </w:r>
    </w:p>
    <w:p w:rsidR="00E94EE9" w:rsidP="00E94EE9" w:rsidRDefault="00E94EE9" w14:paraId="7DE7549C" w14:textId="77777777">
      <w:pPr>
        <w:spacing w:line="240" w:lineRule="auto"/>
      </w:pPr>
    </w:p>
    <w:p w:rsidR="00E94EE9" w:rsidP="00E94EE9" w:rsidRDefault="00E94EE9" w14:paraId="2EA5DB36" w14:textId="77777777">
      <w:pPr>
        <w:spacing w:line="240" w:lineRule="auto"/>
      </w:pPr>
    </w:p>
    <w:p w:rsidR="00E94EE9" w:rsidP="00E94EE9" w:rsidRDefault="00E94EE9" w14:paraId="2BD767E2" w14:textId="77777777">
      <w:pPr>
        <w:spacing w:line="240" w:lineRule="auto"/>
      </w:pPr>
    </w:p>
    <w:p w:rsidR="00E94EE9" w:rsidP="00E94EE9" w:rsidRDefault="00E94EE9" w14:paraId="01B90499" w14:textId="77777777">
      <w:pPr>
        <w:spacing w:line="240" w:lineRule="auto"/>
      </w:pPr>
    </w:p>
    <w:p w:rsidR="00E94EE9" w:rsidP="00E94EE9" w:rsidRDefault="00E94EE9" w14:paraId="4B5802D1" w14:textId="77777777">
      <w:pPr>
        <w:spacing w:line="240" w:lineRule="auto"/>
      </w:pPr>
    </w:p>
    <w:p w:rsidR="00E94EE9" w:rsidP="00E94EE9" w:rsidRDefault="00E94EE9" w14:paraId="3FE29145" w14:textId="77777777">
      <w:pPr>
        <w:spacing w:line="240" w:lineRule="auto"/>
      </w:pPr>
    </w:p>
    <w:p w:rsidR="00E94EE9" w:rsidP="00E94EE9" w:rsidRDefault="00E94EE9" w14:paraId="4B6F6C4E" w14:textId="77777777">
      <w:pPr>
        <w:spacing w:line="240" w:lineRule="auto"/>
      </w:pPr>
    </w:p>
    <w:p w:rsidR="00E94EE9" w:rsidP="00E94EE9" w:rsidRDefault="00E94EE9" w14:paraId="6E940AAF" w14:textId="77777777">
      <w:pPr>
        <w:spacing w:line="240" w:lineRule="auto"/>
      </w:pPr>
    </w:p>
    <w:p w:rsidR="00E94EE9" w:rsidP="00E94EE9" w:rsidRDefault="00E94EE9" w14:paraId="31F21D9A" w14:textId="28F232CF">
      <w:pPr>
        <w:spacing w:line="240" w:lineRule="auto"/>
      </w:pPr>
      <w:r w:rsidRPr="00480E05">
        <w:t>Koen Becking</w:t>
      </w:r>
    </w:p>
    <w:p w:rsidRPr="00067752" w:rsidR="00E94EE9" w:rsidP="00774A9A" w:rsidRDefault="00E94EE9" w14:paraId="4F22AB56" w14:textId="77777777">
      <w:pPr>
        <w:spacing w:line="240" w:lineRule="auto"/>
        <w:rPr>
          <w:szCs w:val="18"/>
        </w:rPr>
      </w:pPr>
    </w:p>
    <w:p w:rsidR="00AC2B90" w:rsidP="008D6A45" w:rsidRDefault="00AC2B90" w14:paraId="04E60A6B" w14:textId="77777777">
      <w:pPr>
        <w:spacing w:line="240" w:lineRule="auto"/>
      </w:pPr>
    </w:p>
    <w:p w:rsidRPr="00820DDA" w:rsidR="00820DDA" w:rsidP="008D6A45" w:rsidRDefault="00820DDA" w14:paraId="62E059AC" w14:textId="03B035E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7FE9" w14:textId="77777777" w:rsidR="003C1751" w:rsidRDefault="003C1751">
      <w:r>
        <w:separator/>
      </w:r>
    </w:p>
    <w:p w14:paraId="7E6A0D78" w14:textId="77777777" w:rsidR="003C1751" w:rsidRDefault="003C1751"/>
  </w:endnote>
  <w:endnote w:type="continuationSeparator" w:id="0">
    <w:p w14:paraId="4DD98FE0" w14:textId="77777777" w:rsidR="003C1751" w:rsidRDefault="003C1751">
      <w:r>
        <w:continuationSeparator/>
      </w:r>
    </w:p>
    <w:p w14:paraId="2E7157B2" w14:textId="77777777" w:rsidR="003C1751" w:rsidRDefault="003C1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144" w14:textId="77777777" w:rsidR="00884710" w:rsidRDefault="008847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09D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B7AF8" w14:paraId="09CE894D" w14:textId="77777777" w:rsidTr="004C7E1D">
      <w:trPr>
        <w:trHeight w:hRule="exact" w:val="357"/>
      </w:trPr>
      <w:tc>
        <w:tcPr>
          <w:tcW w:w="7603" w:type="dxa"/>
        </w:tcPr>
        <w:p w14:paraId="7062FAEE" w14:textId="77777777" w:rsidR="002F71BB" w:rsidRPr="004C7E1D" w:rsidRDefault="002F71BB" w:rsidP="004C7E1D">
          <w:pPr>
            <w:spacing w:line="180" w:lineRule="exact"/>
            <w:rPr>
              <w:sz w:val="13"/>
              <w:szCs w:val="13"/>
            </w:rPr>
          </w:pPr>
        </w:p>
      </w:tc>
      <w:tc>
        <w:tcPr>
          <w:tcW w:w="2172" w:type="dxa"/>
        </w:tcPr>
        <w:p w14:paraId="20417266" w14:textId="3129E088" w:rsidR="002F71BB" w:rsidRPr="004C7E1D" w:rsidRDefault="0097066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7CFB">
            <w:rPr>
              <w:szCs w:val="13"/>
            </w:rPr>
            <w:t>6</w:t>
          </w:r>
          <w:r w:rsidRPr="004C7E1D">
            <w:rPr>
              <w:szCs w:val="13"/>
            </w:rPr>
            <w:fldChar w:fldCharType="end"/>
          </w:r>
        </w:p>
      </w:tc>
    </w:tr>
  </w:tbl>
  <w:p w14:paraId="5376051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B7AF8" w14:paraId="2DFC99F2" w14:textId="77777777" w:rsidTr="004C7E1D">
      <w:trPr>
        <w:trHeight w:hRule="exact" w:val="357"/>
      </w:trPr>
      <w:tc>
        <w:tcPr>
          <w:tcW w:w="7709" w:type="dxa"/>
        </w:tcPr>
        <w:p w14:paraId="58237FBA" w14:textId="77777777" w:rsidR="00D17084" w:rsidRPr="004C7E1D" w:rsidRDefault="00D17084" w:rsidP="004C7E1D">
          <w:pPr>
            <w:spacing w:line="180" w:lineRule="exact"/>
            <w:rPr>
              <w:sz w:val="13"/>
              <w:szCs w:val="13"/>
            </w:rPr>
          </w:pPr>
        </w:p>
      </w:tc>
      <w:tc>
        <w:tcPr>
          <w:tcW w:w="2060" w:type="dxa"/>
        </w:tcPr>
        <w:p w14:paraId="64E7DC55" w14:textId="341A1BD6" w:rsidR="00D17084" w:rsidRPr="004C7E1D" w:rsidRDefault="0097066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7CFB">
            <w:rPr>
              <w:szCs w:val="13"/>
            </w:rPr>
            <w:t>6</w:t>
          </w:r>
          <w:r w:rsidRPr="004C7E1D">
            <w:rPr>
              <w:szCs w:val="13"/>
            </w:rPr>
            <w:fldChar w:fldCharType="end"/>
          </w:r>
        </w:p>
      </w:tc>
    </w:tr>
  </w:tbl>
  <w:p w14:paraId="4EAAB66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1822" w14:textId="77777777" w:rsidR="003C1751" w:rsidRDefault="003C1751">
      <w:r>
        <w:separator/>
      </w:r>
    </w:p>
    <w:p w14:paraId="06C3A194" w14:textId="77777777" w:rsidR="003C1751" w:rsidRDefault="003C1751"/>
  </w:footnote>
  <w:footnote w:type="continuationSeparator" w:id="0">
    <w:p w14:paraId="0008C8ED" w14:textId="77777777" w:rsidR="003C1751" w:rsidRDefault="003C1751">
      <w:r>
        <w:continuationSeparator/>
      </w:r>
    </w:p>
    <w:p w14:paraId="6C10CF3D" w14:textId="77777777" w:rsidR="003C1751" w:rsidRDefault="003C1751"/>
  </w:footnote>
  <w:footnote w:id="1">
    <w:p w14:paraId="7261C31A" w14:textId="77777777" w:rsidR="00774A9A" w:rsidRDefault="00774A9A" w:rsidP="00774A9A">
      <w:pPr>
        <w:pStyle w:val="Voetnoottekst"/>
      </w:pPr>
      <w:r>
        <w:rPr>
          <w:rStyle w:val="Voetnootmarkering"/>
        </w:rPr>
        <w:footnoteRef/>
      </w:r>
      <w:r>
        <w:t xml:space="preserve"> Kamerstukken </w:t>
      </w:r>
      <w:r w:rsidRPr="006B6F58">
        <w:t>36800-IX</w:t>
      </w:r>
      <w:r>
        <w:t xml:space="preserve">, nr. </w:t>
      </w:r>
      <w:r w:rsidRPr="006B6F58">
        <w:t>22</w:t>
      </w:r>
      <w:r>
        <w:t>.</w:t>
      </w:r>
    </w:p>
  </w:footnote>
  <w:footnote w:id="2">
    <w:p w14:paraId="2B86C45E" w14:textId="77777777" w:rsidR="00774A9A" w:rsidRDefault="00774A9A" w:rsidP="00774A9A">
      <w:pPr>
        <w:pStyle w:val="Voetnoottekst"/>
      </w:pPr>
      <w:r>
        <w:rPr>
          <w:rStyle w:val="Voetnootmarkering"/>
        </w:rPr>
        <w:footnoteRef/>
      </w:r>
      <w:r>
        <w:t xml:space="preserve"> Wet Primair Onderwijs, art. 116 lid 9; Wet Voortgezet Onderwijs art. 5.6 lid 4; Wet op de Expertisecentra, art. 114 lid 8.</w:t>
      </w:r>
    </w:p>
  </w:footnote>
  <w:footnote w:id="3">
    <w:p w14:paraId="6C2810CE" w14:textId="77777777" w:rsidR="00774A9A" w:rsidRDefault="00774A9A" w:rsidP="00774A9A">
      <w:pPr>
        <w:pStyle w:val="Voetnoottekst"/>
      </w:pPr>
      <w:r>
        <w:rPr>
          <w:rStyle w:val="Voetnootmarkering"/>
        </w:rPr>
        <w:footnoteRef/>
      </w:r>
      <w:r>
        <w:t xml:space="preserve"> </w:t>
      </w:r>
      <w:r w:rsidRPr="00845219">
        <w:t>Zie bijvoorbeeld artikel 2 in het decentralisatieconvenant zoals overeenkomen met de sector primair onderwijs van 11 november 2013 (Stcrt. 2013, nr. 32364).</w:t>
      </w:r>
    </w:p>
  </w:footnote>
  <w:footnote w:id="4">
    <w:p w14:paraId="581993B0" w14:textId="77777777" w:rsidR="00774A9A" w:rsidRDefault="00774A9A" w:rsidP="00774A9A">
      <w:pPr>
        <w:pStyle w:val="Voetnoottekst"/>
      </w:pPr>
      <w:r>
        <w:rPr>
          <w:rStyle w:val="Voetnootmarkering"/>
        </w:rPr>
        <w:footnoteRef/>
      </w:r>
      <w:r>
        <w:t xml:space="preserve"> Wet studiefinanciering 2000, art. 11.1</w:t>
      </w:r>
    </w:p>
  </w:footnote>
  <w:footnote w:id="5">
    <w:p w14:paraId="6843B3A8" w14:textId="77777777" w:rsidR="00774A9A" w:rsidRDefault="00774A9A" w:rsidP="00774A9A">
      <w:pPr>
        <w:pStyle w:val="Voetnoottekst"/>
      </w:pPr>
      <w:r>
        <w:rPr>
          <w:rStyle w:val="Voetnootmarkering"/>
        </w:rPr>
        <w:footnoteRef/>
      </w:r>
      <w:r>
        <w:t xml:space="preserve"> Mediawet, art. </w:t>
      </w:r>
      <w:r w:rsidRPr="00A360AD">
        <w:t>Artikel 2.144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CFCF" w14:textId="77777777" w:rsidR="00884710" w:rsidRDefault="008847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B7AF8" w14:paraId="102C55B5" w14:textId="77777777" w:rsidTr="006D2D53">
      <w:trPr>
        <w:trHeight w:hRule="exact" w:val="400"/>
      </w:trPr>
      <w:tc>
        <w:tcPr>
          <w:tcW w:w="7518" w:type="dxa"/>
        </w:tcPr>
        <w:p w14:paraId="6551DA30" w14:textId="77777777" w:rsidR="00527BD4" w:rsidRPr="00275984" w:rsidRDefault="00527BD4" w:rsidP="00BF4427">
          <w:pPr>
            <w:pStyle w:val="Huisstijl-Rubricering"/>
          </w:pPr>
        </w:p>
      </w:tc>
    </w:tr>
  </w:tbl>
  <w:p w14:paraId="0FE0B4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B7AF8" w14:paraId="3F9D0817" w14:textId="77777777" w:rsidTr="003B528D">
      <w:tc>
        <w:tcPr>
          <w:tcW w:w="2160" w:type="dxa"/>
        </w:tcPr>
        <w:p w14:paraId="24976C9A" w14:textId="77777777" w:rsidR="002F71BB" w:rsidRDefault="0097066F" w:rsidP="005D283A">
          <w:pPr>
            <w:pStyle w:val="Colofonkop"/>
            <w:framePr w:hSpace="0" w:wrap="auto" w:vAnchor="margin" w:hAnchor="text" w:xAlign="left" w:yAlign="inline"/>
          </w:pPr>
          <w:r>
            <w:t>Onze referentie</w:t>
          </w:r>
        </w:p>
        <w:p w14:paraId="3A71ECFA" w14:textId="3351633A" w:rsidR="00EE5B3F" w:rsidRPr="00884710" w:rsidRDefault="00884710" w:rsidP="005D283A">
          <w:pPr>
            <w:pStyle w:val="Colofonkop"/>
            <w:framePr w:hSpace="0" w:wrap="auto" w:vAnchor="margin" w:hAnchor="text" w:xAlign="left" w:yAlign="inline"/>
            <w:rPr>
              <w:b w:val="0"/>
              <w:bCs/>
            </w:rPr>
          </w:pPr>
          <w:r w:rsidRPr="00884710">
            <w:rPr>
              <w:b w:val="0"/>
              <w:bCs/>
            </w:rPr>
            <w:t>59114513</w:t>
          </w:r>
        </w:p>
      </w:tc>
    </w:tr>
    <w:tr w:rsidR="00FB7AF8" w14:paraId="32CC073C" w14:textId="77777777" w:rsidTr="002F71BB">
      <w:trPr>
        <w:trHeight w:val="259"/>
      </w:trPr>
      <w:tc>
        <w:tcPr>
          <w:tcW w:w="2160" w:type="dxa"/>
        </w:tcPr>
        <w:p w14:paraId="064C28F6" w14:textId="77777777" w:rsidR="00E35CF4" w:rsidRPr="005D283A" w:rsidRDefault="00E35CF4" w:rsidP="0049501A">
          <w:pPr>
            <w:spacing w:line="180" w:lineRule="exact"/>
            <w:rPr>
              <w:sz w:val="13"/>
              <w:szCs w:val="13"/>
            </w:rPr>
          </w:pPr>
        </w:p>
      </w:tc>
    </w:tr>
  </w:tbl>
  <w:p w14:paraId="583E668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7AF8" w14:paraId="0E8DD333" w14:textId="77777777" w:rsidTr="001377D4">
      <w:trPr>
        <w:trHeight w:val="2636"/>
      </w:trPr>
      <w:tc>
        <w:tcPr>
          <w:tcW w:w="737" w:type="dxa"/>
        </w:tcPr>
        <w:p w14:paraId="23B8DA58" w14:textId="77777777" w:rsidR="00704845" w:rsidRDefault="00704845" w:rsidP="0047126E">
          <w:pPr>
            <w:framePr w:w="6339" w:h="2750" w:hRule="exact" w:hSpace="181" w:wrap="around" w:vAnchor="page" w:hAnchor="page" w:x="5586" w:y="1"/>
            <w:spacing w:line="240" w:lineRule="auto"/>
          </w:pPr>
        </w:p>
      </w:tc>
      <w:tc>
        <w:tcPr>
          <w:tcW w:w="5156" w:type="dxa"/>
        </w:tcPr>
        <w:p w14:paraId="059D16F2" w14:textId="77777777" w:rsidR="00704845" w:rsidRDefault="0097066F" w:rsidP="0047126E">
          <w:pPr>
            <w:framePr w:w="3873" w:h="2625" w:hRule="exact" w:wrap="around" w:vAnchor="page" w:hAnchor="page" w:x="6323" w:y="1"/>
          </w:pPr>
          <w:r>
            <w:rPr>
              <w:noProof/>
              <w:lang w:val="en-US" w:eastAsia="en-US"/>
            </w:rPr>
            <w:drawing>
              <wp:inline distT="0" distB="0" distL="0" distR="0" wp14:anchorId="3DD7DB4E" wp14:editId="1D051E5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86057F" w14:textId="77777777" w:rsidR="00483ECA" w:rsidRDefault="00483ECA" w:rsidP="00D037A9"/>
      </w:tc>
    </w:tr>
  </w:tbl>
  <w:p w14:paraId="71EBFAF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B7AF8" w:rsidRPr="001A7BBD" w14:paraId="07482B91" w14:textId="77777777" w:rsidTr="0008539E">
      <w:trPr>
        <w:trHeight w:hRule="exact" w:val="572"/>
      </w:trPr>
      <w:tc>
        <w:tcPr>
          <w:tcW w:w="7520" w:type="dxa"/>
        </w:tcPr>
        <w:p w14:paraId="05076206" w14:textId="77777777" w:rsidR="00527BD4" w:rsidRPr="00E654AF" w:rsidRDefault="0097066F" w:rsidP="00210BA3">
          <w:pPr>
            <w:pStyle w:val="Huisstijl-Adres"/>
            <w:spacing w:after="0"/>
            <w:rPr>
              <w:lang w:val="sv-SE"/>
            </w:rPr>
          </w:pPr>
          <w:r w:rsidRPr="00E654AF">
            <w:rPr>
              <w:lang w:val="sv-SE"/>
            </w:rPr>
            <w:t xml:space="preserve">&gt;Retouradres Postbus 16375 2500 BJ Den Haag </w:t>
          </w:r>
        </w:p>
      </w:tc>
    </w:tr>
    <w:tr w:rsidR="00FB7AF8" w:rsidRPr="001A7BBD" w14:paraId="284B7797" w14:textId="77777777" w:rsidTr="00E776C6">
      <w:trPr>
        <w:cantSplit/>
        <w:trHeight w:hRule="exact" w:val="238"/>
      </w:trPr>
      <w:tc>
        <w:tcPr>
          <w:tcW w:w="7520" w:type="dxa"/>
        </w:tcPr>
        <w:p w14:paraId="76BC13AB" w14:textId="77777777" w:rsidR="00093ABC" w:rsidRPr="00E654AF" w:rsidRDefault="00093ABC" w:rsidP="00963440">
          <w:pPr>
            <w:rPr>
              <w:lang w:val="sv-SE"/>
            </w:rPr>
          </w:pPr>
        </w:p>
      </w:tc>
    </w:tr>
    <w:tr w:rsidR="00FB7AF8" w:rsidRPr="001A7BBD" w14:paraId="5C3716DF" w14:textId="77777777" w:rsidTr="00E776C6">
      <w:trPr>
        <w:cantSplit/>
        <w:trHeight w:hRule="exact" w:val="1520"/>
      </w:trPr>
      <w:tc>
        <w:tcPr>
          <w:tcW w:w="7520" w:type="dxa"/>
        </w:tcPr>
        <w:p w14:paraId="7237A80E" w14:textId="77777777" w:rsidR="00A604D3" w:rsidRPr="00E654AF" w:rsidRDefault="00A604D3" w:rsidP="00963440">
          <w:pPr>
            <w:rPr>
              <w:lang w:val="sv-SE"/>
            </w:rPr>
          </w:pPr>
        </w:p>
      </w:tc>
    </w:tr>
    <w:tr w:rsidR="00FB7AF8" w:rsidRPr="001A7BBD" w14:paraId="58ABD32C" w14:textId="77777777" w:rsidTr="00E776C6">
      <w:trPr>
        <w:trHeight w:hRule="exact" w:val="1077"/>
      </w:trPr>
      <w:tc>
        <w:tcPr>
          <w:tcW w:w="7520" w:type="dxa"/>
        </w:tcPr>
        <w:p w14:paraId="48755788" w14:textId="77777777" w:rsidR="00892BA5" w:rsidRPr="00E654AF" w:rsidRDefault="00892BA5" w:rsidP="00892BA5">
          <w:pPr>
            <w:tabs>
              <w:tab w:val="left" w:pos="740"/>
            </w:tabs>
            <w:autoSpaceDE w:val="0"/>
            <w:autoSpaceDN w:val="0"/>
            <w:adjustRightInd w:val="0"/>
            <w:rPr>
              <w:rFonts w:cs="Verdana"/>
              <w:szCs w:val="18"/>
              <w:lang w:val="sv-SE"/>
            </w:rPr>
          </w:pPr>
        </w:p>
      </w:tc>
    </w:tr>
  </w:tbl>
  <w:p w14:paraId="52D125DC" w14:textId="77777777" w:rsidR="006F273B" w:rsidRPr="00E654AF" w:rsidRDefault="006F273B" w:rsidP="00BC4AE3">
    <w:pPr>
      <w:pStyle w:val="Koptekst"/>
      <w:rPr>
        <w:lang w:val="sv-SE"/>
      </w:rPr>
    </w:pPr>
  </w:p>
  <w:p w14:paraId="3CA651D2" w14:textId="77777777" w:rsidR="00153BD0" w:rsidRPr="00E654AF" w:rsidRDefault="00153BD0" w:rsidP="00BC4AE3">
    <w:pPr>
      <w:pStyle w:val="Koptekst"/>
      <w:rPr>
        <w:lang w:val="sv-SE"/>
      </w:rPr>
    </w:pPr>
  </w:p>
  <w:p w14:paraId="539DCA84" w14:textId="77777777" w:rsidR="0044605E" w:rsidRPr="00E654AF" w:rsidRDefault="0044605E" w:rsidP="00BC4AE3">
    <w:pPr>
      <w:pStyle w:val="Koptekst"/>
      <w:rPr>
        <w:lang w:val="sv-SE"/>
      </w:rPr>
    </w:pPr>
  </w:p>
  <w:p w14:paraId="676F1300" w14:textId="77777777" w:rsidR="0044605E" w:rsidRPr="00E654AF" w:rsidRDefault="0044605E" w:rsidP="00BC4AE3">
    <w:pPr>
      <w:pStyle w:val="Koptekst"/>
      <w:rPr>
        <w:lang w:val="sv-SE"/>
      </w:rPr>
    </w:pPr>
  </w:p>
  <w:p w14:paraId="2B38DA2B" w14:textId="77777777" w:rsidR="0044605E" w:rsidRPr="00E654AF"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790659C">
      <w:start w:val="1"/>
      <w:numFmt w:val="bullet"/>
      <w:pStyle w:val="Lijstopsomteken"/>
      <w:lvlText w:val="•"/>
      <w:lvlJc w:val="left"/>
      <w:pPr>
        <w:tabs>
          <w:tab w:val="num" w:pos="227"/>
        </w:tabs>
        <w:ind w:left="227" w:hanging="227"/>
      </w:pPr>
      <w:rPr>
        <w:rFonts w:ascii="Verdana" w:hAnsi="Verdana" w:hint="default"/>
        <w:sz w:val="18"/>
        <w:szCs w:val="18"/>
      </w:rPr>
    </w:lvl>
    <w:lvl w:ilvl="1" w:tplc="A9989606" w:tentative="1">
      <w:start w:val="1"/>
      <w:numFmt w:val="bullet"/>
      <w:lvlText w:val="o"/>
      <w:lvlJc w:val="left"/>
      <w:pPr>
        <w:tabs>
          <w:tab w:val="num" w:pos="1440"/>
        </w:tabs>
        <w:ind w:left="1440" w:hanging="360"/>
      </w:pPr>
      <w:rPr>
        <w:rFonts w:ascii="Courier New" w:hAnsi="Courier New" w:cs="Courier New" w:hint="default"/>
      </w:rPr>
    </w:lvl>
    <w:lvl w:ilvl="2" w:tplc="F188723A" w:tentative="1">
      <w:start w:val="1"/>
      <w:numFmt w:val="bullet"/>
      <w:lvlText w:val=""/>
      <w:lvlJc w:val="left"/>
      <w:pPr>
        <w:tabs>
          <w:tab w:val="num" w:pos="2160"/>
        </w:tabs>
        <w:ind w:left="2160" w:hanging="360"/>
      </w:pPr>
      <w:rPr>
        <w:rFonts w:ascii="Wingdings" w:hAnsi="Wingdings" w:hint="default"/>
      </w:rPr>
    </w:lvl>
    <w:lvl w:ilvl="3" w:tplc="7D302A6A" w:tentative="1">
      <w:start w:val="1"/>
      <w:numFmt w:val="bullet"/>
      <w:lvlText w:val=""/>
      <w:lvlJc w:val="left"/>
      <w:pPr>
        <w:tabs>
          <w:tab w:val="num" w:pos="2880"/>
        </w:tabs>
        <w:ind w:left="2880" w:hanging="360"/>
      </w:pPr>
      <w:rPr>
        <w:rFonts w:ascii="Symbol" w:hAnsi="Symbol" w:hint="default"/>
      </w:rPr>
    </w:lvl>
    <w:lvl w:ilvl="4" w:tplc="875E87A4" w:tentative="1">
      <w:start w:val="1"/>
      <w:numFmt w:val="bullet"/>
      <w:lvlText w:val="o"/>
      <w:lvlJc w:val="left"/>
      <w:pPr>
        <w:tabs>
          <w:tab w:val="num" w:pos="3600"/>
        </w:tabs>
        <w:ind w:left="3600" w:hanging="360"/>
      </w:pPr>
      <w:rPr>
        <w:rFonts w:ascii="Courier New" w:hAnsi="Courier New" w:cs="Courier New" w:hint="default"/>
      </w:rPr>
    </w:lvl>
    <w:lvl w:ilvl="5" w:tplc="382ECDAE" w:tentative="1">
      <w:start w:val="1"/>
      <w:numFmt w:val="bullet"/>
      <w:lvlText w:val=""/>
      <w:lvlJc w:val="left"/>
      <w:pPr>
        <w:tabs>
          <w:tab w:val="num" w:pos="4320"/>
        </w:tabs>
        <w:ind w:left="4320" w:hanging="360"/>
      </w:pPr>
      <w:rPr>
        <w:rFonts w:ascii="Wingdings" w:hAnsi="Wingdings" w:hint="default"/>
      </w:rPr>
    </w:lvl>
    <w:lvl w:ilvl="6" w:tplc="124894CC" w:tentative="1">
      <w:start w:val="1"/>
      <w:numFmt w:val="bullet"/>
      <w:lvlText w:val=""/>
      <w:lvlJc w:val="left"/>
      <w:pPr>
        <w:tabs>
          <w:tab w:val="num" w:pos="5040"/>
        </w:tabs>
        <w:ind w:left="5040" w:hanging="360"/>
      </w:pPr>
      <w:rPr>
        <w:rFonts w:ascii="Symbol" w:hAnsi="Symbol" w:hint="default"/>
      </w:rPr>
    </w:lvl>
    <w:lvl w:ilvl="7" w:tplc="B94AEA02" w:tentative="1">
      <w:start w:val="1"/>
      <w:numFmt w:val="bullet"/>
      <w:lvlText w:val="o"/>
      <w:lvlJc w:val="left"/>
      <w:pPr>
        <w:tabs>
          <w:tab w:val="num" w:pos="5760"/>
        </w:tabs>
        <w:ind w:left="5760" w:hanging="360"/>
      </w:pPr>
      <w:rPr>
        <w:rFonts w:ascii="Courier New" w:hAnsi="Courier New" w:cs="Courier New" w:hint="default"/>
      </w:rPr>
    </w:lvl>
    <w:lvl w:ilvl="8" w:tplc="FA2E4A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B1668D"/>
    <w:multiLevelType w:val="hybridMultilevel"/>
    <w:tmpl w:val="910E70B6"/>
    <w:lvl w:ilvl="0" w:tplc="E07C82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F976E6"/>
    <w:multiLevelType w:val="hybridMultilevel"/>
    <w:tmpl w:val="F8D0CF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4F81745"/>
    <w:multiLevelType w:val="hybridMultilevel"/>
    <w:tmpl w:val="D782315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959E67B2">
      <w:start w:val="1"/>
      <w:numFmt w:val="bullet"/>
      <w:pStyle w:val="Lijstopsomteken2"/>
      <w:lvlText w:val="–"/>
      <w:lvlJc w:val="left"/>
      <w:pPr>
        <w:tabs>
          <w:tab w:val="num" w:pos="227"/>
        </w:tabs>
        <w:ind w:left="227" w:firstLine="0"/>
      </w:pPr>
      <w:rPr>
        <w:rFonts w:ascii="Verdana" w:hAnsi="Verdana" w:hint="default"/>
      </w:rPr>
    </w:lvl>
    <w:lvl w:ilvl="1" w:tplc="6D62A062" w:tentative="1">
      <w:start w:val="1"/>
      <w:numFmt w:val="bullet"/>
      <w:lvlText w:val="o"/>
      <w:lvlJc w:val="left"/>
      <w:pPr>
        <w:tabs>
          <w:tab w:val="num" w:pos="1440"/>
        </w:tabs>
        <w:ind w:left="1440" w:hanging="360"/>
      </w:pPr>
      <w:rPr>
        <w:rFonts w:ascii="Courier New" w:hAnsi="Courier New" w:cs="Courier New" w:hint="default"/>
      </w:rPr>
    </w:lvl>
    <w:lvl w:ilvl="2" w:tplc="48FE9B1E" w:tentative="1">
      <w:start w:val="1"/>
      <w:numFmt w:val="bullet"/>
      <w:lvlText w:val=""/>
      <w:lvlJc w:val="left"/>
      <w:pPr>
        <w:tabs>
          <w:tab w:val="num" w:pos="2160"/>
        </w:tabs>
        <w:ind w:left="2160" w:hanging="360"/>
      </w:pPr>
      <w:rPr>
        <w:rFonts w:ascii="Wingdings" w:hAnsi="Wingdings" w:hint="default"/>
      </w:rPr>
    </w:lvl>
    <w:lvl w:ilvl="3" w:tplc="75D044A8" w:tentative="1">
      <w:start w:val="1"/>
      <w:numFmt w:val="bullet"/>
      <w:lvlText w:val=""/>
      <w:lvlJc w:val="left"/>
      <w:pPr>
        <w:tabs>
          <w:tab w:val="num" w:pos="2880"/>
        </w:tabs>
        <w:ind w:left="2880" w:hanging="360"/>
      </w:pPr>
      <w:rPr>
        <w:rFonts w:ascii="Symbol" w:hAnsi="Symbol" w:hint="default"/>
      </w:rPr>
    </w:lvl>
    <w:lvl w:ilvl="4" w:tplc="4F6A1388" w:tentative="1">
      <w:start w:val="1"/>
      <w:numFmt w:val="bullet"/>
      <w:lvlText w:val="o"/>
      <w:lvlJc w:val="left"/>
      <w:pPr>
        <w:tabs>
          <w:tab w:val="num" w:pos="3600"/>
        </w:tabs>
        <w:ind w:left="3600" w:hanging="360"/>
      </w:pPr>
      <w:rPr>
        <w:rFonts w:ascii="Courier New" w:hAnsi="Courier New" w:cs="Courier New" w:hint="default"/>
      </w:rPr>
    </w:lvl>
    <w:lvl w:ilvl="5" w:tplc="957E8BF2" w:tentative="1">
      <w:start w:val="1"/>
      <w:numFmt w:val="bullet"/>
      <w:lvlText w:val=""/>
      <w:lvlJc w:val="left"/>
      <w:pPr>
        <w:tabs>
          <w:tab w:val="num" w:pos="4320"/>
        </w:tabs>
        <w:ind w:left="4320" w:hanging="360"/>
      </w:pPr>
      <w:rPr>
        <w:rFonts w:ascii="Wingdings" w:hAnsi="Wingdings" w:hint="default"/>
      </w:rPr>
    </w:lvl>
    <w:lvl w:ilvl="6" w:tplc="4508AB74" w:tentative="1">
      <w:start w:val="1"/>
      <w:numFmt w:val="bullet"/>
      <w:lvlText w:val=""/>
      <w:lvlJc w:val="left"/>
      <w:pPr>
        <w:tabs>
          <w:tab w:val="num" w:pos="5040"/>
        </w:tabs>
        <w:ind w:left="5040" w:hanging="360"/>
      </w:pPr>
      <w:rPr>
        <w:rFonts w:ascii="Symbol" w:hAnsi="Symbol" w:hint="default"/>
      </w:rPr>
    </w:lvl>
    <w:lvl w:ilvl="7" w:tplc="25CC5056" w:tentative="1">
      <w:start w:val="1"/>
      <w:numFmt w:val="bullet"/>
      <w:lvlText w:val="o"/>
      <w:lvlJc w:val="left"/>
      <w:pPr>
        <w:tabs>
          <w:tab w:val="num" w:pos="5760"/>
        </w:tabs>
        <w:ind w:left="5760" w:hanging="360"/>
      </w:pPr>
      <w:rPr>
        <w:rFonts w:ascii="Courier New" w:hAnsi="Courier New" w:cs="Courier New" w:hint="default"/>
      </w:rPr>
    </w:lvl>
    <w:lvl w:ilvl="8" w:tplc="822A28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B3AC1"/>
    <w:multiLevelType w:val="hybridMultilevel"/>
    <w:tmpl w:val="F95AB510"/>
    <w:lvl w:ilvl="0" w:tplc="C908AD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27223D"/>
    <w:multiLevelType w:val="hybridMultilevel"/>
    <w:tmpl w:val="7026CB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155A84"/>
    <w:multiLevelType w:val="multilevel"/>
    <w:tmpl w:val="9FA869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A0CF7"/>
    <w:multiLevelType w:val="hybridMultilevel"/>
    <w:tmpl w:val="081213C8"/>
    <w:lvl w:ilvl="0" w:tplc="62EA188C">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FE2A47"/>
    <w:multiLevelType w:val="hybridMultilevel"/>
    <w:tmpl w:val="17600E72"/>
    <w:lvl w:ilvl="0" w:tplc="7F6860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4931545"/>
    <w:multiLevelType w:val="hybridMultilevel"/>
    <w:tmpl w:val="41A483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25621141">
    <w:abstractNumId w:val="10"/>
  </w:num>
  <w:num w:numId="2" w16cid:durableId="502084578">
    <w:abstractNumId w:val="7"/>
  </w:num>
  <w:num w:numId="3" w16cid:durableId="2102212507">
    <w:abstractNumId w:val="6"/>
  </w:num>
  <w:num w:numId="4" w16cid:durableId="386690207">
    <w:abstractNumId w:val="5"/>
  </w:num>
  <w:num w:numId="5" w16cid:durableId="1063454491">
    <w:abstractNumId w:val="4"/>
  </w:num>
  <w:num w:numId="6" w16cid:durableId="1577127853">
    <w:abstractNumId w:val="8"/>
  </w:num>
  <w:num w:numId="7" w16cid:durableId="131756546">
    <w:abstractNumId w:val="3"/>
  </w:num>
  <w:num w:numId="8" w16cid:durableId="1921022160">
    <w:abstractNumId w:val="2"/>
  </w:num>
  <w:num w:numId="9" w16cid:durableId="1317759680">
    <w:abstractNumId w:val="1"/>
  </w:num>
  <w:num w:numId="10" w16cid:durableId="1341010237">
    <w:abstractNumId w:val="0"/>
  </w:num>
  <w:num w:numId="11" w16cid:durableId="375665776">
    <w:abstractNumId w:val="9"/>
  </w:num>
  <w:num w:numId="12" w16cid:durableId="1200896973">
    <w:abstractNumId w:val="14"/>
  </w:num>
  <w:num w:numId="13" w16cid:durableId="553854817">
    <w:abstractNumId w:val="19"/>
  </w:num>
  <w:num w:numId="14" w16cid:durableId="1804083104">
    <w:abstractNumId w:val="15"/>
  </w:num>
  <w:num w:numId="15" w16cid:durableId="1114252202">
    <w:abstractNumId w:val="11"/>
  </w:num>
  <w:num w:numId="16" w16cid:durableId="378436506">
    <w:abstractNumId w:val="17"/>
  </w:num>
  <w:num w:numId="17" w16cid:durableId="680670649">
    <w:abstractNumId w:val="20"/>
  </w:num>
  <w:num w:numId="18" w16cid:durableId="568153130">
    <w:abstractNumId w:val="13"/>
  </w:num>
  <w:num w:numId="19" w16cid:durableId="1270162319">
    <w:abstractNumId w:val="22"/>
  </w:num>
  <w:num w:numId="20" w16cid:durableId="1515922766">
    <w:abstractNumId w:val="16"/>
  </w:num>
  <w:num w:numId="21" w16cid:durableId="170918966">
    <w:abstractNumId w:val="21"/>
  </w:num>
  <w:num w:numId="22" w16cid:durableId="803549065">
    <w:abstractNumId w:val="18"/>
  </w:num>
  <w:num w:numId="23" w16cid:durableId="1828671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104A"/>
    <w:rsid w:val="00013862"/>
    <w:rsid w:val="00013F7B"/>
    <w:rsid w:val="00014599"/>
    <w:rsid w:val="00016012"/>
    <w:rsid w:val="00020189"/>
    <w:rsid w:val="00020EE4"/>
    <w:rsid w:val="00020FCB"/>
    <w:rsid w:val="000217E8"/>
    <w:rsid w:val="00022E03"/>
    <w:rsid w:val="00023E9A"/>
    <w:rsid w:val="00025A42"/>
    <w:rsid w:val="00033CDD"/>
    <w:rsid w:val="00034A84"/>
    <w:rsid w:val="00034D28"/>
    <w:rsid w:val="00035E67"/>
    <w:rsid w:val="000366F3"/>
    <w:rsid w:val="00040722"/>
    <w:rsid w:val="000407BB"/>
    <w:rsid w:val="0005404B"/>
    <w:rsid w:val="000541FA"/>
    <w:rsid w:val="0005447D"/>
    <w:rsid w:val="000546DE"/>
    <w:rsid w:val="0006024D"/>
    <w:rsid w:val="00062055"/>
    <w:rsid w:val="00065462"/>
    <w:rsid w:val="00071F28"/>
    <w:rsid w:val="00072802"/>
    <w:rsid w:val="00074079"/>
    <w:rsid w:val="000765B6"/>
    <w:rsid w:val="00080494"/>
    <w:rsid w:val="0008289C"/>
    <w:rsid w:val="0008539E"/>
    <w:rsid w:val="00092799"/>
    <w:rsid w:val="00092A99"/>
    <w:rsid w:val="00092C5F"/>
    <w:rsid w:val="00093ABC"/>
    <w:rsid w:val="00096680"/>
    <w:rsid w:val="000A0F36"/>
    <w:rsid w:val="000A174A"/>
    <w:rsid w:val="000A38B2"/>
    <w:rsid w:val="000A3E0A"/>
    <w:rsid w:val="000A65AC"/>
    <w:rsid w:val="000B7281"/>
    <w:rsid w:val="000B7FAB"/>
    <w:rsid w:val="000C1BA1"/>
    <w:rsid w:val="000C3EA9"/>
    <w:rsid w:val="000C4A32"/>
    <w:rsid w:val="000C65BB"/>
    <w:rsid w:val="000C7119"/>
    <w:rsid w:val="000D0225"/>
    <w:rsid w:val="000D249E"/>
    <w:rsid w:val="000D6399"/>
    <w:rsid w:val="000E0DF5"/>
    <w:rsid w:val="000E1197"/>
    <w:rsid w:val="000E5886"/>
    <w:rsid w:val="000E6621"/>
    <w:rsid w:val="000E7895"/>
    <w:rsid w:val="000F161D"/>
    <w:rsid w:val="000F1B4E"/>
    <w:rsid w:val="000F1FFF"/>
    <w:rsid w:val="000F521E"/>
    <w:rsid w:val="000F6F59"/>
    <w:rsid w:val="00100203"/>
    <w:rsid w:val="0010123A"/>
    <w:rsid w:val="001048EC"/>
    <w:rsid w:val="00104B4D"/>
    <w:rsid w:val="00105677"/>
    <w:rsid w:val="00107C49"/>
    <w:rsid w:val="0011256F"/>
    <w:rsid w:val="001177B4"/>
    <w:rsid w:val="00122CF9"/>
    <w:rsid w:val="00123704"/>
    <w:rsid w:val="001270C7"/>
    <w:rsid w:val="00132540"/>
    <w:rsid w:val="001377D4"/>
    <w:rsid w:val="00142E41"/>
    <w:rsid w:val="0014786A"/>
    <w:rsid w:val="001516A4"/>
    <w:rsid w:val="00151E5F"/>
    <w:rsid w:val="00153BD0"/>
    <w:rsid w:val="00154D55"/>
    <w:rsid w:val="001569AB"/>
    <w:rsid w:val="00161768"/>
    <w:rsid w:val="00163AAA"/>
    <w:rsid w:val="00164D63"/>
    <w:rsid w:val="0016725C"/>
    <w:rsid w:val="00167DE5"/>
    <w:rsid w:val="0017008F"/>
    <w:rsid w:val="001716E0"/>
    <w:rsid w:val="001726F3"/>
    <w:rsid w:val="00172C13"/>
    <w:rsid w:val="00173C51"/>
    <w:rsid w:val="001740B9"/>
    <w:rsid w:val="0017415A"/>
    <w:rsid w:val="00174CC2"/>
    <w:rsid w:val="00176CC6"/>
    <w:rsid w:val="00177B41"/>
    <w:rsid w:val="0018193C"/>
    <w:rsid w:val="00181BE4"/>
    <w:rsid w:val="0018496F"/>
    <w:rsid w:val="00184B30"/>
    <w:rsid w:val="00185576"/>
    <w:rsid w:val="00185951"/>
    <w:rsid w:val="00194A00"/>
    <w:rsid w:val="00196B8B"/>
    <w:rsid w:val="001A0BFA"/>
    <w:rsid w:val="001A115A"/>
    <w:rsid w:val="001A1608"/>
    <w:rsid w:val="001A2BEA"/>
    <w:rsid w:val="001A325F"/>
    <w:rsid w:val="001A6D93"/>
    <w:rsid w:val="001A7BBD"/>
    <w:rsid w:val="001B2BBA"/>
    <w:rsid w:val="001B35FA"/>
    <w:rsid w:val="001B5F9C"/>
    <w:rsid w:val="001C006F"/>
    <w:rsid w:val="001C2C36"/>
    <w:rsid w:val="001C2F71"/>
    <w:rsid w:val="001C32EC"/>
    <w:rsid w:val="001C38BD"/>
    <w:rsid w:val="001C4D5A"/>
    <w:rsid w:val="001E0256"/>
    <w:rsid w:val="001E0A41"/>
    <w:rsid w:val="001E2527"/>
    <w:rsid w:val="001E34C6"/>
    <w:rsid w:val="001E370E"/>
    <w:rsid w:val="001E5581"/>
    <w:rsid w:val="001F3C70"/>
    <w:rsid w:val="001F736A"/>
    <w:rsid w:val="00200D88"/>
    <w:rsid w:val="00201C09"/>
    <w:rsid w:val="00201F68"/>
    <w:rsid w:val="00210BA3"/>
    <w:rsid w:val="00212F2A"/>
    <w:rsid w:val="00214F2B"/>
    <w:rsid w:val="00215356"/>
    <w:rsid w:val="00215964"/>
    <w:rsid w:val="00215D8B"/>
    <w:rsid w:val="00217880"/>
    <w:rsid w:val="00220A12"/>
    <w:rsid w:val="00222D66"/>
    <w:rsid w:val="0022441A"/>
    <w:rsid w:val="00224A8A"/>
    <w:rsid w:val="002309A8"/>
    <w:rsid w:val="00232351"/>
    <w:rsid w:val="00235F0A"/>
    <w:rsid w:val="00236CFE"/>
    <w:rsid w:val="002428E3"/>
    <w:rsid w:val="0024430A"/>
    <w:rsid w:val="00245DB7"/>
    <w:rsid w:val="00245FF7"/>
    <w:rsid w:val="00246C6A"/>
    <w:rsid w:val="00253B65"/>
    <w:rsid w:val="00255529"/>
    <w:rsid w:val="0026060B"/>
    <w:rsid w:val="00260BAF"/>
    <w:rsid w:val="002610A6"/>
    <w:rsid w:val="00263FD6"/>
    <w:rsid w:val="002650F7"/>
    <w:rsid w:val="0026686B"/>
    <w:rsid w:val="00273F3B"/>
    <w:rsid w:val="00274DB7"/>
    <w:rsid w:val="00275984"/>
    <w:rsid w:val="00276199"/>
    <w:rsid w:val="002768F3"/>
    <w:rsid w:val="00276B59"/>
    <w:rsid w:val="00276DA4"/>
    <w:rsid w:val="00280F74"/>
    <w:rsid w:val="00286998"/>
    <w:rsid w:val="00291AB7"/>
    <w:rsid w:val="0029422B"/>
    <w:rsid w:val="00294DCB"/>
    <w:rsid w:val="002A06CE"/>
    <w:rsid w:val="002A37B5"/>
    <w:rsid w:val="002A5B64"/>
    <w:rsid w:val="002A6722"/>
    <w:rsid w:val="002B153C"/>
    <w:rsid w:val="002B52FC"/>
    <w:rsid w:val="002C0660"/>
    <w:rsid w:val="002C127C"/>
    <w:rsid w:val="002C26D0"/>
    <w:rsid w:val="002C2830"/>
    <w:rsid w:val="002C3CE0"/>
    <w:rsid w:val="002C40AF"/>
    <w:rsid w:val="002D001A"/>
    <w:rsid w:val="002D202D"/>
    <w:rsid w:val="002D28E2"/>
    <w:rsid w:val="002D317B"/>
    <w:rsid w:val="002D3587"/>
    <w:rsid w:val="002D3F4E"/>
    <w:rsid w:val="002D502D"/>
    <w:rsid w:val="002D5919"/>
    <w:rsid w:val="002D6C72"/>
    <w:rsid w:val="002E0F69"/>
    <w:rsid w:val="002E113F"/>
    <w:rsid w:val="002E1572"/>
    <w:rsid w:val="002E2142"/>
    <w:rsid w:val="002E2DA3"/>
    <w:rsid w:val="002E41BE"/>
    <w:rsid w:val="002E4CF2"/>
    <w:rsid w:val="002E6FC0"/>
    <w:rsid w:val="002F0DEF"/>
    <w:rsid w:val="002F258D"/>
    <w:rsid w:val="002F3F37"/>
    <w:rsid w:val="002F493B"/>
    <w:rsid w:val="002F4ED5"/>
    <w:rsid w:val="002F5147"/>
    <w:rsid w:val="002F5A0B"/>
    <w:rsid w:val="002F71BB"/>
    <w:rsid w:val="002F7ABD"/>
    <w:rsid w:val="00307B3C"/>
    <w:rsid w:val="00310EF2"/>
    <w:rsid w:val="003115A6"/>
    <w:rsid w:val="00312597"/>
    <w:rsid w:val="0031707F"/>
    <w:rsid w:val="00320449"/>
    <w:rsid w:val="00320F6D"/>
    <w:rsid w:val="0032217B"/>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1D26"/>
    <w:rsid w:val="0036252A"/>
    <w:rsid w:val="00364D9D"/>
    <w:rsid w:val="00371048"/>
    <w:rsid w:val="00371F14"/>
    <w:rsid w:val="0037396C"/>
    <w:rsid w:val="0037421D"/>
    <w:rsid w:val="00374412"/>
    <w:rsid w:val="00376093"/>
    <w:rsid w:val="0037715E"/>
    <w:rsid w:val="0038324D"/>
    <w:rsid w:val="00383DA1"/>
    <w:rsid w:val="00385F30"/>
    <w:rsid w:val="00387600"/>
    <w:rsid w:val="0039243A"/>
    <w:rsid w:val="00392CED"/>
    <w:rsid w:val="00393696"/>
    <w:rsid w:val="00393963"/>
    <w:rsid w:val="00395575"/>
    <w:rsid w:val="00395672"/>
    <w:rsid w:val="003A06C8"/>
    <w:rsid w:val="003A0D7C"/>
    <w:rsid w:val="003A18C8"/>
    <w:rsid w:val="003A7160"/>
    <w:rsid w:val="003B0155"/>
    <w:rsid w:val="003B09DB"/>
    <w:rsid w:val="003B1C2E"/>
    <w:rsid w:val="003B4551"/>
    <w:rsid w:val="003B528D"/>
    <w:rsid w:val="003B7EE7"/>
    <w:rsid w:val="003C1751"/>
    <w:rsid w:val="003C2CCB"/>
    <w:rsid w:val="003C4A1C"/>
    <w:rsid w:val="003C5BCB"/>
    <w:rsid w:val="003C6107"/>
    <w:rsid w:val="003D39EC"/>
    <w:rsid w:val="003D40EA"/>
    <w:rsid w:val="003D5ED5"/>
    <w:rsid w:val="003E33DA"/>
    <w:rsid w:val="003E3DD5"/>
    <w:rsid w:val="003E3DF8"/>
    <w:rsid w:val="003E6EA0"/>
    <w:rsid w:val="003F07C6"/>
    <w:rsid w:val="003F1F6B"/>
    <w:rsid w:val="003F2233"/>
    <w:rsid w:val="003F2FCC"/>
    <w:rsid w:val="003F3757"/>
    <w:rsid w:val="003F44B7"/>
    <w:rsid w:val="004008E9"/>
    <w:rsid w:val="00407991"/>
    <w:rsid w:val="0041019E"/>
    <w:rsid w:val="00411594"/>
    <w:rsid w:val="004136EB"/>
    <w:rsid w:val="00413D48"/>
    <w:rsid w:val="00416C54"/>
    <w:rsid w:val="00424191"/>
    <w:rsid w:val="00424A60"/>
    <w:rsid w:val="00427227"/>
    <w:rsid w:val="00434042"/>
    <w:rsid w:val="00434500"/>
    <w:rsid w:val="00441AC2"/>
    <w:rsid w:val="0044249B"/>
    <w:rsid w:val="004425A7"/>
    <w:rsid w:val="0044575D"/>
    <w:rsid w:val="0044605E"/>
    <w:rsid w:val="0045023C"/>
    <w:rsid w:val="00451A5B"/>
    <w:rsid w:val="00452BCD"/>
    <w:rsid w:val="00452CEA"/>
    <w:rsid w:val="00454153"/>
    <w:rsid w:val="00455E75"/>
    <w:rsid w:val="00463A63"/>
    <w:rsid w:val="00465B52"/>
    <w:rsid w:val="004665F0"/>
    <w:rsid w:val="0046708E"/>
    <w:rsid w:val="00467D61"/>
    <w:rsid w:val="0047126E"/>
    <w:rsid w:val="004722BE"/>
    <w:rsid w:val="00472A65"/>
    <w:rsid w:val="00474463"/>
    <w:rsid w:val="00474890"/>
    <w:rsid w:val="00474B75"/>
    <w:rsid w:val="00475E4F"/>
    <w:rsid w:val="00480E05"/>
    <w:rsid w:val="00481F14"/>
    <w:rsid w:val="00483ECA"/>
    <w:rsid w:val="00483F0B"/>
    <w:rsid w:val="004923DC"/>
    <w:rsid w:val="0049501A"/>
    <w:rsid w:val="00496319"/>
    <w:rsid w:val="0049657E"/>
    <w:rsid w:val="00497279"/>
    <w:rsid w:val="004A010B"/>
    <w:rsid w:val="004A304B"/>
    <w:rsid w:val="004A3186"/>
    <w:rsid w:val="004A419C"/>
    <w:rsid w:val="004A670A"/>
    <w:rsid w:val="004B5465"/>
    <w:rsid w:val="004B6487"/>
    <w:rsid w:val="004B70F0"/>
    <w:rsid w:val="004C0035"/>
    <w:rsid w:val="004C1299"/>
    <w:rsid w:val="004C7E1D"/>
    <w:rsid w:val="004D065C"/>
    <w:rsid w:val="004D17B6"/>
    <w:rsid w:val="004D24E8"/>
    <w:rsid w:val="004D33FE"/>
    <w:rsid w:val="004D39A8"/>
    <w:rsid w:val="004D4703"/>
    <w:rsid w:val="004D505E"/>
    <w:rsid w:val="004D67E8"/>
    <w:rsid w:val="004D7244"/>
    <w:rsid w:val="004D72CA"/>
    <w:rsid w:val="004E2242"/>
    <w:rsid w:val="004F0F6D"/>
    <w:rsid w:val="004F2483"/>
    <w:rsid w:val="004F42FF"/>
    <w:rsid w:val="004F44C2"/>
    <w:rsid w:val="0050373A"/>
    <w:rsid w:val="00505262"/>
    <w:rsid w:val="0050656E"/>
    <w:rsid w:val="00506D2C"/>
    <w:rsid w:val="005107B1"/>
    <w:rsid w:val="00514C3A"/>
    <w:rsid w:val="00516022"/>
    <w:rsid w:val="00517585"/>
    <w:rsid w:val="00521CEE"/>
    <w:rsid w:val="0052434F"/>
    <w:rsid w:val="00527BD4"/>
    <w:rsid w:val="0053144B"/>
    <w:rsid w:val="00531AD0"/>
    <w:rsid w:val="00532409"/>
    <w:rsid w:val="00533061"/>
    <w:rsid w:val="00533FA1"/>
    <w:rsid w:val="00534C77"/>
    <w:rsid w:val="00535573"/>
    <w:rsid w:val="005403C8"/>
    <w:rsid w:val="00541AD9"/>
    <w:rsid w:val="005429DC"/>
    <w:rsid w:val="005444D2"/>
    <w:rsid w:val="00544E15"/>
    <w:rsid w:val="00547EFB"/>
    <w:rsid w:val="00552415"/>
    <w:rsid w:val="00553233"/>
    <w:rsid w:val="0055339B"/>
    <w:rsid w:val="005565F9"/>
    <w:rsid w:val="005639D2"/>
    <w:rsid w:val="00565739"/>
    <w:rsid w:val="00573041"/>
    <w:rsid w:val="00575B80"/>
    <w:rsid w:val="00577559"/>
    <w:rsid w:val="005819CE"/>
    <w:rsid w:val="0058298D"/>
    <w:rsid w:val="00590595"/>
    <w:rsid w:val="00593C2B"/>
    <w:rsid w:val="00595231"/>
    <w:rsid w:val="00595CBB"/>
    <w:rsid w:val="00596166"/>
    <w:rsid w:val="0059692A"/>
    <w:rsid w:val="00597F64"/>
    <w:rsid w:val="005A1AF5"/>
    <w:rsid w:val="005A207F"/>
    <w:rsid w:val="005A2F35"/>
    <w:rsid w:val="005A7512"/>
    <w:rsid w:val="005A7FA4"/>
    <w:rsid w:val="005B3441"/>
    <w:rsid w:val="005B463E"/>
    <w:rsid w:val="005B4FAC"/>
    <w:rsid w:val="005B57D7"/>
    <w:rsid w:val="005B5D8B"/>
    <w:rsid w:val="005C34E1"/>
    <w:rsid w:val="005C37E2"/>
    <w:rsid w:val="005C3987"/>
    <w:rsid w:val="005C3D8E"/>
    <w:rsid w:val="005C3FE0"/>
    <w:rsid w:val="005C4C82"/>
    <w:rsid w:val="005C73E7"/>
    <w:rsid w:val="005C740C"/>
    <w:rsid w:val="005D283A"/>
    <w:rsid w:val="005D625B"/>
    <w:rsid w:val="005E3322"/>
    <w:rsid w:val="005E436C"/>
    <w:rsid w:val="005E64E2"/>
    <w:rsid w:val="005F3B76"/>
    <w:rsid w:val="005F5AF2"/>
    <w:rsid w:val="005F62D3"/>
    <w:rsid w:val="005F6D11"/>
    <w:rsid w:val="00600CF0"/>
    <w:rsid w:val="006048F4"/>
    <w:rsid w:val="0060660A"/>
    <w:rsid w:val="00610A24"/>
    <w:rsid w:val="00613B1D"/>
    <w:rsid w:val="00617311"/>
    <w:rsid w:val="00617A44"/>
    <w:rsid w:val="006202B6"/>
    <w:rsid w:val="006205C0"/>
    <w:rsid w:val="006205CB"/>
    <w:rsid w:val="00623CB2"/>
    <w:rsid w:val="00625CD0"/>
    <w:rsid w:val="0062627D"/>
    <w:rsid w:val="00627432"/>
    <w:rsid w:val="00635031"/>
    <w:rsid w:val="006357B5"/>
    <w:rsid w:val="0064192A"/>
    <w:rsid w:val="00642768"/>
    <w:rsid w:val="006448E4"/>
    <w:rsid w:val="00645414"/>
    <w:rsid w:val="00645F75"/>
    <w:rsid w:val="006460CC"/>
    <w:rsid w:val="0065244E"/>
    <w:rsid w:val="006534D0"/>
    <w:rsid w:val="00653606"/>
    <w:rsid w:val="00660A00"/>
    <w:rsid w:val="006610E9"/>
    <w:rsid w:val="00661591"/>
    <w:rsid w:val="00662A78"/>
    <w:rsid w:val="00663187"/>
    <w:rsid w:val="0066632F"/>
    <w:rsid w:val="006677A9"/>
    <w:rsid w:val="00672B33"/>
    <w:rsid w:val="00674A89"/>
    <w:rsid w:val="00674F3D"/>
    <w:rsid w:val="00682E02"/>
    <w:rsid w:val="00685545"/>
    <w:rsid w:val="006864B3"/>
    <w:rsid w:val="00686AED"/>
    <w:rsid w:val="00687511"/>
    <w:rsid w:val="00692BA9"/>
    <w:rsid w:val="00692C30"/>
    <w:rsid w:val="00692D64"/>
    <w:rsid w:val="006A0A16"/>
    <w:rsid w:val="006A10F8"/>
    <w:rsid w:val="006A2100"/>
    <w:rsid w:val="006B0BF3"/>
    <w:rsid w:val="006B1521"/>
    <w:rsid w:val="006B2A77"/>
    <w:rsid w:val="006B421D"/>
    <w:rsid w:val="006B562B"/>
    <w:rsid w:val="006B6F58"/>
    <w:rsid w:val="006B775E"/>
    <w:rsid w:val="006B7B87"/>
    <w:rsid w:val="006B7BC7"/>
    <w:rsid w:val="006C0013"/>
    <w:rsid w:val="006C2093"/>
    <w:rsid w:val="006C2278"/>
    <w:rsid w:val="006C2535"/>
    <w:rsid w:val="006C311B"/>
    <w:rsid w:val="006C36C9"/>
    <w:rsid w:val="006C441E"/>
    <w:rsid w:val="006C4B90"/>
    <w:rsid w:val="006C53A4"/>
    <w:rsid w:val="006C54E0"/>
    <w:rsid w:val="006D1016"/>
    <w:rsid w:val="006D17F2"/>
    <w:rsid w:val="006D2D53"/>
    <w:rsid w:val="006E3546"/>
    <w:rsid w:val="006E3FA9"/>
    <w:rsid w:val="006E6549"/>
    <w:rsid w:val="006E734D"/>
    <w:rsid w:val="006E7D82"/>
    <w:rsid w:val="006F038F"/>
    <w:rsid w:val="006F0F93"/>
    <w:rsid w:val="006F273B"/>
    <w:rsid w:val="006F2A25"/>
    <w:rsid w:val="006F31F2"/>
    <w:rsid w:val="006F7310"/>
    <w:rsid w:val="00704845"/>
    <w:rsid w:val="00706AB3"/>
    <w:rsid w:val="00714DC5"/>
    <w:rsid w:val="00715237"/>
    <w:rsid w:val="00716BAA"/>
    <w:rsid w:val="007174F4"/>
    <w:rsid w:val="00721D2E"/>
    <w:rsid w:val="007242CC"/>
    <w:rsid w:val="00724A8B"/>
    <w:rsid w:val="007254A5"/>
    <w:rsid w:val="00725748"/>
    <w:rsid w:val="00727030"/>
    <w:rsid w:val="00727AAC"/>
    <w:rsid w:val="007325A1"/>
    <w:rsid w:val="00732A95"/>
    <w:rsid w:val="00735D88"/>
    <w:rsid w:val="0073720D"/>
    <w:rsid w:val="00737507"/>
    <w:rsid w:val="00740712"/>
    <w:rsid w:val="0074098F"/>
    <w:rsid w:val="00741309"/>
    <w:rsid w:val="00742AB9"/>
    <w:rsid w:val="00745AE0"/>
    <w:rsid w:val="00751A6A"/>
    <w:rsid w:val="00752C85"/>
    <w:rsid w:val="00754AD6"/>
    <w:rsid w:val="00754FBF"/>
    <w:rsid w:val="007615AC"/>
    <w:rsid w:val="00764585"/>
    <w:rsid w:val="0076744A"/>
    <w:rsid w:val="00767FEF"/>
    <w:rsid w:val="007709EF"/>
    <w:rsid w:val="00770B12"/>
    <w:rsid w:val="00774A9A"/>
    <w:rsid w:val="00783559"/>
    <w:rsid w:val="007846ED"/>
    <w:rsid w:val="007851C4"/>
    <w:rsid w:val="00785C3B"/>
    <w:rsid w:val="00794E9D"/>
    <w:rsid w:val="00797AA5"/>
    <w:rsid w:val="007A26BD"/>
    <w:rsid w:val="007A4105"/>
    <w:rsid w:val="007A4F0E"/>
    <w:rsid w:val="007A514C"/>
    <w:rsid w:val="007B0196"/>
    <w:rsid w:val="007B0D8E"/>
    <w:rsid w:val="007B2397"/>
    <w:rsid w:val="007B4503"/>
    <w:rsid w:val="007C03C9"/>
    <w:rsid w:val="007C16D8"/>
    <w:rsid w:val="007C406E"/>
    <w:rsid w:val="007C4AD7"/>
    <w:rsid w:val="007C5183"/>
    <w:rsid w:val="007C7573"/>
    <w:rsid w:val="007D649D"/>
    <w:rsid w:val="007E0483"/>
    <w:rsid w:val="007E14E4"/>
    <w:rsid w:val="007E287C"/>
    <w:rsid w:val="007E2B20"/>
    <w:rsid w:val="007E3B78"/>
    <w:rsid w:val="007F06CC"/>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3323"/>
    <w:rsid w:val="00823539"/>
    <w:rsid w:val="008267CC"/>
    <w:rsid w:val="0083178B"/>
    <w:rsid w:val="00833695"/>
    <w:rsid w:val="008336B7"/>
    <w:rsid w:val="00833A8E"/>
    <w:rsid w:val="00837CFB"/>
    <w:rsid w:val="00840437"/>
    <w:rsid w:val="0084255A"/>
    <w:rsid w:val="00842CD8"/>
    <w:rsid w:val="008431FA"/>
    <w:rsid w:val="00845219"/>
    <w:rsid w:val="008547BA"/>
    <w:rsid w:val="008553C7"/>
    <w:rsid w:val="00857FEB"/>
    <w:rsid w:val="008601AF"/>
    <w:rsid w:val="00861588"/>
    <w:rsid w:val="00872271"/>
    <w:rsid w:val="008731F6"/>
    <w:rsid w:val="00874982"/>
    <w:rsid w:val="008762B6"/>
    <w:rsid w:val="00883137"/>
    <w:rsid w:val="00884710"/>
    <w:rsid w:val="00891161"/>
    <w:rsid w:val="00892BA5"/>
    <w:rsid w:val="008A08AC"/>
    <w:rsid w:val="008A1AE0"/>
    <w:rsid w:val="008A1F5D"/>
    <w:rsid w:val="008A28F5"/>
    <w:rsid w:val="008B0E6F"/>
    <w:rsid w:val="008B1198"/>
    <w:rsid w:val="008B2349"/>
    <w:rsid w:val="008B3471"/>
    <w:rsid w:val="008B3929"/>
    <w:rsid w:val="008B3BAB"/>
    <w:rsid w:val="008B4125"/>
    <w:rsid w:val="008B4CB3"/>
    <w:rsid w:val="008B567B"/>
    <w:rsid w:val="008B7B24"/>
    <w:rsid w:val="008C2365"/>
    <w:rsid w:val="008C2399"/>
    <w:rsid w:val="008C2F5C"/>
    <w:rsid w:val="008C356D"/>
    <w:rsid w:val="008D1583"/>
    <w:rsid w:val="008D4739"/>
    <w:rsid w:val="008D6A45"/>
    <w:rsid w:val="008E0B3F"/>
    <w:rsid w:val="008E1341"/>
    <w:rsid w:val="008E3932"/>
    <w:rsid w:val="008E444D"/>
    <w:rsid w:val="008E49AD"/>
    <w:rsid w:val="008E698E"/>
    <w:rsid w:val="008F123F"/>
    <w:rsid w:val="008F2584"/>
    <w:rsid w:val="008F3246"/>
    <w:rsid w:val="008F3BDA"/>
    <w:rsid w:val="008F3C1B"/>
    <w:rsid w:val="008F508C"/>
    <w:rsid w:val="0090271B"/>
    <w:rsid w:val="00907DEF"/>
    <w:rsid w:val="00910642"/>
    <w:rsid w:val="00910DDF"/>
    <w:rsid w:val="00913904"/>
    <w:rsid w:val="00917644"/>
    <w:rsid w:val="00921861"/>
    <w:rsid w:val="0092417E"/>
    <w:rsid w:val="00924639"/>
    <w:rsid w:val="0092611E"/>
    <w:rsid w:val="00926AA2"/>
    <w:rsid w:val="00926F1F"/>
    <w:rsid w:val="00926F4B"/>
    <w:rsid w:val="009309FC"/>
    <w:rsid w:val="00930B13"/>
    <w:rsid w:val="009311C8"/>
    <w:rsid w:val="0093199F"/>
    <w:rsid w:val="00933376"/>
    <w:rsid w:val="00933A2F"/>
    <w:rsid w:val="0094000D"/>
    <w:rsid w:val="00940206"/>
    <w:rsid w:val="00941B16"/>
    <w:rsid w:val="00943529"/>
    <w:rsid w:val="00946703"/>
    <w:rsid w:val="00951259"/>
    <w:rsid w:val="009528B2"/>
    <w:rsid w:val="00957083"/>
    <w:rsid w:val="009607C4"/>
    <w:rsid w:val="00962F2A"/>
    <w:rsid w:val="00963440"/>
    <w:rsid w:val="0097066F"/>
    <w:rsid w:val="009716D8"/>
    <w:rsid w:val="009718F9"/>
    <w:rsid w:val="009724E4"/>
    <w:rsid w:val="00972FB9"/>
    <w:rsid w:val="00975112"/>
    <w:rsid w:val="009812EB"/>
    <w:rsid w:val="00981768"/>
    <w:rsid w:val="00982E6B"/>
    <w:rsid w:val="009838BB"/>
    <w:rsid w:val="00983E8F"/>
    <w:rsid w:val="00992338"/>
    <w:rsid w:val="00992D03"/>
    <w:rsid w:val="00994FDA"/>
    <w:rsid w:val="00997D15"/>
    <w:rsid w:val="009A31BF"/>
    <w:rsid w:val="009A3B71"/>
    <w:rsid w:val="009A5914"/>
    <w:rsid w:val="009A61BC"/>
    <w:rsid w:val="009B0138"/>
    <w:rsid w:val="009B0FE9"/>
    <w:rsid w:val="009B173A"/>
    <w:rsid w:val="009B5846"/>
    <w:rsid w:val="009B601B"/>
    <w:rsid w:val="009B681E"/>
    <w:rsid w:val="009C3F20"/>
    <w:rsid w:val="009C4A0B"/>
    <w:rsid w:val="009C64FB"/>
    <w:rsid w:val="009C7CA1"/>
    <w:rsid w:val="009D043D"/>
    <w:rsid w:val="009D716F"/>
    <w:rsid w:val="009D724C"/>
    <w:rsid w:val="009E3B07"/>
    <w:rsid w:val="009E7163"/>
    <w:rsid w:val="009F3259"/>
    <w:rsid w:val="009F4369"/>
    <w:rsid w:val="009F541F"/>
    <w:rsid w:val="00A009A6"/>
    <w:rsid w:val="00A02601"/>
    <w:rsid w:val="00A056DE"/>
    <w:rsid w:val="00A0678A"/>
    <w:rsid w:val="00A067AF"/>
    <w:rsid w:val="00A1289E"/>
    <w:rsid w:val="00A128AD"/>
    <w:rsid w:val="00A20730"/>
    <w:rsid w:val="00A21E76"/>
    <w:rsid w:val="00A23A0D"/>
    <w:rsid w:val="00A23BC8"/>
    <w:rsid w:val="00A2531F"/>
    <w:rsid w:val="00A30E68"/>
    <w:rsid w:val="00A31933"/>
    <w:rsid w:val="00A32073"/>
    <w:rsid w:val="00A34AA0"/>
    <w:rsid w:val="00A360AD"/>
    <w:rsid w:val="00A41FE2"/>
    <w:rsid w:val="00A421A1"/>
    <w:rsid w:val="00A46FEF"/>
    <w:rsid w:val="00A4793D"/>
    <w:rsid w:val="00A47948"/>
    <w:rsid w:val="00A50CF6"/>
    <w:rsid w:val="00A51A3F"/>
    <w:rsid w:val="00A51C81"/>
    <w:rsid w:val="00A56850"/>
    <w:rsid w:val="00A56946"/>
    <w:rsid w:val="00A604D3"/>
    <w:rsid w:val="00A60B58"/>
    <w:rsid w:val="00A6170E"/>
    <w:rsid w:val="00A63B8C"/>
    <w:rsid w:val="00A67AC7"/>
    <w:rsid w:val="00A715F8"/>
    <w:rsid w:val="00A741BA"/>
    <w:rsid w:val="00A773CC"/>
    <w:rsid w:val="00A77F6F"/>
    <w:rsid w:val="00A81BB1"/>
    <w:rsid w:val="00A831FD"/>
    <w:rsid w:val="00A83352"/>
    <w:rsid w:val="00A850A2"/>
    <w:rsid w:val="00A91FA3"/>
    <w:rsid w:val="00A927D3"/>
    <w:rsid w:val="00A9429A"/>
    <w:rsid w:val="00A964A6"/>
    <w:rsid w:val="00AA1554"/>
    <w:rsid w:val="00AA70B0"/>
    <w:rsid w:val="00AA7FC9"/>
    <w:rsid w:val="00AB237D"/>
    <w:rsid w:val="00AB2E93"/>
    <w:rsid w:val="00AB50E6"/>
    <w:rsid w:val="00AB5933"/>
    <w:rsid w:val="00AC2B90"/>
    <w:rsid w:val="00AC313A"/>
    <w:rsid w:val="00AC367D"/>
    <w:rsid w:val="00AC73DE"/>
    <w:rsid w:val="00AC74F1"/>
    <w:rsid w:val="00AD0A03"/>
    <w:rsid w:val="00AD34B3"/>
    <w:rsid w:val="00AD5B44"/>
    <w:rsid w:val="00AD6EF3"/>
    <w:rsid w:val="00AD6FA5"/>
    <w:rsid w:val="00AD7608"/>
    <w:rsid w:val="00AD7C80"/>
    <w:rsid w:val="00AE013D"/>
    <w:rsid w:val="00AE11B7"/>
    <w:rsid w:val="00AE18BA"/>
    <w:rsid w:val="00AE7130"/>
    <w:rsid w:val="00AE7F68"/>
    <w:rsid w:val="00AF2321"/>
    <w:rsid w:val="00AF52F6"/>
    <w:rsid w:val="00AF54C5"/>
    <w:rsid w:val="00AF7237"/>
    <w:rsid w:val="00B0043A"/>
    <w:rsid w:val="00B00D75"/>
    <w:rsid w:val="00B03E0A"/>
    <w:rsid w:val="00B0690C"/>
    <w:rsid w:val="00B070CB"/>
    <w:rsid w:val="00B12456"/>
    <w:rsid w:val="00B132B0"/>
    <w:rsid w:val="00B173C6"/>
    <w:rsid w:val="00B20109"/>
    <w:rsid w:val="00B20EA7"/>
    <w:rsid w:val="00B21FF9"/>
    <w:rsid w:val="00B220A5"/>
    <w:rsid w:val="00B2317A"/>
    <w:rsid w:val="00B259C8"/>
    <w:rsid w:val="00B26CCF"/>
    <w:rsid w:val="00B30FC2"/>
    <w:rsid w:val="00B31BA0"/>
    <w:rsid w:val="00B331A2"/>
    <w:rsid w:val="00B33CF2"/>
    <w:rsid w:val="00B340AE"/>
    <w:rsid w:val="00B350A2"/>
    <w:rsid w:val="00B36FC0"/>
    <w:rsid w:val="00B425F0"/>
    <w:rsid w:val="00B42DFA"/>
    <w:rsid w:val="00B50571"/>
    <w:rsid w:val="00B531DD"/>
    <w:rsid w:val="00B55014"/>
    <w:rsid w:val="00B57C11"/>
    <w:rsid w:val="00B61309"/>
    <w:rsid w:val="00B62232"/>
    <w:rsid w:val="00B626DD"/>
    <w:rsid w:val="00B678D3"/>
    <w:rsid w:val="00B67C93"/>
    <w:rsid w:val="00B70BF3"/>
    <w:rsid w:val="00B70D24"/>
    <w:rsid w:val="00B70E51"/>
    <w:rsid w:val="00B71DC2"/>
    <w:rsid w:val="00B80DB6"/>
    <w:rsid w:val="00B81AD2"/>
    <w:rsid w:val="00B81AEC"/>
    <w:rsid w:val="00B85A66"/>
    <w:rsid w:val="00B85ED4"/>
    <w:rsid w:val="00B85F07"/>
    <w:rsid w:val="00B91CFC"/>
    <w:rsid w:val="00B93893"/>
    <w:rsid w:val="00BA179A"/>
    <w:rsid w:val="00BA1BFD"/>
    <w:rsid w:val="00BA439D"/>
    <w:rsid w:val="00BA7E0A"/>
    <w:rsid w:val="00BB61B0"/>
    <w:rsid w:val="00BC0D9E"/>
    <w:rsid w:val="00BC3B53"/>
    <w:rsid w:val="00BC3B96"/>
    <w:rsid w:val="00BC4AE3"/>
    <w:rsid w:val="00BC5B28"/>
    <w:rsid w:val="00BC7264"/>
    <w:rsid w:val="00BE1568"/>
    <w:rsid w:val="00BE17D4"/>
    <w:rsid w:val="00BE2863"/>
    <w:rsid w:val="00BE3F88"/>
    <w:rsid w:val="00BE4756"/>
    <w:rsid w:val="00BE5180"/>
    <w:rsid w:val="00BE5ED9"/>
    <w:rsid w:val="00BE7B41"/>
    <w:rsid w:val="00BF4427"/>
    <w:rsid w:val="00BF46B6"/>
    <w:rsid w:val="00BF498E"/>
    <w:rsid w:val="00BF5675"/>
    <w:rsid w:val="00BF6CD2"/>
    <w:rsid w:val="00C047D4"/>
    <w:rsid w:val="00C0592F"/>
    <w:rsid w:val="00C141BF"/>
    <w:rsid w:val="00C15A91"/>
    <w:rsid w:val="00C175B5"/>
    <w:rsid w:val="00C206F1"/>
    <w:rsid w:val="00C2159D"/>
    <w:rsid w:val="00C217E1"/>
    <w:rsid w:val="00C2198E"/>
    <w:rsid w:val="00C219B1"/>
    <w:rsid w:val="00C231E2"/>
    <w:rsid w:val="00C23E48"/>
    <w:rsid w:val="00C2703D"/>
    <w:rsid w:val="00C34BF9"/>
    <w:rsid w:val="00C352B6"/>
    <w:rsid w:val="00C365FB"/>
    <w:rsid w:val="00C37FB5"/>
    <w:rsid w:val="00C4015B"/>
    <w:rsid w:val="00C4044E"/>
    <w:rsid w:val="00C40C60"/>
    <w:rsid w:val="00C44487"/>
    <w:rsid w:val="00C47F04"/>
    <w:rsid w:val="00C50E87"/>
    <w:rsid w:val="00C5258E"/>
    <w:rsid w:val="00C5333A"/>
    <w:rsid w:val="00C53BD7"/>
    <w:rsid w:val="00C546E2"/>
    <w:rsid w:val="00C55923"/>
    <w:rsid w:val="00C5643B"/>
    <w:rsid w:val="00C619A7"/>
    <w:rsid w:val="00C64E34"/>
    <w:rsid w:val="00C6545E"/>
    <w:rsid w:val="00C66C6F"/>
    <w:rsid w:val="00C7013F"/>
    <w:rsid w:val="00C7097A"/>
    <w:rsid w:val="00C736E8"/>
    <w:rsid w:val="00C73D5F"/>
    <w:rsid w:val="00C74634"/>
    <w:rsid w:val="00C75DD6"/>
    <w:rsid w:val="00C82B8E"/>
    <w:rsid w:val="00C965EF"/>
    <w:rsid w:val="00C979CD"/>
    <w:rsid w:val="00C97C80"/>
    <w:rsid w:val="00CA1D00"/>
    <w:rsid w:val="00CA35E4"/>
    <w:rsid w:val="00CA47D3"/>
    <w:rsid w:val="00CA6533"/>
    <w:rsid w:val="00CA6A25"/>
    <w:rsid w:val="00CA6A3F"/>
    <w:rsid w:val="00CA7C99"/>
    <w:rsid w:val="00CB02EB"/>
    <w:rsid w:val="00CB395A"/>
    <w:rsid w:val="00CC15DE"/>
    <w:rsid w:val="00CC19C1"/>
    <w:rsid w:val="00CC6290"/>
    <w:rsid w:val="00CC6BC9"/>
    <w:rsid w:val="00CD233D"/>
    <w:rsid w:val="00CD362D"/>
    <w:rsid w:val="00CD5169"/>
    <w:rsid w:val="00CE0650"/>
    <w:rsid w:val="00CE101D"/>
    <w:rsid w:val="00CE1C84"/>
    <w:rsid w:val="00CE4E63"/>
    <w:rsid w:val="00CE5055"/>
    <w:rsid w:val="00CE6426"/>
    <w:rsid w:val="00CE7521"/>
    <w:rsid w:val="00CF053F"/>
    <w:rsid w:val="00CF1A17"/>
    <w:rsid w:val="00D0140D"/>
    <w:rsid w:val="00D01C92"/>
    <w:rsid w:val="00D030AB"/>
    <w:rsid w:val="00D034B8"/>
    <w:rsid w:val="00D037A9"/>
    <w:rsid w:val="00D0609E"/>
    <w:rsid w:val="00D078E1"/>
    <w:rsid w:val="00D100E9"/>
    <w:rsid w:val="00D1074F"/>
    <w:rsid w:val="00D17084"/>
    <w:rsid w:val="00D1791D"/>
    <w:rsid w:val="00D21E4B"/>
    <w:rsid w:val="00D22588"/>
    <w:rsid w:val="00D22689"/>
    <w:rsid w:val="00D2328D"/>
    <w:rsid w:val="00D23522"/>
    <w:rsid w:val="00D264D6"/>
    <w:rsid w:val="00D33144"/>
    <w:rsid w:val="00D33BF0"/>
    <w:rsid w:val="00D33F30"/>
    <w:rsid w:val="00D33F89"/>
    <w:rsid w:val="00D34892"/>
    <w:rsid w:val="00D36088"/>
    <w:rsid w:val="00D36447"/>
    <w:rsid w:val="00D41CE8"/>
    <w:rsid w:val="00D44B73"/>
    <w:rsid w:val="00D516BE"/>
    <w:rsid w:val="00D5423B"/>
    <w:rsid w:val="00D54AC7"/>
    <w:rsid w:val="00D54F4E"/>
    <w:rsid w:val="00D550FF"/>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48A"/>
    <w:rsid w:val="00D93170"/>
    <w:rsid w:val="00D9561B"/>
    <w:rsid w:val="00D95C88"/>
    <w:rsid w:val="00D97B2E"/>
    <w:rsid w:val="00DA1BA1"/>
    <w:rsid w:val="00DA241E"/>
    <w:rsid w:val="00DA51B5"/>
    <w:rsid w:val="00DB36FE"/>
    <w:rsid w:val="00DB38E3"/>
    <w:rsid w:val="00DB533A"/>
    <w:rsid w:val="00DB6307"/>
    <w:rsid w:val="00DC130E"/>
    <w:rsid w:val="00DC18F3"/>
    <w:rsid w:val="00DC1F3E"/>
    <w:rsid w:val="00DC2443"/>
    <w:rsid w:val="00DC691C"/>
    <w:rsid w:val="00DD044A"/>
    <w:rsid w:val="00DD08FC"/>
    <w:rsid w:val="00DD1DCD"/>
    <w:rsid w:val="00DD2AEA"/>
    <w:rsid w:val="00DD338F"/>
    <w:rsid w:val="00DD3404"/>
    <w:rsid w:val="00DD3946"/>
    <w:rsid w:val="00DD66F2"/>
    <w:rsid w:val="00DE1EB5"/>
    <w:rsid w:val="00DE3FE0"/>
    <w:rsid w:val="00DE50BA"/>
    <w:rsid w:val="00DE578A"/>
    <w:rsid w:val="00DF2583"/>
    <w:rsid w:val="00DF3E62"/>
    <w:rsid w:val="00DF4D7F"/>
    <w:rsid w:val="00DF4E80"/>
    <w:rsid w:val="00DF54D9"/>
    <w:rsid w:val="00DF63F3"/>
    <w:rsid w:val="00DF7283"/>
    <w:rsid w:val="00E01A59"/>
    <w:rsid w:val="00E05D9C"/>
    <w:rsid w:val="00E0622C"/>
    <w:rsid w:val="00E0675E"/>
    <w:rsid w:val="00E10DC6"/>
    <w:rsid w:val="00E11F8E"/>
    <w:rsid w:val="00E13D95"/>
    <w:rsid w:val="00E14AA3"/>
    <w:rsid w:val="00E15881"/>
    <w:rsid w:val="00E16A8F"/>
    <w:rsid w:val="00E16AFA"/>
    <w:rsid w:val="00E17CA2"/>
    <w:rsid w:val="00E20C25"/>
    <w:rsid w:val="00E21DE3"/>
    <w:rsid w:val="00E233D5"/>
    <w:rsid w:val="00E25DEA"/>
    <w:rsid w:val="00E307D1"/>
    <w:rsid w:val="00E34892"/>
    <w:rsid w:val="00E35710"/>
    <w:rsid w:val="00E35CF4"/>
    <w:rsid w:val="00E3731D"/>
    <w:rsid w:val="00E37811"/>
    <w:rsid w:val="00E468E4"/>
    <w:rsid w:val="00E4712B"/>
    <w:rsid w:val="00E51469"/>
    <w:rsid w:val="00E54114"/>
    <w:rsid w:val="00E62709"/>
    <w:rsid w:val="00E634E3"/>
    <w:rsid w:val="00E64778"/>
    <w:rsid w:val="00E654AF"/>
    <w:rsid w:val="00E66C7C"/>
    <w:rsid w:val="00E717C4"/>
    <w:rsid w:val="00E74D10"/>
    <w:rsid w:val="00E776C6"/>
    <w:rsid w:val="00E77F89"/>
    <w:rsid w:val="00E80E71"/>
    <w:rsid w:val="00E81589"/>
    <w:rsid w:val="00E8398E"/>
    <w:rsid w:val="00E850D3"/>
    <w:rsid w:val="00E853D6"/>
    <w:rsid w:val="00E8544F"/>
    <w:rsid w:val="00E86434"/>
    <w:rsid w:val="00E876B9"/>
    <w:rsid w:val="00E91493"/>
    <w:rsid w:val="00E91B40"/>
    <w:rsid w:val="00E91F7C"/>
    <w:rsid w:val="00E93525"/>
    <w:rsid w:val="00E94861"/>
    <w:rsid w:val="00E94D82"/>
    <w:rsid w:val="00E94EE9"/>
    <w:rsid w:val="00E972A2"/>
    <w:rsid w:val="00EA14F5"/>
    <w:rsid w:val="00EA5BA2"/>
    <w:rsid w:val="00EA6C1A"/>
    <w:rsid w:val="00EB73E0"/>
    <w:rsid w:val="00EC0DFF"/>
    <w:rsid w:val="00EC237D"/>
    <w:rsid w:val="00EC25AB"/>
    <w:rsid w:val="00EC25B9"/>
    <w:rsid w:val="00EC2927"/>
    <w:rsid w:val="00EC4D0E"/>
    <w:rsid w:val="00EC4E2B"/>
    <w:rsid w:val="00ED072A"/>
    <w:rsid w:val="00ED2F32"/>
    <w:rsid w:val="00ED539E"/>
    <w:rsid w:val="00ED576F"/>
    <w:rsid w:val="00ED5E4D"/>
    <w:rsid w:val="00EE0D18"/>
    <w:rsid w:val="00EE4A1F"/>
    <w:rsid w:val="00EE4C2D"/>
    <w:rsid w:val="00EE5B3F"/>
    <w:rsid w:val="00EE66B5"/>
    <w:rsid w:val="00EE6FBE"/>
    <w:rsid w:val="00EF0CCB"/>
    <w:rsid w:val="00EF1B5A"/>
    <w:rsid w:val="00EF1BAF"/>
    <w:rsid w:val="00EF24FB"/>
    <w:rsid w:val="00EF2CCA"/>
    <w:rsid w:val="00EF4D48"/>
    <w:rsid w:val="00EF60DC"/>
    <w:rsid w:val="00F00CCE"/>
    <w:rsid w:val="00F00F54"/>
    <w:rsid w:val="00F00F96"/>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C96"/>
    <w:rsid w:val="00F40F11"/>
    <w:rsid w:val="00F41143"/>
    <w:rsid w:val="00F41A6F"/>
    <w:rsid w:val="00F429FF"/>
    <w:rsid w:val="00F43D85"/>
    <w:rsid w:val="00F45A25"/>
    <w:rsid w:val="00F50F86"/>
    <w:rsid w:val="00F51A76"/>
    <w:rsid w:val="00F51C5F"/>
    <w:rsid w:val="00F53862"/>
    <w:rsid w:val="00F53C9D"/>
    <w:rsid w:val="00F53F91"/>
    <w:rsid w:val="00F54B9F"/>
    <w:rsid w:val="00F61569"/>
    <w:rsid w:val="00F61A72"/>
    <w:rsid w:val="00F62B67"/>
    <w:rsid w:val="00F64B8B"/>
    <w:rsid w:val="00F666CC"/>
    <w:rsid w:val="00F66F13"/>
    <w:rsid w:val="00F7145D"/>
    <w:rsid w:val="00F71B5E"/>
    <w:rsid w:val="00F74073"/>
    <w:rsid w:val="00F75603"/>
    <w:rsid w:val="00F77BE5"/>
    <w:rsid w:val="00F845B4"/>
    <w:rsid w:val="00F8713B"/>
    <w:rsid w:val="00F904FB"/>
    <w:rsid w:val="00F93F9E"/>
    <w:rsid w:val="00F950BC"/>
    <w:rsid w:val="00F9557D"/>
    <w:rsid w:val="00F9580B"/>
    <w:rsid w:val="00FA2CD7"/>
    <w:rsid w:val="00FA5AD5"/>
    <w:rsid w:val="00FA7882"/>
    <w:rsid w:val="00FB06ED"/>
    <w:rsid w:val="00FB3B25"/>
    <w:rsid w:val="00FB3C55"/>
    <w:rsid w:val="00FB54B2"/>
    <w:rsid w:val="00FB7AF8"/>
    <w:rsid w:val="00FB7EBA"/>
    <w:rsid w:val="00FC08A4"/>
    <w:rsid w:val="00FC202F"/>
    <w:rsid w:val="00FC3025"/>
    <w:rsid w:val="00FC3165"/>
    <w:rsid w:val="00FC36AB"/>
    <w:rsid w:val="00FC4300"/>
    <w:rsid w:val="00FC623F"/>
    <w:rsid w:val="00FC7F66"/>
    <w:rsid w:val="00FD3039"/>
    <w:rsid w:val="00FD5776"/>
    <w:rsid w:val="00FD6A55"/>
    <w:rsid w:val="00FD6CF9"/>
    <w:rsid w:val="00FE0FC9"/>
    <w:rsid w:val="00FE1CB6"/>
    <w:rsid w:val="00FE486B"/>
    <w:rsid w:val="00FE4F08"/>
    <w:rsid w:val="00FF192E"/>
    <w:rsid w:val="00FF3C8D"/>
    <w:rsid w:val="00FF5EF7"/>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F914A9"/>
  <w15:docId w15:val="{25CEE349-80DD-4108-BA86-451EAF08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0494"/>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uiPriority w:val="9"/>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6B6F58"/>
    <w:rPr>
      <w:vertAlign w:val="superscript"/>
    </w:rPr>
  </w:style>
  <w:style w:type="paragraph" w:styleId="Lijstalinea">
    <w:name w:val="List Paragraph"/>
    <w:basedOn w:val="Standaard"/>
    <w:uiPriority w:val="34"/>
    <w:qFormat/>
    <w:rsid w:val="000A38B2"/>
    <w:pPr>
      <w:ind w:left="720"/>
      <w:contextualSpacing/>
    </w:pPr>
  </w:style>
  <w:style w:type="table" w:styleId="Lijsttabel3-Accent3">
    <w:name w:val="List Table 3 Accent 3"/>
    <w:basedOn w:val="Standaardtabel"/>
    <w:uiPriority w:val="48"/>
    <w:rsid w:val="00AC2B9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Verwijzingopmerking">
    <w:name w:val="annotation reference"/>
    <w:basedOn w:val="Standaardalinea-lettertype"/>
    <w:rsid w:val="004D7244"/>
    <w:rPr>
      <w:sz w:val="16"/>
      <w:szCs w:val="16"/>
    </w:rPr>
  </w:style>
  <w:style w:type="paragraph" w:styleId="Tekstopmerking">
    <w:name w:val="annotation text"/>
    <w:basedOn w:val="Standaard"/>
    <w:link w:val="TekstopmerkingChar"/>
    <w:rsid w:val="004D7244"/>
    <w:pPr>
      <w:spacing w:line="240" w:lineRule="auto"/>
    </w:pPr>
    <w:rPr>
      <w:sz w:val="20"/>
      <w:szCs w:val="20"/>
    </w:rPr>
  </w:style>
  <w:style w:type="character" w:customStyle="1" w:styleId="TekstopmerkingChar">
    <w:name w:val="Tekst opmerking Char"/>
    <w:basedOn w:val="Standaardalinea-lettertype"/>
    <w:link w:val="Tekstopmerking"/>
    <w:rsid w:val="004D7244"/>
    <w:rPr>
      <w:rFonts w:ascii="Verdana" w:hAnsi="Verdana"/>
      <w:lang w:val="nl-NL" w:eastAsia="nl-NL"/>
    </w:rPr>
  </w:style>
  <w:style w:type="paragraph" w:styleId="Onderwerpvanopmerking">
    <w:name w:val="annotation subject"/>
    <w:basedOn w:val="Tekstopmerking"/>
    <w:next w:val="Tekstopmerking"/>
    <w:link w:val="OnderwerpvanopmerkingChar"/>
    <w:rsid w:val="004D7244"/>
    <w:rPr>
      <w:b/>
      <w:bCs/>
    </w:rPr>
  </w:style>
  <w:style w:type="character" w:customStyle="1" w:styleId="OnderwerpvanopmerkingChar">
    <w:name w:val="Onderwerp van opmerking Char"/>
    <w:basedOn w:val="TekstopmerkingChar"/>
    <w:link w:val="Onderwerpvanopmerking"/>
    <w:rsid w:val="004D7244"/>
    <w:rPr>
      <w:rFonts w:ascii="Verdana" w:hAnsi="Verdana"/>
      <w:b/>
      <w:bCs/>
      <w:lang w:val="nl-NL" w:eastAsia="nl-NL"/>
    </w:rPr>
  </w:style>
  <w:style w:type="paragraph" w:styleId="Revisie">
    <w:name w:val="Revision"/>
    <w:hidden/>
    <w:uiPriority w:val="99"/>
    <w:semiHidden/>
    <w:rsid w:val="00361D26"/>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0E0DF5"/>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1190">
      <w:bodyDiv w:val="1"/>
      <w:marLeft w:val="0"/>
      <w:marRight w:val="0"/>
      <w:marTop w:val="0"/>
      <w:marBottom w:val="0"/>
      <w:divBdr>
        <w:top w:val="none" w:sz="0" w:space="0" w:color="auto"/>
        <w:left w:val="none" w:sz="0" w:space="0" w:color="auto"/>
        <w:bottom w:val="none" w:sz="0" w:space="0" w:color="auto"/>
        <w:right w:val="none" w:sz="0" w:space="0" w:color="auto"/>
      </w:divBdr>
    </w:div>
    <w:div w:id="258374273">
      <w:bodyDiv w:val="1"/>
      <w:marLeft w:val="0"/>
      <w:marRight w:val="0"/>
      <w:marTop w:val="0"/>
      <w:marBottom w:val="0"/>
      <w:divBdr>
        <w:top w:val="none" w:sz="0" w:space="0" w:color="auto"/>
        <w:left w:val="none" w:sz="0" w:space="0" w:color="auto"/>
        <w:bottom w:val="none" w:sz="0" w:space="0" w:color="auto"/>
        <w:right w:val="none" w:sz="0" w:space="0" w:color="auto"/>
      </w:divBdr>
    </w:div>
    <w:div w:id="269358275">
      <w:bodyDiv w:val="1"/>
      <w:marLeft w:val="0"/>
      <w:marRight w:val="0"/>
      <w:marTop w:val="0"/>
      <w:marBottom w:val="0"/>
      <w:divBdr>
        <w:top w:val="none" w:sz="0" w:space="0" w:color="auto"/>
        <w:left w:val="none" w:sz="0" w:space="0" w:color="auto"/>
        <w:bottom w:val="none" w:sz="0" w:space="0" w:color="auto"/>
        <w:right w:val="none" w:sz="0" w:space="0" w:color="auto"/>
      </w:divBdr>
    </w:div>
    <w:div w:id="322390286">
      <w:bodyDiv w:val="1"/>
      <w:marLeft w:val="0"/>
      <w:marRight w:val="0"/>
      <w:marTop w:val="0"/>
      <w:marBottom w:val="0"/>
      <w:divBdr>
        <w:top w:val="none" w:sz="0" w:space="0" w:color="auto"/>
        <w:left w:val="none" w:sz="0" w:space="0" w:color="auto"/>
        <w:bottom w:val="none" w:sz="0" w:space="0" w:color="auto"/>
        <w:right w:val="none" w:sz="0" w:space="0" w:color="auto"/>
      </w:divBdr>
    </w:div>
    <w:div w:id="326369556">
      <w:bodyDiv w:val="1"/>
      <w:marLeft w:val="0"/>
      <w:marRight w:val="0"/>
      <w:marTop w:val="0"/>
      <w:marBottom w:val="0"/>
      <w:divBdr>
        <w:top w:val="none" w:sz="0" w:space="0" w:color="auto"/>
        <w:left w:val="none" w:sz="0" w:space="0" w:color="auto"/>
        <w:bottom w:val="none" w:sz="0" w:space="0" w:color="auto"/>
        <w:right w:val="none" w:sz="0" w:space="0" w:color="auto"/>
      </w:divBdr>
    </w:div>
    <w:div w:id="396830689">
      <w:bodyDiv w:val="1"/>
      <w:marLeft w:val="0"/>
      <w:marRight w:val="0"/>
      <w:marTop w:val="0"/>
      <w:marBottom w:val="0"/>
      <w:divBdr>
        <w:top w:val="none" w:sz="0" w:space="0" w:color="auto"/>
        <w:left w:val="none" w:sz="0" w:space="0" w:color="auto"/>
        <w:bottom w:val="none" w:sz="0" w:space="0" w:color="auto"/>
        <w:right w:val="none" w:sz="0" w:space="0" w:color="auto"/>
      </w:divBdr>
    </w:div>
    <w:div w:id="402262888">
      <w:bodyDiv w:val="1"/>
      <w:marLeft w:val="0"/>
      <w:marRight w:val="0"/>
      <w:marTop w:val="0"/>
      <w:marBottom w:val="0"/>
      <w:divBdr>
        <w:top w:val="none" w:sz="0" w:space="0" w:color="auto"/>
        <w:left w:val="none" w:sz="0" w:space="0" w:color="auto"/>
        <w:bottom w:val="none" w:sz="0" w:space="0" w:color="auto"/>
        <w:right w:val="none" w:sz="0" w:space="0" w:color="auto"/>
      </w:divBdr>
    </w:div>
    <w:div w:id="456605509">
      <w:bodyDiv w:val="1"/>
      <w:marLeft w:val="0"/>
      <w:marRight w:val="0"/>
      <w:marTop w:val="0"/>
      <w:marBottom w:val="0"/>
      <w:divBdr>
        <w:top w:val="none" w:sz="0" w:space="0" w:color="auto"/>
        <w:left w:val="none" w:sz="0" w:space="0" w:color="auto"/>
        <w:bottom w:val="none" w:sz="0" w:space="0" w:color="auto"/>
        <w:right w:val="none" w:sz="0" w:space="0" w:color="auto"/>
      </w:divBdr>
    </w:div>
    <w:div w:id="642349607">
      <w:bodyDiv w:val="1"/>
      <w:marLeft w:val="0"/>
      <w:marRight w:val="0"/>
      <w:marTop w:val="0"/>
      <w:marBottom w:val="0"/>
      <w:divBdr>
        <w:top w:val="none" w:sz="0" w:space="0" w:color="auto"/>
        <w:left w:val="none" w:sz="0" w:space="0" w:color="auto"/>
        <w:bottom w:val="none" w:sz="0" w:space="0" w:color="auto"/>
        <w:right w:val="none" w:sz="0" w:space="0" w:color="auto"/>
      </w:divBdr>
    </w:div>
    <w:div w:id="759986274">
      <w:bodyDiv w:val="1"/>
      <w:marLeft w:val="0"/>
      <w:marRight w:val="0"/>
      <w:marTop w:val="0"/>
      <w:marBottom w:val="0"/>
      <w:divBdr>
        <w:top w:val="none" w:sz="0" w:space="0" w:color="auto"/>
        <w:left w:val="none" w:sz="0" w:space="0" w:color="auto"/>
        <w:bottom w:val="none" w:sz="0" w:space="0" w:color="auto"/>
        <w:right w:val="none" w:sz="0" w:space="0" w:color="auto"/>
      </w:divBdr>
    </w:div>
    <w:div w:id="838349648">
      <w:bodyDiv w:val="1"/>
      <w:marLeft w:val="0"/>
      <w:marRight w:val="0"/>
      <w:marTop w:val="0"/>
      <w:marBottom w:val="0"/>
      <w:divBdr>
        <w:top w:val="none" w:sz="0" w:space="0" w:color="auto"/>
        <w:left w:val="none" w:sz="0" w:space="0" w:color="auto"/>
        <w:bottom w:val="none" w:sz="0" w:space="0" w:color="auto"/>
        <w:right w:val="none" w:sz="0" w:space="0" w:color="auto"/>
      </w:divBdr>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981469502">
      <w:bodyDiv w:val="1"/>
      <w:marLeft w:val="0"/>
      <w:marRight w:val="0"/>
      <w:marTop w:val="0"/>
      <w:marBottom w:val="0"/>
      <w:divBdr>
        <w:top w:val="none" w:sz="0" w:space="0" w:color="auto"/>
        <w:left w:val="none" w:sz="0" w:space="0" w:color="auto"/>
        <w:bottom w:val="none" w:sz="0" w:space="0" w:color="auto"/>
        <w:right w:val="none" w:sz="0" w:space="0" w:color="auto"/>
      </w:divBdr>
    </w:div>
    <w:div w:id="1038507051">
      <w:bodyDiv w:val="1"/>
      <w:marLeft w:val="0"/>
      <w:marRight w:val="0"/>
      <w:marTop w:val="0"/>
      <w:marBottom w:val="0"/>
      <w:divBdr>
        <w:top w:val="none" w:sz="0" w:space="0" w:color="auto"/>
        <w:left w:val="none" w:sz="0" w:space="0" w:color="auto"/>
        <w:bottom w:val="none" w:sz="0" w:space="0" w:color="auto"/>
        <w:right w:val="none" w:sz="0" w:space="0" w:color="auto"/>
      </w:divBdr>
    </w:div>
    <w:div w:id="1456557977">
      <w:bodyDiv w:val="1"/>
      <w:marLeft w:val="0"/>
      <w:marRight w:val="0"/>
      <w:marTop w:val="0"/>
      <w:marBottom w:val="0"/>
      <w:divBdr>
        <w:top w:val="none" w:sz="0" w:space="0" w:color="auto"/>
        <w:left w:val="none" w:sz="0" w:space="0" w:color="auto"/>
        <w:bottom w:val="none" w:sz="0" w:space="0" w:color="auto"/>
        <w:right w:val="none" w:sz="0" w:space="0" w:color="auto"/>
      </w:divBdr>
    </w:div>
    <w:div w:id="1677537114">
      <w:bodyDiv w:val="1"/>
      <w:marLeft w:val="0"/>
      <w:marRight w:val="0"/>
      <w:marTop w:val="0"/>
      <w:marBottom w:val="0"/>
      <w:divBdr>
        <w:top w:val="none" w:sz="0" w:space="0" w:color="auto"/>
        <w:left w:val="none" w:sz="0" w:space="0" w:color="auto"/>
        <w:bottom w:val="none" w:sz="0" w:space="0" w:color="auto"/>
        <w:right w:val="none" w:sz="0" w:space="0" w:color="auto"/>
      </w:divBdr>
    </w:div>
    <w:div w:id="21088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2273</ap:Words>
  <ap:Characters>12506</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2025-11-06T12:14:00.0000000Z</lastPrinted>
  <dcterms:created xsi:type="dcterms:W3CDTF">2025-12-19T13:50:00.0000000Z</dcterms:created>
  <dcterms:modified xsi:type="dcterms:W3CDTF">2025-12-19T13:50:00.0000000Z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O205RIS</vt:lpwstr>
  </property>
  <property fmtid="{D5CDD505-2E9C-101B-9397-08002B2CF9AE}" pid="3" name="Author">
    <vt:lpwstr>O205RIS</vt:lpwstr>
  </property>
  <property fmtid="{D5CDD505-2E9C-101B-9397-08002B2CF9AE}" pid="4" name="cs_objectid">
    <vt:lpwstr>58634473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Wettelijke verplichting voor loon- en prijsbijstelling in het onderwijs</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O205RIS</vt:lpwstr>
  </property>
  <property fmtid="{D5CDD505-2E9C-101B-9397-08002B2CF9AE}" pid="19" name="MSIP_Label_f5339f15-c483-4670-87f9-f365ba551dce_Enabled">
    <vt:lpwstr>true</vt:lpwstr>
  </property>
  <property fmtid="{D5CDD505-2E9C-101B-9397-08002B2CF9AE}" pid="20" name="MSIP_Label_f5339f15-c483-4670-87f9-f365ba551dce_SetDate">
    <vt:lpwstr>2025-11-27T14:12:54Z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88f5e256-3a71-4f61-be49-5c8a52c1d190</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