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207" w:rsidRDefault="005C7207" w14:paraId="5877BA50" w14:textId="33AFFB61">
      <w:bookmarkStart w:name="_GoBack" w:id="0"/>
      <w:bookmarkEnd w:id="0"/>
      <w:r>
        <w:t xml:space="preserve">Geachte voorzitter, </w:t>
      </w:r>
    </w:p>
    <w:p w:rsidR="005C7207" w:rsidRDefault="005C7207" w14:paraId="450F8349" w14:textId="77777777"/>
    <w:p w:rsidR="008C4719" w:rsidRDefault="008C4719" w14:paraId="3B2B47E6" w14:textId="361BE877">
      <w:r>
        <w:t>Mede namens de minister van Onderwijs, Cultuur en Wetenschap, de minister van Binnenlandse Zaken en Koninkrijksrelaties</w:t>
      </w:r>
      <w:r w:rsidR="004D1A51">
        <w:t xml:space="preserve"> </w:t>
      </w:r>
      <w:r>
        <w:t xml:space="preserve">en de </w:t>
      </w:r>
      <w:r w:rsidR="00517BD5">
        <w:t>s</w:t>
      </w:r>
      <w:r w:rsidRPr="00517BD5" w:rsidR="00517BD5">
        <w:t>taatssecretaris Langdurige en Maatschappelijke Zorg</w:t>
      </w:r>
      <w:r>
        <w:t xml:space="preserve"> </w:t>
      </w:r>
      <w:r w:rsidR="00F966DF">
        <w:t xml:space="preserve">van Volksgezondheid, Welzijn en Sport, </w:t>
      </w:r>
      <w:r>
        <w:t>stuur ik u deze brief over de resultaten van de verkenning publieke mobiliteit</w:t>
      </w:r>
      <w:r w:rsidR="00F966DF">
        <w:t xml:space="preserve"> en de wijze waarop we hier als gezamenlijke departementen een vervolg aan willen geven</w:t>
      </w:r>
      <w:r>
        <w:t>.</w:t>
      </w:r>
      <w:r w:rsidR="00B30D6A">
        <w:t xml:space="preserve"> </w:t>
      </w:r>
      <w:r w:rsidR="00C34AE1">
        <w:t xml:space="preserve">Met deze brief geef ik opvolging aan </w:t>
      </w:r>
      <w:r w:rsidR="003E2413">
        <w:t xml:space="preserve">mijn toezegging om de </w:t>
      </w:r>
      <w:r w:rsidR="00F966DF">
        <w:t xml:space="preserve">resultaten van de </w:t>
      </w:r>
      <w:r w:rsidR="003E2413">
        <w:t xml:space="preserve">verkenning </w:t>
      </w:r>
      <w:r w:rsidR="00D40894">
        <w:t xml:space="preserve">publieke mobiliteit </w:t>
      </w:r>
      <w:r w:rsidR="003E2413">
        <w:t>met de Tweede Kamer te delen</w:t>
      </w:r>
      <w:r w:rsidR="003E2413">
        <w:rPr>
          <w:rStyle w:val="FootnoteReference"/>
        </w:rPr>
        <w:footnoteReference w:id="1"/>
      </w:r>
      <w:r w:rsidR="003E2413">
        <w:t xml:space="preserve">. </w:t>
      </w:r>
    </w:p>
    <w:p w:rsidR="00902993" w:rsidRDefault="00902993" w14:paraId="5DAD3BF7" w14:textId="77777777"/>
    <w:p w:rsidR="009D080B" w:rsidP="00902993" w:rsidRDefault="00902993" w14:paraId="62176794" w14:textId="0C71B94A">
      <w:r>
        <w:t xml:space="preserve">De verkenning laat zien dat </w:t>
      </w:r>
      <w:r w:rsidR="00265AB1">
        <w:t xml:space="preserve">integratie van openbaar vervoer en doelgroepenvervoer </w:t>
      </w:r>
      <w:r w:rsidR="00527D74">
        <w:t xml:space="preserve">door provincies en gemeenten </w:t>
      </w:r>
      <w:r>
        <w:t xml:space="preserve">goede mogelijkheden </w:t>
      </w:r>
      <w:r w:rsidR="00527D74">
        <w:t xml:space="preserve">kan bieden </w:t>
      </w:r>
      <w:r>
        <w:t>om een effectiever, toegankelijker en inclusiever vervoerssysteem</w:t>
      </w:r>
      <w:r w:rsidR="00DF5BC9">
        <w:t xml:space="preserve"> </w:t>
      </w:r>
      <w:r w:rsidR="00265AB1">
        <w:t xml:space="preserve">voor de reizigers </w:t>
      </w:r>
      <w:r w:rsidR="00DF5BC9">
        <w:t>te realiseren</w:t>
      </w:r>
      <w:r>
        <w:t xml:space="preserve">. </w:t>
      </w:r>
      <w:r w:rsidRPr="003D1FC6" w:rsidR="003D1FC6">
        <w:t xml:space="preserve">De </w:t>
      </w:r>
      <w:r w:rsidR="00A46380">
        <w:t xml:space="preserve">gezamenlijke </w:t>
      </w:r>
      <w:r w:rsidRPr="003D1FC6" w:rsidR="003D1FC6">
        <w:t>departementen zien in de resultaten voldoende aanknopingspunten om dit</w:t>
      </w:r>
      <w:r w:rsidR="002B34D8">
        <w:t xml:space="preserve"> </w:t>
      </w:r>
      <w:r w:rsidRPr="003D1FC6" w:rsidR="003D1FC6">
        <w:t>onderwerp verder uit te werken.</w:t>
      </w:r>
      <w:r w:rsidR="002642B0">
        <w:t xml:space="preserve"> </w:t>
      </w:r>
      <w:r w:rsidR="008B5027">
        <w:t>Hierbij voelen wij ons gesteund door het belang dat ook vanuit de betrokken organisaties is uitgesproken</w:t>
      </w:r>
      <w:r w:rsidR="00883863">
        <w:t xml:space="preserve"> </w:t>
      </w:r>
      <w:r w:rsidR="00265AB1">
        <w:t xml:space="preserve">voor </w:t>
      </w:r>
      <w:r w:rsidR="00883863">
        <w:t>publieke mobiliteit</w:t>
      </w:r>
      <w:r w:rsidR="008B5027">
        <w:t>.</w:t>
      </w:r>
      <w:r w:rsidR="00886BA1">
        <w:t xml:space="preserve"> </w:t>
      </w:r>
    </w:p>
    <w:p w:rsidR="009D080B" w:rsidP="00902993" w:rsidRDefault="009D080B" w14:paraId="534BDCB0" w14:textId="77777777"/>
    <w:p w:rsidR="008B5027" w:rsidP="00902993" w:rsidRDefault="00886BA1" w14:paraId="3E65A4F1" w14:textId="0A0B104E">
      <w:r>
        <w:t>Publieke mobiliteit is niet zomaar geregeld</w:t>
      </w:r>
      <w:r w:rsidR="00517BD5">
        <w:t>; d</w:t>
      </w:r>
      <w:r w:rsidR="002642B0">
        <w:t xml:space="preserve">e verkenning vormt een eerste </w:t>
      </w:r>
      <w:r>
        <w:t>aanzet</w:t>
      </w:r>
      <w:r w:rsidR="00A00E5E">
        <w:t xml:space="preserve">. Op </w:t>
      </w:r>
      <w:r w:rsidR="00691C3B">
        <w:t xml:space="preserve">alle </w:t>
      </w:r>
      <w:r w:rsidR="00C64FD1">
        <w:t>aspecten</w:t>
      </w:r>
      <w:r w:rsidR="003D1FC6">
        <w:t xml:space="preserve"> van de verkenning</w:t>
      </w:r>
      <w:r w:rsidR="00C64FD1">
        <w:t xml:space="preserve"> </w:t>
      </w:r>
      <w:r w:rsidR="00691C3B">
        <w:t xml:space="preserve">is een </w:t>
      </w:r>
      <w:r w:rsidR="002B34D8">
        <w:t xml:space="preserve">nadere </w:t>
      </w:r>
      <w:r w:rsidR="00691C3B">
        <w:t xml:space="preserve">uitwerking en verbreding nodig om te komen tot onderbouwde beleidskeuzes. </w:t>
      </w:r>
      <w:r w:rsidR="00A00E5E">
        <w:t xml:space="preserve">Aan deze verbreding </w:t>
      </w:r>
      <w:r w:rsidR="009D080B">
        <w:t xml:space="preserve">gaan we de komende periode werken, onder </w:t>
      </w:r>
      <w:r w:rsidR="00517BD5">
        <w:t>meer</w:t>
      </w:r>
      <w:r w:rsidR="009D080B">
        <w:t xml:space="preserve"> door het uitwerken van </w:t>
      </w:r>
      <w:r w:rsidR="00252EE7">
        <w:t xml:space="preserve">scenario’s, welke geplaatst </w:t>
      </w:r>
      <w:r w:rsidR="009D080B">
        <w:t xml:space="preserve">zullen </w:t>
      </w:r>
      <w:r w:rsidR="00252EE7">
        <w:t>worden binnen de maatschappelijke en ruimtelijke context.</w:t>
      </w:r>
    </w:p>
    <w:p w:rsidR="009D080B" w:rsidP="00902993" w:rsidRDefault="009D080B" w14:paraId="02219C4F" w14:textId="77777777"/>
    <w:p w:rsidR="00B651BF" w:rsidP="00902993" w:rsidRDefault="009D080B" w14:paraId="588C5A42" w14:textId="3CCDFBC4">
      <w:r>
        <w:t>In het vervolg van deze brief ga ik in op de aanleiding</w:t>
      </w:r>
      <w:r w:rsidR="00A00E5E">
        <w:t xml:space="preserve"> en </w:t>
      </w:r>
      <w:r>
        <w:t xml:space="preserve">de resultaten </w:t>
      </w:r>
      <w:r w:rsidR="00A00E5E">
        <w:t xml:space="preserve">van </w:t>
      </w:r>
      <w:r>
        <w:t xml:space="preserve">de verkenning. </w:t>
      </w:r>
      <w:r w:rsidR="00D70EF7">
        <w:t>Ook</w:t>
      </w:r>
      <w:r>
        <w:t xml:space="preserve"> treft u een planning aan waarin wordt </w:t>
      </w:r>
      <w:r w:rsidR="00A00E5E">
        <w:t xml:space="preserve">weergegeven </w:t>
      </w:r>
      <w:r>
        <w:t>wanneer de volgende</w:t>
      </w:r>
      <w:r w:rsidR="00A46380">
        <w:t xml:space="preserve">, </w:t>
      </w:r>
      <w:r>
        <w:t xml:space="preserve">verbredende fase wordt afgerond en </w:t>
      </w:r>
      <w:r w:rsidR="00A46380">
        <w:t xml:space="preserve">wanneer deze </w:t>
      </w:r>
      <w:r>
        <w:t>gedeeld zal worden met de Kamer.</w:t>
      </w:r>
      <w:r w:rsidR="00A00E5E">
        <w:t xml:space="preserve"> Na</w:t>
      </w:r>
      <w:r w:rsidR="00517BD5">
        <w:t xml:space="preserve"> afronding van</w:t>
      </w:r>
      <w:r w:rsidR="00A00E5E">
        <w:t xml:space="preserve"> deze</w:t>
      </w:r>
      <w:r w:rsidR="00A46380">
        <w:t xml:space="preserve"> </w:t>
      </w:r>
      <w:r w:rsidR="00A00E5E">
        <w:t xml:space="preserve">fase </w:t>
      </w:r>
      <w:r w:rsidR="00620647">
        <w:t xml:space="preserve">verwacht ik </w:t>
      </w:r>
      <w:r w:rsidR="00A00E5E">
        <w:t xml:space="preserve">een Kabinetstandpunt Publieke Mobiliteit </w:t>
      </w:r>
      <w:r w:rsidR="00620647">
        <w:t xml:space="preserve">te kunnen </w:t>
      </w:r>
      <w:r w:rsidR="00517BD5">
        <w:t>vast</w:t>
      </w:r>
      <w:r w:rsidR="00620647">
        <w:t>stellen</w:t>
      </w:r>
      <w:r w:rsidR="00A00E5E">
        <w:t>.</w:t>
      </w:r>
    </w:p>
    <w:p w:rsidR="00B651BF" w:rsidP="00902993" w:rsidRDefault="00B651BF" w14:paraId="27FABAD7" w14:textId="77777777"/>
    <w:p w:rsidR="00B651BF" w:rsidP="00902993" w:rsidRDefault="00B651BF" w14:paraId="6F38F89C" w14:textId="77777777"/>
    <w:p w:rsidR="00B651BF" w:rsidP="00902993" w:rsidRDefault="00B651BF" w14:paraId="48585C78" w14:textId="77777777"/>
    <w:p w:rsidR="00B651BF" w:rsidP="00902993" w:rsidRDefault="00B651BF" w14:paraId="213207C9" w14:textId="77777777"/>
    <w:p w:rsidRPr="00902993" w:rsidR="00902993" w:rsidRDefault="00902993" w14:paraId="5143E5EE" w14:textId="0422E71C">
      <w:pPr>
        <w:rPr>
          <w:b/>
          <w:bCs/>
        </w:rPr>
      </w:pPr>
      <w:r>
        <w:rPr>
          <w:b/>
          <w:bCs/>
        </w:rPr>
        <w:lastRenderedPageBreak/>
        <w:t>Aanleiding voor publieke mobiliteit</w:t>
      </w:r>
    </w:p>
    <w:p w:rsidR="00FD3F58" w:rsidP="004D10FA" w:rsidRDefault="00CC439A" w14:paraId="6BEDEACF" w14:textId="66374595">
      <w:r>
        <w:t>Het mobiliteitsgedrag van Nederland is veranderd sinds de COVID-pandemie</w:t>
      </w:r>
      <w:r>
        <w:rPr>
          <w:rStyle w:val="FootnoteReference"/>
        </w:rPr>
        <w:footnoteReference w:id="2"/>
      </w:r>
      <w:r>
        <w:t xml:space="preserve">. </w:t>
      </w:r>
      <w:r w:rsidR="009B7AB8">
        <w:t xml:space="preserve">De gemiddelde bezettingsgraad in het </w:t>
      </w:r>
      <w:r w:rsidR="00A86891">
        <w:t>o</w:t>
      </w:r>
      <w:r w:rsidR="009B7AB8">
        <w:t xml:space="preserve">penbaar </w:t>
      </w:r>
      <w:r w:rsidR="00A86891">
        <w:t>v</w:t>
      </w:r>
      <w:r w:rsidR="009B7AB8">
        <w:t xml:space="preserve">ervoer </w:t>
      </w:r>
      <w:r w:rsidR="00A86891">
        <w:t xml:space="preserve">(OV) </w:t>
      </w:r>
      <w:r w:rsidR="009B7AB8">
        <w:t>is gedaald, terwijl de kosten zijn gestegen</w:t>
      </w:r>
      <w:r w:rsidR="005A5DEF">
        <w:rPr>
          <w:rStyle w:val="FootnoteReference"/>
        </w:rPr>
        <w:footnoteReference w:id="3"/>
      </w:r>
      <w:r w:rsidR="00933A9D">
        <w:t>.</w:t>
      </w:r>
      <w:r w:rsidR="009B7AB8">
        <w:t xml:space="preserve"> </w:t>
      </w:r>
      <w:r w:rsidR="003E2413">
        <w:t xml:space="preserve">Met name in </w:t>
      </w:r>
      <w:r w:rsidR="006F0262">
        <w:rPr>
          <w:color w:val="auto"/>
        </w:rPr>
        <w:t xml:space="preserve">regionale </w:t>
      </w:r>
      <w:r w:rsidR="003E2413">
        <w:t xml:space="preserve">gebieden </w:t>
      </w:r>
      <w:r w:rsidR="00BD68CA">
        <w:t>heeft</w:t>
      </w:r>
      <w:r w:rsidR="00C00E3E">
        <w:t xml:space="preserve"> de</w:t>
      </w:r>
      <w:r w:rsidR="003E2413">
        <w:t xml:space="preserve"> versobering van het </w:t>
      </w:r>
      <w:r w:rsidR="00A86891">
        <w:t>OV</w:t>
      </w:r>
      <w:r w:rsidR="003E2413">
        <w:t xml:space="preserve"> </w:t>
      </w:r>
      <w:r w:rsidR="00596D77">
        <w:t>in de periode na de COVID-pandemie</w:t>
      </w:r>
      <w:r w:rsidR="00BD68CA">
        <w:t xml:space="preserve"> geleid</w:t>
      </w:r>
      <w:r w:rsidR="003E2413">
        <w:t xml:space="preserve"> </w:t>
      </w:r>
      <w:r w:rsidR="00C00E3E">
        <w:t>tot</w:t>
      </w:r>
      <w:r w:rsidR="003E2413">
        <w:t xml:space="preserve"> een verminderde bereikbaarheid van voorzieningen</w:t>
      </w:r>
      <w:r w:rsidR="006F0262">
        <w:rPr>
          <w:rStyle w:val="FootnoteReference"/>
        </w:rPr>
        <w:footnoteReference w:id="4"/>
      </w:r>
      <w:r w:rsidR="006F0262">
        <w:t xml:space="preserve">. </w:t>
      </w:r>
      <w:r w:rsidR="00596D77">
        <w:t>Sindsdien is er een licht herstel van de reizigersaantallen en is het OV-aanbod op peil gehouden – en soms verbeterd – dankzij structurele investeringen vanuit het Rijk in het regionaal openbaar vervoer (motie Bikker</w:t>
      </w:r>
      <w:r w:rsidR="00541443">
        <w:rPr>
          <w:rStyle w:val="FootnoteReference"/>
        </w:rPr>
        <w:footnoteReference w:id="5"/>
      </w:r>
      <w:r w:rsidR="00596D77">
        <w:t xml:space="preserve">). </w:t>
      </w:r>
      <w:r w:rsidR="006F0262">
        <w:t xml:space="preserve">Daarnaast kampen </w:t>
      </w:r>
      <w:r w:rsidR="00A86891">
        <w:t>OV</w:t>
      </w:r>
      <w:r w:rsidR="006F0262">
        <w:t xml:space="preserve">-bedrijven </w:t>
      </w:r>
      <w:r w:rsidR="0066754E">
        <w:t xml:space="preserve">en doelgroepenvervoerders </w:t>
      </w:r>
      <w:r w:rsidR="00596D77">
        <w:t xml:space="preserve">nog steeds </w:t>
      </w:r>
      <w:r w:rsidR="006F0262">
        <w:t xml:space="preserve">met </w:t>
      </w:r>
      <w:r w:rsidR="00596D77">
        <w:t>personeelstekorten</w:t>
      </w:r>
      <w:r w:rsidR="006F0262">
        <w:t>.</w:t>
      </w:r>
      <w:r w:rsidR="003E2413">
        <w:t xml:space="preserve"> </w:t>
      </w:r>
      <w:r w:rsidR="001B4633">
        <w:t>Een dubbe</w:t>
      </w:r>
      <w:r w:rsidR="006F14E4">
        <w:t>le vergrijzing</w:t>
      </w:r>
      <w:r w:rsidR="006F14E4">
        <w:rPr>
          <w:rStyle w:val="FootnoteReference"/>
        </w:rPr>
        <w:footnoteReference w:id="6"/>
      </w:r>
      <w:r w:rsidR="006F14E4">
        <w:t xml:space="preserve"> </w:t>
      </w:r>
      <w:r w:rsidR="001B4633">
        <w:t>zorgt</w:t>
      </w:r>
      <w:r w:rsidR="00FD3F58">
        <w:t xml:space="preserve"> daarbij</w:t>
      </w:r>
      <w:r w:rsidR="001B4633">
        <w:t xml:space="preserve"> </w:t>
      </w:r>
      <w:r w:rsidR="006F0262">
        <w:t>v</w:t>
      </w:r>
      <w:r w:rsidR="006F14E4">
        <w:t>oor extra druk op het doelgroepenvervoer</w:t>
      </w:r>
      <w:r w:rsidR="001369F1">
        <w:rPr>
          <w:rStyle w:val="FootnoteReference"/>
        </w:rPr>
        <w:footnoteReference w:id="7"/>
      </w:r>
      <w:r w:rsidR="006F14E4">
        <w:t xml:space="preserve">. </w:t>
      </w:r>
      <w:r w:rsidR="001B4633">
        <w:t xml:space="preserve">Naar verwachting zullen de kosten van het doelgroepenvervoer de komende jaren met 30 tot 50% toenemen. </w:t>
      </w:r>
    </w:p>
    <w:p w:rsidR="001865CA" w:rsidP="004D10FA" w:rsidRDefault="00596D77" w14:paraId="02233654" w14:textId="1295CC11">
      <w:pPr>
        <w:rPr>
          <w:color w:val="auto"/>
        </w:rPr>
      </w:pPr>
      <w:r>
        <w:t>Vanuit mijn stelselverantwoordelijkheid zie ik kansen</w:t>
      </w:r>
      <w:r w:rsidR="004D10FA">
        <w:t xml:space="preserve"> om de</w:t>
      </w:r>
      <w:r w:rsidR="00187708">
        <w:t xml:space="preserve"> beschikbare </w:t>
      </w:r>
      <w:r w:rsidR="004D10FA">
        <w:t>middelen voor het publiek gefinancierde vervoer effectiever in te zetten</w:t>
      </w:r>
      <w:r w:rsidR="00FD3F58">
        <w:t>,</w:t>
      </w:r>
      <w:r w:rsidR="00BD0869">
        <w:t xml:space="preserve"> zo</w:t>
      </w:r>
      <w:r w:rsidR="004D10FA">
        <w:t xml:space="preserve">dat voorzieningen voor </w:t>
      </w:r>
      <w:r w:rsidR="00BD0869">
        <w:t>reizigers</w:t>
      </w:r>
      <w:r w:rsidR="008D2CEA">
        <w:t xml:space="preserve"> </w:t>
      </w:r>
      <w:r w:rsidRPr="00613DDF" w:rsidR="004D10FA">
        <w:rPr>
          <w:color w:val="auto"/>
        </w:rPr>
        <w:t>bereikbaar blijven. Dat is een breed vraagstuk</w:t>
      </w:r>
      <w:r w:rsidR="00902993">
        <w:rPr>
          <w:color w:val="auto"/>
        </w:rPr>
        <w:t>. P</w:t>
      </w:r>
      <w:r w:rsidR="0081703A">
        <w:rPr>
          <w:color w:val="auto"/>
        </w:rPr>
        <w:t>ublieke mobiliteit</w:t>
      </w:r>
      <w:r w:rsidR="00210331">
        <w:rPr>
          <w:color w:val="auto"/>
        </w:rPr>
        <w:t xml:space="preserve"> is </w:t>
      </w:r>
      <w:r w:rsidR="00902993">
        <w:rPr>
          <w:color w:val="auto"/>
        </w:rPr>
        <w:t xml:space="preserve">dan </w:t>
      </w:r>
      <w:r w:rsidR="00210331">
        <w:rPr>
          <w:color w:val="auto"/>
        </w:rPr>
        <w:t>ook in verschillende overleggen</w:t>
      </w:r>
      <w:r w:rsidR="002363B8">
        <w:rPr>
          <w:color w:val="auto"/>
        </w:rPr>
        <w:t xml:space="preserve"> met medeoverheden, zoals het </w:t>
      </w:r>
      <w:r w:rsidR="0081703A">
        <w:rPr>
          <w:color w:val="auto"/>
        </w:rPr>
        <w:t xml:space="preserve">Bestuurlijk Overleg over de Financiële </w:t>
      </w:r>
      <w:r w:rsidR="00BD68CA">
        <w:rPr>
          <w:color w:val="auto"/>
        </w:rPr>
        <w:t>V</w:t>
      </w:r>
      <w:r w:rsidR="0081703A">
        <w:rPr>
          <w:color w:val="auto"/>
        </w:rPr>
        <w:t>erhoudingen e</w:t>
      </w:r>
      <w:r w:rsidR="00210331">
        <w:rPr>
          <w:color w:val="auto"/>
        </w:rPr>
        <w:t>n Overhedenoverleg in 2024</w:t>
      </w:r>
      <w:r w:rsidR="002363B8">
        <w:rPr>
          <w:color w:val="auto"/>
        </w:rPr>
        <w:t xml:space="preserve">, </w:t>
      </w:r>
      <w:r w:rsidR="00210331">
        <w:rPr>
          <w:color w:val="auto"/>
        </w:rPr>
        <w:t>benoemd als onderwerp dat speciale aandacht verdient</w:t>
      </w:r>
      <w:r w:rsidRPr="00613DDF" w:rsidR="00210331">
        <w:rPr>
          <w:color w:val="auto"/>
        </w:rPr>
        <w:t>.</w:t>
      </w:r>
      <w:r w:rsidRPr="00613DDF" w:rsidR="001B2119">
        <w:rPr>
          <w:color w:val="auto"/>
        </w:rPr>
        <w:t xml:space="preserve"> Ik heb</w:t>
      </w:r>
      <w:r w:rsidRPr="00613DDF" w:rsidR="004D10FA">
        <w:rPr>
          <w:color w:val="auto"/>
        </w:rPr>
        <w:t xml:space="preserve"> daarom</w:t>
      </w:r>
      <w:r w:rsidRPr="00613DDF" w:rsidR="001B2119">
        <w:rPr>
          <w:color w:val="auto"/>
        </w:rPr>
        <w:t xml:space="preserve"> </w:t>
      </w:r>
      <w:r w:rsidRPr="00613DDF" w:rsidR="004D10FA">
        <w:rPr>
          <w:color w:val="auto"/>
        </w:rPr>
        <w:t xml:space="preserve">gezamenlijk </w:t>
      </w:r>
      <w:r w:rsidRPr="00613DDF" w:rsidR="001B2119">
        <w:rPr>
          <w:color w:val="auto"/>
        </w:rPr>
        <w:t xml:space="preserve">met de </w:t>
      </w:r>
      <w:r w:rsidR="006417A5">
        <w:rPr>
          <w:color w:val="auto"/>
        </w:rPr>
        <w:t>a</w:t>
      </w:r>
      <w:r w:rsidRPr="00613DDF" w:rsidR="001B2119">
        <w:rPr>
          <w:color w:val="auto"/>
        </w:rPr>
        <w:t xml:space="preserve">ndere departementen </w:t>
      </w:r>
      <w:r w:rsidRPr="00613DDF" w:rsidR="00FC10F6">
        <w:rPr>
          <w:color w:val="auto"/>
        </w:rPr>
        <w:t>een opdracht uitgezet</w:t>
      </w:r>
      <w:r w:rsidRPr="00613DDF" w:rsidR="00A341AC">
        <w:rPr>
          <w:color w:val="auto"/>
        </w:rPr>
        <w:t xml:space="preserve"> </w:t>
      </w:r>
      <w:r w:rsidR="001B4633">
        <w:rPr>
          <w:color w:val="auto"/>
        </w:rPr>
        <w:t>om</w:t>
      </w:r>
      <w:r w:rsidR="001865CA">
        <w:rPr>
          <w:color w:val="auto"/>
        </w:rPr>
        <w:t xml:space="preserve"> te verkennen </w:t>
      </w:r>
      <w:r w:rsidRPr="00613DDF" w:rsidR="00FC10F6">
        <w:rPr>
          <w:color w:val="auto"/>
        </w:rPr>
        <w:t>of integratie van publiek gefinancierde vervoersvormen kan bijdragen aan een inclusief en toegankelijk vervoers</w:t>
      </w:r>
      <w:r w:rsidR="0081703A">
        <w:rPr>
          <w:color w:val="auto"/>
        </w:rPr>
        <w:t>s</w:t>
      </w:r>
      <w:r w:rsidRPr="00613DDF" w:rsidR="00FC10F6">
        <w:rPr>
          <w:color w:val="auto"/>
        </w:rPr>
        <w:t>ysteem dat de bereikbaarheid van voorzieningen voor alle reizigersgroepen</w:t>
      </w:r>
      <w:r w:rsidR="00A86891">
        <w:rPr>
          <w:color w:val="auto"/>
        </w:rPr>
        <w:t xml:space="preserve"> waarborgt</w:t>
      </w:r>
      <w:r w:rsidR="006B5544">
        <w:rPr>
          <w:color w:val="auto"/>
        </w:rPr>
        <w:t>.</w:t>
      </w:r>
      <w:r w:rsidRPr="00613DDF" w:rsidR="00FC10F6">
        <w:rPr>
          <w:color w:val="auto"/>
        </w:rPr>
        <w:t xml:space="preserve"> </w:t>
      </w:r>
      <w:r w:rsidRPr="00613DDF" w:rsidR="004D10FA">
        <w:rPr>
          <w:color w:val="auto"/>
        </w:rPr>
        <w:t>Deze integratie van vervoersvormen noemen we publ</w:t>
      </w:r>
      <w:r w:rsidR="000722BD">
        <w:rPr>
          <w:color w:val="auto"/>
        </w:rPr>
        <w:t>ieke mobiliteit.</w:t>
      </w:r>
    </w:p>
    <w:p w:rsidR="002817C0" w:rsidP="004D10FA" w:rsidRDefault="002817C0" w14:paraId="133BF874" w14:textId="77777777">
      <w:pPr>
        <w:rPr>
          <w:color w:val="auto"/>
        </w:rPr>
      </w:pPr>
    </w:p>
    <w:p w:rsidR="00933A9D" w:rsidP="00507866" w:rsidRDefault="002817C0" w14:paraId="5A08B3A8" w14:textId="77777777">
      <w:r>
        <w:t>Onderstaande figuur geeft aan dat d</w:t>
      </w:r>
      <w:r w:rsidR="00A2108B">
        <w:t xml:space="preserve">e huidige organisatie van publiek gefinancierde vervoersvormen </w:t>
      </w:r>
      <w:r>
        <w:t xml:space="preserve">zich </w:t>
      </w:r>
      <w:r w:rsidR="00A2108B">
        <w:t xml:space="preserve">kenmerkt door verschillende </w:t>
      </w:r>
      <w:r w:rsidR="00BD68CA">
        <w:t xml:space="preserve">grondslagen, </w:t>
      </w:r>
      <w:r w:rsidR="00A2108B">
        <w:t>aansturings- en financieringsvormen</w:t>
      </w:r>
      <w:r w:rsidR="00FD27E3">
        <w:t xml:space="preserve">. </w:t>
      </w:r>
    </w:p>
    <w:p w:rsidR="002817C0" w:rsidP="00507866" w:rsidRDefault="00D57437" w14:paraId="3E011FEE" w14:textId="3A012C2E">
      <w:r>
        <w:t xml:space="preserve"> </w:t>
      </w:r>
    </w:p>
    <w:p w:rsidR="002817C0" w:rsidP="006F14E4" w:rsidRDefault="002817C0" w14:paraId="461BD0CB" w14:textId="77777777">
      <w:r>
        <w:rPr>
          <w:noProof/>
          <w:lang w:val="en-GB" w:eastAsia="en-GB"/>
        </w:rPr>
        <w:drawing>
          <wp:inline distT="0" distB="0" distL="0" distR="0" wp14:anchorId="03F42A3B" wp14:editId="2ED75AA1">
            <wp:extent cx="4669790" cy="2689860"/>
            <wp:effectExtent l="0" t="0" r="0" b="0"/>
            <wp:docPr id="18957586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9790" cy="2689860"/>
                    </a:xfrm>
                    <a:prstGeom prst="rect">
                      <a:avLst/>
                    </a:prstGeom>
                    <a:noFill/>
                  </pic:spPr>
                </pic:pic>
              </a:graphicData>
            </a:graphic>
          </wp:inline>
        </w:drawing>
      </w:r>
    </w:p>
    <w:p w:rsidR="005B6E85" w:rsidP="006F14E4" w:rsidRDefault="00FC1B6A" w14:paraId="6233D6E5" w14:textId="59986306">
      <w:r>
        <w:t xml:space="preserve">Het </w:t>
      </w:r>
      <w:r w:rsidR="0081703A">
        <w:t xml:space="preserve">verkennen van kansen voor slimme combinaties van OV met doelgroepenvervoer </w:t>
      </w:r>
      <w:r w:rsidR="00250CAB">
        <w:t>sluit ook aan bij het kabinet</w:t>
      </w:r>
      <w:r w:rsidR="00A86891">
        <w:t>s</w:t>
      </w:r>
      <w:r w:rsidR="00250CAB">
        <w:t>standpunt “Bereikbaarheid op Peil”</w:t>
      </w:r>
      <w:r w:rsidRPr="00A47E3F" w:rsidR="00250CAB">
        <w:rPr>
          <w:rStyle w:val="FootnoteReference"/>
        </w:rPr>
        <w:t xml:space="preserve"> </w:t>
      </w:r>
      <w:r w:rsidR="00250CAB">
        <w:rPr>
          <w:rStyle w:val="FootnoteReference"/>
        </w:rPr>
        <w:footnoteReference w:id="8"/>
      </w:r>
      <w:r w:rsidR="00250CAB">
        <w:t xml:space="preserve"> en de Mobiliteitsvisie 2050. Daarnaast past het </w:t>
      </w:r>
      <w:r w:rsidR="00902993">
        <w:t xml:space="preserve">thema </w:t>
      </w:r>
      <w:r w:rsidR="00250CAB">
        <w:t>binnen het VN</w:t>
      </w:r>
      <w:r w:rsidR="008D2CEA">
        <w:t>-v</w:t>
      </w:r>
      <w:r w:rsidR="00250CAB">
        <w:t xml:space="preserve">erdrag </w:t>
      </w:r>
      <w:r w:rsidR="008D2CEA">
        <w:t>H</w:t>
      </w:r>
      <w:r w:rsidR="00250CAB">
        <w:t xml:space="preserve">andicap en het Bestuursakkoord Toegankelijkheid OV 2032. </w:t>
      </w:r>
      <w:r w:rsidR="00716076">
        <w:t xml:space="preserve">Eén van de doelstellingen </w:t>
      </w:r>
      <w:r w:rsidR="00250CAB">
        <w:t>van het VN</w:t>
      </w:r>
      <w:r w:rsidR="008D2CEA">
        <w:t>-v</w:t>
      </w:r>
      <w:r w:rsidR="00250CAB">
        <w:t xml:space="preserve">erdrag </w:t>
      </w:r>
      <w:r w:rsidR="008D2CEA">
        <w:t>H</w:t>
      </w:r>
      <w:r w:rsidR="00250CAB">
        <w:t xml:space="preserve">andicap </w:t>
      </w:r>
      <w:r w:rsidR="00716076">
        <w:t>is</w:t>
      </w:r>
      <w:r w:rsidR="00C87130">
        <w:t xml:space="preserve"> dat alle belangrijke voorziening</w:t>
      </w:r>
      <w:r w:rsidR="00337580">
        <w:t>en</w:t>
      </w:r>
      <w:r w:rsidR="00C87130">
        <w:t xml:space="preserve"> voor alle Nederlanders bereikbaar moeten zijn</w:t>
      </w:r>
      <w:r w:rsidR="00250CAB">
        <w:t xml:space="preserve">. </w:t>
      </w:r>
    </w:p>
    <w:p w:rsidR="005B6E85" w:rsidRDefault="005B6E85" w14:paraId="208138E8" w14:textId="716E188C">
      <w:pPr>
        <w:spacing w:line="240" w:lineRule="auto"/>
      </w:pPr>
    </w:p>
    <w:p w:rsidRPr="00613DDF" w:rsidR="00C34AE1" w:rsidP="00C34AE1" w:rsidRDefault="0065029B" w14:paraId="037801E1" w14:textId="0466B3BB">
      <w:pPr>
        <w:rPr>
          <w:b/>
          <w:bCs/>
        </w:rPr>
      </w:pPr>
      <w:r w:rsidRPr="00613DDF">
        <w:rPr>
          <w:b/>
          <w:bCs/>
        </w:rPr>
        <w:t>Resultaten van de</w:t>
      </w:r>
      <w:r w:rsidR="00BD3D3F">
        <w:rPr>
          <w:b/>
          <w:bCs/>
        </w:rPr>
        <w:t xml:space="preserve"> v</w:t>
      </w:r>
      <w:r w:rsidRPr="00613DDF" w:rsidR="00C34AE1">
        <w:rPr>
          <w:b/>
          <w:bCs/>
        </w:rPr>
        <w:t>erkenning</w:t>
      </w:r>
    </w:p>
    <w:p w:rsidR="000C5F6F" w:rsidP="00EE4E8C" w:rsidRDefault="001B65FA" w14:paraId="1D37DF16" w14:textId="3608DAD4">
      <w:r>
        <w:t xml:space="preserve">Van september 2024 tot juli 2025 </w:t>
      </w:r>
      <w:r w:rsidR="008D2CEA">
        <w:t>is de</w:t>
      </w:r>
      <w:r>
        <w:t xml:space="preserve"> verkenning </w:t>
      </w:r>
      <w:r w:rsidR="003245E1">
        <w:t xml:space="preserve">naar </w:t>
      </w:r>
      <w:r>
        <w:t xml:space="preserve">publieke mobiliteit </w:t>
      </w:r>
      <w:r w:rsidR="008D2CEA">
        <w:t>uitgevoerd</w:t>
      </w:r>
      <w:r>
        <w:t xml:space="preserve">, </w:t>
      </w:r>
      <w:r w:rsidR="00BD68FF">
        <w:t xml:space="preserve">waarbij </w:t>
      </w:r>
      <w:r>
        <w:t>kostenneutraliteit als randvoorwaarde is meegegeven</w:t>
      </w:r>
      <w:r w:rsidR="009E0119">
        <w:t>.</w:t>
      </w:r>
      <w:r w:rsidR="00EE4E8C">
        <w:t xml:space="preserve"> </w:t>
      </w:r>
      <w:r w:rsidR="009F3487">
        <w:t>Bijgaand treft u de onafhankelijke</w:t>
      </w:r>
      <w:r w:rsidR="00EE4E8C">
        <w:t xml:space="preserve"> verkenning Publieke Mobiliteit </w:t>
      </w:r>
      <w:r w:rsidR="009F3487">
        <w:t>van bureau Berenschot aan</w:t>
      </w:r>
      <w:r w:rsidR="000C5F6F">
        <w:t>.</w:t>
      </w:r>
    </w:p>
    <w:p w:rsidR="00EE4E8C" w:rsidP="00BD3D3F" w:rsidRDefault="00EE4E8C" w14:paraId="7FEAD4D8" w14:textId="77777777"/>
    <w:p w:rsidRPr="00D11D41" w:rsidR="00BD3D3F" w:rsidP="00BD3D3F" w:rsidRDefault="008F32FD" w14:paraId="02793DA0" w14:textId="3647A591">
      <w:pPr>
        <w:rPr>
          <w:iCs/>
        </w:rPr>
      </w:pPr>
      <w:r>
        <w:t>Berenschot</w:t>
      </w:r>
      <w:r w:rsidR="000C5F6F">
        <w:t xml:space="preserve"> </w:t>
      </w:r>
      <w:r w:rsidR="002B34D8">
        <w:t xml:space="preserve">heeft </w:t>
      </w:r>
      <w:r w:rsidR="00A77562">
        <w:t xml:space="preserve">verkend hoe een </w:t>
      </w:r>
      <w:r w:rsidR="00BD3D3F">
        <w:t xml:space="preserve">systeem van </w:t>
      </w:r>
      <w:r w:rsidR="00A77562">
        <w:t xml:space="preserve">publieke mobiliteit eruit kan zien en wat </w:t>
      </w:r>
      <w:r w:rsidR="002428FE">
        <w:t>hiervoor nodig is wat betreft</w:t>
      </w:r>
      <w:r w:rsidR="00A77562">
        <w:t xml:space="preserve"> </w:t>
      </w:r>
      <w:r w:rsidR="00632FA4">
        <w:t>geld</w:t>
      </w:r>
      <w:r w:rsidR="00A77562">
        <w:t>stromen en aansturing van het vervoer</w:t>
      </w:r>
      <w:r w:rsidR="0081703A">
        <w:t>s</w:t>
      </w:r>
      <w:r w:rsidR="00A77562">
        <w:t>systeem.</w:t>
      </w:r>
      <w:r w:rsidR="009E0119">
        <w:t xml:space="preserve"> Berenschot heeft daarvoor meer dan vijftig relevante organisaties </w:t>
      </w:r>
      <w:r w:rsidR="000C5F6F">
        <w:t xml:space="preserve">en experts </w:t>
      </w:r>
      <w:r w:rsidR="009E0119">
        <w:t xml:space="preserve">gesproken. Daaruit blijkt dat </w:t>
      </w:r>
      <w:r w:rsidR="00343B81">
        <w:t>het model</w:t>
      </w:r>
      <w:r w:rsidR="00A46380">
        <w:t xml:space="preserve"> van </w:t>
      </w:r>
      <w:r w:rsidR="009E0119">
        <w:t xml:space="preserve">publieke mobiliteit </w:t>
      </w:r>
      <w:r w:rsidR="00902993">
        <w:t xml:space="preserve">bij deze partijen </w:t>
      </w:r>
      <w:r w:rsidR="009E0119">
        <w:t xml:space="preserve">op </w:t>
      </w:r>
      <w:r w:rsidR="00343B81">
        <w:t>veel interesse</w:t>
      </w:r>
      <w:r w:rsidR="009E0119">
        <w:t xml:space="preserve"> kan rekenen</w:t>
      </w:r>
      <w:r w:rsidR="00A46380">
        <w:t xml:space="preserve">. </w:t>
      </w:r>
      <w:r w:rsidR="00BD3D3F">
        <w:t xml:space="preserve">In het </w:t>
      </w:r>
      <w:r w:rsidR="000C5F6F">
        <w:t xml:space="preserve">geschetste </w:t>
      </w:r>
      <w:r w:rsidR="002428FE">
        <w:t>‘</w:t>
      </w:r>
      <w:r w:rsidR="00BD3D3F">
        <w:t>wenkend perspectief</w:t>
      </w:r>
      <w:r w:rsidR="002428FE">
        <w:t>’</w:t>
      </w:r>
      <w:r w:rsidR="00BD3D3F">
        <w:t xml:space="preserve"> voor publieke mobiliteit </w:t>
      </w:r>
      <w:r w:rsidR="000C5F6F">
        <w:t>beschrij</w:t>
      </w:r>
      <w:r w:rsidR="00164A18">
        <w:t xml:space="preserve">ven de onderzoekers </w:t>
      </w:r>
      <w:r w:rsidR="00BD3D3F">
        <w:t xml:space="preserve">een </w:t>
      </w:r>
      <w:r w:rsidR="00343B81">
        <w:t xml:space="preserve">model </w:t>
      </w:r>
      <w:r w:rsidR="00BD3D3F">
        <w:t>waarin alle reizigers gebruik</w:t>
      </w:r>
      <w:r w:rsidR="002A2799">
        <w:t xml:space="preserve"> </w:t>
      </w:r>
      <w:r w:rsidR="00BD3D3F">
        <w:t xml:space="preserve">kunnen maken van publiek gefinancierde mobiliteit. Het systeem is vraagafhankelijk, flexibel en wordt centraal aangestuurd. Voertuigen zijn op maat en toegankelijk voor reizigers met </w:t>
      </w:r>
      <w:r w:rsidR="006E0D5D">
        <w:t xml:space="preserve">en zonder </w:t>
      </w:r>
      <w:r w:rsidR="00BD3D3F">
        <w:t xml:space="preserve">een beperking. </w:t>
      </w:r>
      <w:r w:rsidR="00F1607D">
        <w:t xml:space="preserve">Afhankelijk van de mate van beperking zal een reiziger thuis dan wel bij een (virtuele) halte nabij huis worden opgehaald. </w:t>
      </w:r>
      <w:r w:rsidR="00BF035D">
        <w:rPr>
          <w:iCs/>
        </w:rPr>
        <w:t xml:space="preserve">Afhankelijk van de situatie zal het huidige regionale OV deels in stand blijven, </w:t>
      </w:r>
      <w:r w:rsidR="002363B8">
        <w:rPr>
          <w:iCs/>
        </w:rPr>
        <w:t>hierbij valt te denken aan</w:t>
      </w:r>
      <w:r w:rsidR="00BF035D">
        <w:rPr>
          <w:iCs/>
        </w:rPr>
        <w:t xml:space="preserve"> ‘dikke’ buslijnen, metro en tram. </w:t>
      </w:r>
      <w:r w:rsidR="002E7466">
        <w:t>D</w:t>
      </w:r>
      <w:r w:rsidR="00BD3D3F">
        <w:t>eelmobiliteit, mobiliteitshubs</w:t>
      </w:r>
      <w:r w:rsidR="0012018C">
        <w:t>,</w:t>
      </w:r>
      <w:r w:rsidR="00BD3D3F">
        <w:t xml:space="preserve"> private initiatieven</w:t>
      </w:r>
      <w:r w:rsidR="0012018C">
        <w:t xml:space="preserve"> en vrijwilligersvervoer</w:t>
      </w:r>
      <w:r w:rsidR="002E7466">
        <w:t xml:space="preserve"> kunnen </w:t>
      </w:r>
      <w:r w:rsidR="002363B8">
        <w:t xml:space="preserve">het aanbod van </w:t>
      </w:r>
      <w:r w:rsidR="002E7466">
        <w:t>publieke mobiliteit verder aanvullen</w:t>
      </w:r>
      <w:r w:rsidR="0012018C">
        <w:t>.</w:t>
      </w:r>
    </w:p>
    <w:p w:rsidR="00BD3D3F" w:rsidP="00BD3D3F" w:rsidRDefault="00BD3D3F" w14:paraId="512D6065" w14:textId="77777777"/>
    <w:p w:rsidR="00092B1C" w:rsidP="00BD3D3F" w:rsidRDefault="00BD3D3F" w14:paraId="0B036530" w14:textId="0482BF17">
      <w:r>
        <w:t xml:space="preserve">De verkenning laat zien dat </w:t>
      </w:r>
      <w:r w:rsidR="00D334AC">
        <w:t xml:space="preserve">het model van </w:t>
      </w:r>
      <w:r>
        <w:t>publieke mobiliteit de effectiviteit, toegankelijkheid en inclusiviteit van mobiliteit kan verbeteren</w:t>
      </w:r>
      <w:r w:rsidR="005C75EC">
        <w:t xml:space="preserve">. </w:t>
      </w:r>
      <w:r w:rsidR="00092B1C">
        <w:t xml:space="preserve">De integratie van </w:t>
      </w:r>
      <w:r w:rsidR="00A86891">
        <w:t>OV</w:t>
      </w:r>
      <w:r w:rsidR="00092B1C">
        <w:t xml:space="preserve"> en doelgroepenvervoer in combinatie met het loslaten van vaste </w:t>
      </w:r>
      <w:r w:rsidR="00A46380">
        <w:t xml:space="preserve">routes en </w:t>
      </w:r>
      <w:r w:rsidR="00092B1C">
        <w:t>halte</w:t>
      </w:r>
      <w:r w:rsidR="00A46380">
        <w:t>s</w:t>
      </w:r>
      <w:r w:rsidR="00092B1C">
        <w:t>, biedt reizigers de mogelijkheid om zelf ritten te boeken, waardoor voorzieningen op gewenste tijdstippen bereikbaar worden.</w:t>
      </w:r>
    </w:p>
    <w:p w:rsidR="001324F3" w:rsidP="00BD3D3F" w:rsidRDefault="001324F3" w14:paraId="4C8EE34C" w14:textId="77777777"/>
    <w:p w:rsidRPr="00605354" w:rsidR="00EF1E40" w:rsidP="00BD3D3F" w:rsidRDefault="005F09BB" w14:paraId="50165E94" w14:textId="3A6ACF8A">
      <w:pPr>
        <w:rPr>
          <w:b/>
          <w:bCs/>
        </w:rPr>
      </w:pPr>
      <w:r>
        <w:rPr>
          <w:b/>
          <w:bCs/>
        </w:rPr>
        <w:t>Nadere v</w:t>
      </w:r>
      <w:r w:rsidR="006370D4">
        <w:rPr>
          <w:b/>
          <w:bCs/>
        </w:rPr>
        <w:t>erbreding</w:t>
      </w:r>
      <w:r w:rsidR="00C9393B">
        <w:rPr>
          <w:b/>
          <w:bCs/>
        </w:rPr>
        <w:t xml:space="preserve"> om tot Kabinetsstandpunt te komen</w:t>
      </w:r>
    </w:p>
    <w:p w:rsidR="0043000F" w:rsidP="0043000F" w:rsidRDefault="001324F3" w14:paraId="114924F8" w14:textId="77777777">
      <w:r w:rsidRPr="006B5544">
        <w:t>Het geschetste wenkend perspectief biedt mogelijkheden voor de toekomst</w:t>
      </w:r>
      <w:r w:rsidR="000178E4">
        <w:t xml:space="preserve"> voor provincies</w:t>
      </w:r>
      <w:r w:rsidR="00493FD9">
        <w:t>, vervoerregio’s</w:t>
      </w:r>
      <w:r w:rsidR="000178E4">
        <w:t xml:space="preserve"> en gemeenten die de verschillende vormen van vervoer willen integreren</w:t>
      </w:r>
      <w:r w:rsidR="002B34D8">
        <w:t>.</w:t>
      </w:r>
      <w:r w:rsidR="000178E4">
        <w:t xml:space="preserve"> </w:t>
      </w:r>
      <w:r w:rsidRPr="006C5A58" w:rsidR="0043000F">
        <w:t>Invoering van publieke mobiliteit is geen sinecure. Het vraagt van overheden en vervoersbedrijven een andere attitude. Reizigers zullen moeten wennen aan een systeem met soms andere reispatronen. We zullen daarbij in het bijzonder aandacht besteden aan kwetsbare groepen.</w:t>
      </w:r>
    </w:p>
    <w:p w:rsidR="0043000F" w:rsidP="0043000F" w:rsidRDefault="0043000F" w14:paraId="1056CAB1" w14:textId="77777777"/>
    <w:p w:rsidR="000178E4" w:rsidP="00BD3D3F" w:rsidRDefault="000178E4" w14:paraId="34B92B68" w14:textId="0112206B">
      <w:r>
        <w:t>Publieke mobiliteit is niet een model dat landelijk dwingend wordt opgelegd, maar dat in specifieke regio’s kansen biedt om de bereikbaarheid te verbeteren. In welke situaties en onder welke voorwaarden dat het geval is vereist nadere uitwerking</w:t>
      </w:r>
      <w:r w:rsidRPr="0043000F">
        <w:t xml:space="preserve">. </w:t>
      </w:r>
      <w:r w:rsidRPr="0043000F" w:rsidR="0043000F">
        <w:t xml:space="preserve">Ik wil dit doen door verschillende scenario’s uit te werken waarmee het uiteindelijke ‘wenkend perspectief’ dichterbij kan worden gebracht. We doen dit ook door goed te kijken naar de regio’s waar publieke mobiliteit in de praktijk wordt gebracht. Ik verwacht dat hieruit zal blijken welke zaken door overheden en vervoerders moeten worden opgepakt om te komen tot verbeteringen. </w:t>
      </w:r>
    </w:p>
    <w:p w:rsidR="0043000F" w:rsidP="00BD3D3F" w:rsidRDefault="0043000F" w14:paraId="6ED10424" w14:textId="77777777"/>
    <w:p w:rsidR="00FE54B4" w:rsidP="000C5F6F" w:rsidRDefault="008967A8" w14:paraId="4ABCB11F" w14:textId="5A837EC1">
      <w:r>
        <w:t xml:space="preserve">Nadere uitwerking is gewenst op </w:t>
      </w:r>
      <w:r w:rsidR="000F03FA">
        <w:t>vijf</w:t>
      </w:r>
      <w:r>
        <w:t xml:space="preserve"> aanbevelingen die </w:t>
      </w:r>
      <w:r w:rsidR="002363B8">
        <w:t xml:space="preserve">door </w:t>
      </w:r>
      <w:r>
        <w:t>Berenschot</w:t>
      </w:r>
      <w:r w:rsidR="002363B8">
        <w:t xml:space="preserve"> zijn geformulieerd</w:t>
      </w:r>
      <w:r w:rsidR="002B34D8">
        <w:t xml:space="preserve"> </w:t>
      </w:r>
      <w:r w:rsidR="007D2543">
        <w:t xml:space="preserve">ten aanzien </w:t>
      </w:r>
      <w:r w:rsidR="002B34D8">
        <w:t xml:space="preserve">van reizigersbehoeften, regionale aanpak, </w:t>
      </w:r>
      <w:r w:rsidR="00C51252">
        <w:t>geldstromen</w:t>
      </w:r>
      <w:r w:rsidR="000F03FA">
        <w:t>,</w:t>
      </w:r>
      <w:r w:rsidRPr="000F03FA" w:rsidR="000F03FA">
        <w:t xml:space="preserve"> </w:t>
      </w:r>
      <w:r w:rsidR="000F03FA">
        <w:t>instituties</w:t>
      </w:r>
      <w:r w:rsidR="00C51252">
        <w:t xml:space="preserve"> </w:t>
      </w:r>
      <w:r w:rsidR="002B34D8">
        <w:t>en aansturing.</w:t>
      </w:r>
      <w:r w:rsidR="00A6284E">
        <w:t xml:space="preserve"> </w:t>
      </w:r>
      <w:r w:rsidR="005F09BB">
        <w:t>Dit zal bijdragen aan een bredere visie ten aanzien van publieke mobiliteit en het mogelijk maken om vervolgens te werken aan een Kabinetsstandpunt publieke mobiliteit.</w:t>
      </w:r>
    </w:p>
    <w:p w:rsidR="00A6284E" w:rsidP="00A6284E" w:rsidRDefault="00A6284E" w14:paraId="51086D04" w14:textId="77777777">
      <w:pPr>
        <w:rPr>
          <w:i/>
          <w:iCs/>
        </w:rPr>
      </w:pPr>
    </w:p>
    <w:p w:rsidR="00C8469D" w:rsidP="00C8469D" w:rsidRDefault="00C8469D" w14:paraId="6877333E" w14:textId="02307C64">
      <w:pPr>
        <w:rPr>
          <w:i/>
          <w:iCs/>
        </w:rPr>
      </w:pPr>
      <w:r>
        <w:rPr>
          <w:i/>
          <w:iCs/>
        </w:rPr>
        <w:t>Reizigersgedrag en -behoeften</w:t>
      </w:r>
    </w:p>
    <w:p w:rsidRPr="0043000F" w:rsidR="0043000F" w:rsidP="0043000F" w:rsidRDefault="0043000F" w14:paraId="46A86E91" w14:textId="16EC5624">
      <w:r w:rsidRPr="0043000F">
        <w:t>Publieke mobiliteit moet voor reizigers met en zonder een beperking leiden tot een betere bereikbaarheid van voorzieningen en toegankelijkheid van mobiliteit</w:t>
      </w:r>
      <w:r>
        <w:t xml:space="preserve">. </w:t>
      </w:r>
      <w:r w:rsidR="00C8469D">
        <w:t>De effecten van het bundelen van reizigers</w:t>
      </w:r>
      <w:r w:rsidR="008A3D2F">
        <w:t xml:space="preserve"> </w:t>
      </w:r>
      <w:r w:rsidR="00177322">
        <w:t xml:space="preserve">uit het </w:t>
      </w:r>
      <w:r w:rsidR="00C8469D">
        <w:t xml:space="preserve">OV en </w:t>
      </w:r>
      <w:r w:rsidR="00177322">
        <w:t>doelgroepenvervoer</w:t>
      </w:r>
      <w:r w:rsidR="00C8469D">
        <w:t xml:space="preserve"> en het meer vraagafhankelijk maken van het openbaar vervoer zijn maar in beperkte mate bekend. In een aantal regio’s wordt momenteel weliswaar gewerkt aan de transitie naar publieke mobiliteit, maar is er nog onvoldoende zicht op de effecten op de verschillende reizigersgroepen. In de komende periode gaan we met een aantal regio’s onderzoeken onder welke condities </w:t>
      </w:r>
      <w:r w:rsidR="00B651BF">
        <w:t xml:space="preserve">de verschillende </w:t>
      </w:r>
      <w:r w:rsidR="00C8469D">
        <w:t>reizigers</w:t>
      </w:r>
      <w:r w:rsidR="00B651BF">
        <w:t>stromen</w:t>
      </w:r>
      <w:r w:rsidR="00C8469D">
        <w:t xml:space="preserve"> in gezamenlijkheid kunnen reizen. </w:t>
      </w:r>
      <w:r w:rsidR="00D70EF7">
        <w:t>Ook</w:t>
      </w:r>
      <w:r w:rsidR="00C8469D">
        <w:t xml:space="preserve"> stellen we dan vast wat dit vergt voor de toegankelijkheid van voertuigen en haltes en hoe vraag en aanbod slim tot elkaar gebracht kunnen worden</w:t>
      </w:r>
      <w:r w:rsidR="002363B8">
        <w:t xml:space="preserve">, </w:t>
      </w:r>
      <w:r w:rsidR="000C1AA0">
        <w:t>door een mobiliteitscentrale te gebruiken</w:t>
      </w:r>
      <w:r w:rsidR="00C8469D">
        <w:t>.</w:t>
      </w:r>
      <w:r w:rsidR="002363B8">
        <w:t xml:space="preserve"> </w:t>
      </w:r>
      <w:r w:rsidR="007574A7">
        <w:t>Publieke mobiliteit moet ook voor reizigers met een beperking leiden tot een betere toegankelijkheid van mobiliteit</w:t>
      </w:r>
      <w:r w:rsidRPr="0043000F" w:rsidR="007574A7">
        <w:t>.</w:t>
      </w:r>
      <w:r w:rsidRPr="0043000F">
        <w:t xml:space="preserve"> De praktijkproeven dienen ook inzichtelijk te maken wat publieke mobiliteit vergt voor de toegankelijkheid van voertuigen en haltes. Het VN-verdrag Handicap is daarbij leidend. </w:t>
      </w:r>
    </w:p>
    <w:p w:rsidRPr="0043000F" w:rsidR="0043000F" w:rsidP="0043000F" w:rsidRDefault="0043000F" w14:paraId="46A69228" w14:textId="77777777"/>
    <w:p w:rsidRPr="0043000F" w:rsidR="0043000F" w:rsidP="0043000F" w:rsidRDefault="0043000F" w14:paraId="7F41EE6E" w14:textId="4A404325">
      <w:pPr>
        <w:rPr>
          <w:i/>
          <w:iCs/>
        </w:rPr>
      </w:pPr>
      <w:r w:rsidRPr="0043000F">
        <w:rPr>
          <w:i/>
          <w:iCs/>
        </w:rPr>
        <w:t>De kosten van publieke mobiliteit</w:t>
      </w:r>
    </w:p>
    <w:p w:rsidR="00C8469D" w:rsidP="00C8469D" w:rsidRDefault="000C1AA0" w14:paraId="009B810D" w14:textId="177505FE">
      <w:r>
        <w:t>Publieke mobiliteit gaat uit van kostenneutraliteit: h</w:t>
      </w:r>
      <w:r w:rsidRPr="0043000F" w:rsidR="0043000F">
        <w:t>et uitgangspunt is dat het nieuwe systeem niet meer kost dan de afzonderlijke systemen samen. Het is voor overheden uitdagend om financiële stromen samen te voegen en daarover goede afspraken te maken. De vraag is hoe een vraagafhankelijk vervoerssysteem zodanig kan worden geëxploiteerd dat het zowel voldoet aan de wensen van reizigers als aan de financiële randvoorwaarden. Deze vraag heeft onze bijzondere aandacht bij de ervaringen die momenteel in de regio’s worden opgedaan. We vragen de regio’s om informatie over de kosten en opbrengsten van het nieuwe systeem te delen zodat we voor verschillende situaties vast kunnen stellen onder welke condities publieke mobiliteit op een kostenneutrale wijze kan functioneren.</w:t>
      </w:r>
    </w:p>
    <w:p w:rsidR="00C8469D" w:rsidP="00C8469D" w:rsidRDefault="00C8469D" w14:paraId="257F4382" w14:textId="77777777"/>
    <w:p w:rsidRPr="00605354" w:rsidR="00C8469D" w:rsidP="00C8469D" w:rsidRDefault="00C8469D" w14:paraId="726C3C5C" w14:textId="28397972">
      <w:pPr>
        <w:rPr>
          <w:i/>
          <w:iCs/>
        </w:rPr>
      </w:pPr>
      <w:r>
        <w:rPr>
          <w:i/>
          <w:iCs/>
        </w:rPr>
        <w:t>Aan de slag op regionaal niveau</w:t>
      </w:r>
    </w:p>
    <w:p w:rsidR="0048071E" w:rsidP="0043000F" w:rsidRDefault="00B84B76" w14:paraId="0F63ED28" w14:textId="77777777">
      <w:r>
        <w:t xml:space="preserve">Een belangrijke aanbeveling van Berenschot is om in regio’s aan de slag te gaan met publieke </w:t>
      </w:r>
      <w:r w:rsidR="00177322">
        <w:t>mobiliteit</w:t>
      </w:r>
      <w:r>
        <w:t xml:space="preserve">, om zo samen </w:t>
      </w:r>
      <w:r w:rsidR="000C1AA0">
        <w:t xml:space="preserve">met medeoverheden en marktpartijen </w:t>
      </w:r>
      <w:r>
        <w:t xml:space="preserve">ervaring op te doen en verder op te kunnen schalen. </w:t>
      </w:r>
      <w:r w:rsidR="00177322">
        <w:t>Bij het vorige BO MIRT is hiervoor €</w:t>
      </w:r>
      <w:r w:rsidR="00D70EF7">
        <w:t xml:space="preserve"> </w:t>
      </w:r>
      <w:r w:rsidR="00177322">
        <w:t xml:space="preserve">5 mln. </w:t>
      </w:r>
      <w:r w:rsidR="00164A18">
        <w:t>g</w:t>
      </w:r>
      <w:r w:rsidR="00177322">
        <w:t>ereserveerd</w:t>
      </w:r>
      <w:r w:rsidR="00164A18">
        <w:t xml:space="preserve"> door IenW</w:t>
      </w:r>
      <w:r w:rsidR="00177322">
        <w:t xml:space="preserve">. </w:t>
      </w:r>
      <w:r>
        <w:t>Met</w:t>
      </w:r>
      <w:r w:rsidR="00C8469D">
        <w:t xml:space="preserve"> de provincie Zeeland en de regio Drechtsteden </w:t>
      </w:r>
      <w:r>
        <w:t xml:space="preserve">zijn </w:t>
      </w:r>
      <w:r w:rsidR="00312E38">
        <w:t xml:space="preserve">hierover inmiddels </w:t>
      </w:r>
      <w:r w:rsidR="00C8469D">
        <w:t xml:space="preserve">afspraken gemaakt en </w:t>
      </w:r>
      <w:r w:rsidR="00312E38">
        <w:t>momenteel ben ik in gesprek met een vijftal andere regio’s</w:t>
      </w:r>
      <w:r w:rsidR="0046057F">
        <w:t xml:space="preserve">. </w:t>
      </w:r>
      <w:r>
        <w:t xml:space="preserve">Het </w:t>
      </w:r>
      <w:r w:rsidR="0046057F">
        <w:t>betreft</w:t>
      </w:r>
      <w:r>
        <w:t xml:space="preserve"> Overijssel, Flevoland, Achterhoek, MRDH en Utrecht. In elk van de regio’s gaan we stapsgewijs aan de slag om ervaring op te doen</w:t>
      </w:r>
      <w:r w:rsidR="00C51252">
        <w:t xml:space="preserve"> en investeren Rijk en regio in dezelfde verhouding. </w:t>
      </w:r>
      <w:r w:rsidR="0001251A">
        <w:t xml:space="preserve">Leerervaringen worden door de verschillende regio’s met elkaar gedeeld. Deze ervaringen zijn niet alleen op regionaal niveau van belang, maar ook op rijksniveau. Het </w:t>
      </w:r>
      <w:r w:rsidR="000C1AA0">
        <w:t>geeft</w:t>
      </w:r>
      <w:r w:rsidR="0001251A">
        <w:t xml:space="preserve"> het rijk </w:t>
      </w:r>
      <w:r w:rsidR="000C1AA0">
        <w:t xml:space="preserve">inzicht in </w:t>
      </w:r>
      <w:r w:rsidR="0001251A">
        <w:t>welke randvoorwaarden aan regio’s gesteld kunnen worden</w:t>
      </w:r>
      <w:r w:rsidR="000C1AA0">
        <w:t>, in hoeverre</w:t>
      </w:r>
      <w:r w:rsidR="0001251A">
        <w:t xml:space="preserve"> dit binnen de huidige wet- en regelgeving mogelijk is en het leert regio’s welke eisen opgenomen kunnen worden in een aanbesteding.</w:t>
      </w:r>
      <w:r w:rsidR="002817C0">
        <w:t xml:space="preserve"> </w:t>
      </w:r>
      <w:r>
        <w:t>In de provincie</w:t>
      </w:r>
      <w:r w:rsidR="00C8469D">
        <w:t xml:space="preserve"> Zeeland </w:t>
      </w:r>
      <w:r>
        <w:t xml:space="preserve">is </w:t>
      </w:r>
      <w:r w:rsidR="00C8469D">
        <w:t xml:space="preserve">begin </w:t>
      </w:r>
      <w:r>
        <w:t>2025</w:t>
      </w:r>
      <w:r w:rsidR="00C8469D">
        <w:t xml:space="preserve"> gestart is met de introductie van publieke mobiliteit</w:t>
      </w:r>
      <w:r w:rsidR="000C1AA0">
        <w:t>: m</w:t>
      </w:r>
      <w:r w:rsidR="00C8469D">
        <w:t>et ‘De Flex’ is er een netwerk van busjes</w:t>
      </w:r>
      <w:r w:rsidRPr="009A6561" w:rsidR="00C8469D">
        <w:t xml:space="preserve"> </w:t>
      </w:r>
      <w:r w:rsidR="00C8469D">
        <w:t xml:space="preserve">actief dat voor alle reizigers op afroep beschikbaar </w:t>
      </w:r>
      <w:r w:rsidR="00312E38">
        <w:t>is</w:t>
      </w:r>
      <w:r w:rsidR="00C8469D">
        <w:t xml:space="preserve">. Vanuit een publieke mobiliteitscentrale worden vraag en aanbod op elkaar afgestemd. De eerste ervaringen van reizigers zijn positief. </w:t>
      </w:r>
      <w:r w:rsidR="0001251A">
        <w:t xml:space="preserve">IenW </w:t>
      </w:r>
      <w:r w:rsidR="00BD68FF">
        <w:t xml:space="preserve">draagt </w:t>
      </w:r>
      <w:r w:rsidR="006417A5">
        <w:t xml:space="preserve">50% bij aan </w:t>
      </w:r>
      <w:r w:rsidR="0001251A">
        <w:t>deze ontwikkeling</w:t>
      </w:r>
      <w:r w:rsidR="006417A5">
        <w:t>, zijnde € 6 mln.</w:t>
      </w:r>
      <w:r w:rsidR="00D35E28">
        <w:t xml:space="preserve"> </w:t>
      </w:r>
    </w:p>
    <w:p w:rsidR="0048071E" w:rsidP="0043000F" w:rsidRDefault="0048071E" w14:paraId="67CE4515" w14:textId="77777777"/>
    <w:p w:rsidR="0043000F" w:rsidP="0043000F" w:rsidRDefault="00D35E28" w14:paraId="17659293" w14:textId="076BE2AD">
      <w:r w:rsidRPr="00D35E28">
        <w:t>Deze manier van werken vanuit regionaal perspectief sluit tevens aan bij het in de verkenning aangehaalde adviesrapport Elke regio telt! Met de 11 regio’s uit het Nationaal Programma Vitale Regio’s (NPVR), waarvan enkele reeds betrokken zijn, werken we aan verdere opschaling van de aanpak om zodoende bij te dragen aan de duurzame bereikbaarheid van voorzieningen.</w:t>
      </w:r>
    </w:p>
    <w:p w:rsidR="00592C24" w:rsidP="00C8469D" w:rsidRDefault="00592C24" w14:paraId="263C9D9E" w14:textId="77777777"/>
    <w:p w:rsidR="00C8469D" w:rsidP="00C8469D" w:rsidRDefault="0043000F" w14:paraId="4FFAF21A" w14:textId="4E652501">
      <w:r w:rsidRPr="0043000F">
        <w:t xml:space="preserve">Vanwege het flexibele karakter en het belang om voor specifieke doelgroepen stipt op tijd te rijden, zie ik mogelijkheden voor een experiment met autonoom vervoer. </w:t>
      </w:r>
      <w:r w:rsidR="000C1AA0">
        <w:t>W</w:t>
      </w:r>
      <w:r w:rsidRPr="000C1AA0" w:rsidR="000C1AA0">
        <w:t>aar mogelijk en indien opportuun wordt aansluiting gezocht bij de pilots die ik heb aangekondigd met autonoom wegvervoer in het OV</w:t>
      </w:r>
      <w:r w:rsidR="000C1AA0">
        <w:t xml:space="preserve">. </w:t>
      </w:r>
    </w:p>
    <w:p w:rsidR="009A77BD" w:rsidP="00C8469D" w:rsidRDefault="009A77BD" w14:paraId="218A22DD" w14:textId="77777777"/>
    <w:p w:rsidRPr="006B5544" w:rsidR="00055576" w:rsidP="00055576" w:rsidRDefault="00055576" w14:paraId="2E5B36D3" w14:textId="4E08BD3C">
      <w:pPr>
        <w:rPr>
          <w:i/>
          <w:iCs/>
        </w:rPr>
      </w:pPr>
      <w:r w:rsidRPr="006B5544">
        <w:rPr>
          <w:i/>
          <w:iCs/>
        </w:rPr>
        <w:t>Inzichtelijk maken van geldstromen</w:t>
      </w:r>
    </w:p>
    <w:p w:rsidR="00592C24" w:rsidP="00592C24" w:rsidRDefault="00592C24" w14:paraId="22C0DD94" w14:textId="7B4F1C8D">
      <w:r>
        <w:t>H</w:t>
      </w:r>
      <w:r w:rsidRPr="006B5544">
        <w:t xml:space="preserve">et OV </w:t>
      </w:r>
      <w:r>
        <w:t xml:space="preserve">wordt momenteel </w:t>
      </w:r>
      <w:r w:rsidRPr="006B5544">
        <w:t xml:space="preserve">via </w:t>
      </w:r>
      <w:r>
        <w:t xml:space="preserve">de Rijksbegroting (IenW, OCW), </w:t>
      </w:r>
      <w:r w:rsidRPr="006B5544">
        <w:t xml:space="preserve">het </w:t>
      </w:r>
      <w:r>
        <w:t>P</w:t>
      </w:r>
      <w:r w:rsidRPr="006B5544">
        <w:t>rovinciefonds en de BDU bekostigd en het doelgroepenvervoer</w:t>
      </w:r>
      <w:r w:rsidR="000C1AA0">
        <w:t xml:space="preserve"> wordt</w:t>
      </w:r>
      <w:r w:rsidRPr="006B5544">
        <w:t xml:space="preserve"> grotendeels via het gemeentefonds</w:t>
      </w:r>
      <w:r w:rsidR="000C1AA0">
        <w:t xml:space="preserve"> gefinancierd</w:t>
      </w:r>
      <w:r w:rsidRPr="006B5544">
        <w:t xml:space="preserve">. Integratie van vervoersvormen </w:t>
      </w:r>
      <w:r>
        <w:t xml:space="preserve">betekent volgens Berenschot </w:t>
      </w:r>
      <w:r w:rsidRPr="006B5544">
        <w:t xml:space="preserve">dat de geldstromen eveneens geïntegreerd </w:t>
      </w:r>
      <w:r w:rsidR="000C1AA0">
        <w:t xml:space="preserve">en/of </w:t>
      </w:r>
      <w:r w:rsidRPr="006B5544">
        <w:t xml:space="preserve">gebundeld dienen te worden. </w:t>
      </w:r>
      <w:r>
        <w:t>Ik vind het te vroeg om deze aanbeveling over te nemen en zal, in gezamenlijkheid met de andere departementen, de</w:t>
      </w:r>
      <w:r w:rsidR="000C1AA0">
        <w:t xml:space="preserve"> betrokken</w:t>
      </w:r>
      <w:r>
        <w:t xml:space="preserve"> regio’s, decentrale overheden en relevante organisaties nader uitwerken welke varianten werkbaar zijn voor het richten, stroomlijnen </w:t>
      </w:r>
      <w:r w:rsidRPr="00966986">
        <w:t>of eventueel bundelen van geldstromen. Hierbij zal ik ook</w:t>
      </w:r>
      <w:r>
        <w:t>, wanneer nodig met de betrokken partners,</w:t>
      </w:r>
      <w:r w:rsidRPr="00966986">
        <w:t xml:space="preserve"> de huidige geldstromen </w:t>
      </w:r>
      <w:r>
        <w:t xml:space="preserve">zo goed als mogelijk </w:t>
      </w:r>
      <w:r w:rsidRPr="00966986">
        <w:t xml:space="preserve">in kaart brengen. </w:t>
      </w:r>
      <w:r w:rsidR="000C1AA0">
        <w:t>Voor</w:t>
      </w:r>
      <w:r w:rsidRPr="00966986">
        <w:t xml:space="preserve"> het OV zijn deze</w:t>
      </w:r>
      <w:r w:rsidR="000C1AA0">
        <w:t xml:space="preserve"> geldstromen</w:t>
      </w:r>
      <w:r w:rsidRPr="00966986">
        <w:t xml:space="preserve"> vrij snel inzichtelijk te maken. Voor het doelgroepenvervoer ligt dit anders, aangezien per gemeente </w:t>
      </w:r>
      <w:r>
        <w:t>in kaart moet worden gebracht</w:t>
      </w:r>
      <w:r w:rsidRPr="00966986">
        <w:t xml:space="preserve"> welke bedragen hieraan worden uitgegeven. Binnenkort start een studie naar de macr</w:t>
      </w:r>
      <w:r w:rsidR="000C1AA0">
        <w:t>o</w:t>
      </w:r>
      <w:r w:rsidRPr="00966986">
        <w:t xml:space="preserve">financiering van het openbaar vervoer. Vanuit deze studie zal ik de link leggen naar de financiering van publieke mobiliteit. Hieraan voorafgaand zal ik </w:t>
      </w:r>
      <w:r>
        <w:t xml:space="preserve">trachten </w:t>
      </w:r>
      <w:r w:rsidRPr="00966986">
        <w:t xml:space="preserve">eerst alle geldstromen in beeld </w:t>
      </w:r>
      <w:r w:rsidR="000C1AA0">
        <w:t xml:space="preserve">te </w:t>
      </w:r>
      <w:r w:rsidRPr="00966986">
        <w:t>brengen. Voor het OV, leerlingenvervoer en studentenreisproduct zijn de gegevens voorhanden, maar voor een aantal doelgroepenvervoervormen (o.a. WMO) dient dit nog te gebeuren.</w:t>
      </w:r>
    </w:p>
    <w:p w:rsidR="00C8469D" w:rsidP="000C5F6F" w:rsidRDefault="00C8469D" w14:paraId="43772FF0" w14:textId="77777777"/>
    <w:p w:rsidRPr="006B5544" w:rsidR="00312E38" w:rsidP="00312E38" w:rsidRDefault="00312E38" w14:paraId="1E591EAD" w14:textId="77777777">
      <w:pPr>
        <w:rPr>
          <w:i/>
          <w:iCs/>
        </w:rPr>
      </w:pPr>
      <w:r>
        <w:rPr>
          <w:i/>
          <w:iCs/>
        </w:rPr>
        <w:t>Analyse op aansturing</w:t>
      </w:r>
      <w:r w:rsidRPr="006B5544">
        <w:rPr>
          <w:i/>
          <w:iCs/>
        </w:rPr>
        <w:t>, verantwoordelijkheden, wet- en regelgeving</w:t>
      </w:r>
    </w:p>
    <w:p w:rsidR="00552CE2" w:rsidP="009A77BD" w:rsidRDefault="00312E38" w14:paraId="4EAF68CD" w14:textId="269CA849">
      <w:r>
        <w:t>P</w:t>
      </w:r>
      <w:r w:rsidRPr="006B5544">
        <w:t xml:space="preserve">ubliek (mede)gefinancierde vervoersvormen worden door verschillende overheden aangestuurd. </w:t>
      </w:r>
      <w:r>
        <w:t xml:space="preserve">Berenschot </w:t>
      </w:r>
      <w:r w:rsidRPr="006B5544">
        <w:t>adviseert centralisatie op rijks</w:t>
      </w:r>
      <w:r>
        <w:t>-</w:t>
      </w:r>
      <w:r w:rsidRPr="006B5544">
        <w:t xml:space="preserve"> en decentraal niveau</w:t>
      </w:r>
      <w:r>
        <w:t xml:space="preserve">, met één departement als hoeder van het </w:t>
      </w:r>
      <w:r w:rsidR="007E5C15">
        <w:t>totale publieke mobiliteits</w:t>
      </w:r>
      <w:r>
        <w:t xml:space="preserve">systeem. </w:t>
      </w:r>
      <w:r w:rsidR="00552CE2">
        <w:t xml:space="preserve">Met mijn collega’s van OCW en VWS ben ik van mening dat </w:t>
      </w:r>
      <w:r w:rsidR="007E5C15">
        <w:t xml:space="preserve">een goede aansturing van wezenlijk belang is voor de ontwikkeling van publieke mobiliteit. Het is echter te vroeg om nu al </w:t>
      </w:r>
      <w:r w:rsidR="004B6D52">
        <w:t xml:space="preserve">te </w:t>
      </w:r>
      <w:r w:rsidR="00CD1F91">
        <w:t>concluderen dat daarvoor centralisatie vereist is</w:t>
      </w:r>
      <w:r w:rsidR="004B6D52">
        <w:t xml:space="preserve">. </w:t>
      </w:r>
      <w:r w:rsidR="00CD1F91">
        <w:t xml:space="preserve">Er zijn, binnen de bestaande wettelijke verantwoordelijkheidsverdeling, ook andere manieren voor overheden om effectief samen te werken. Ik ga </w:t>
      </w:r>
      <w:r w:rsidR="009E2CAB">
        <w:t xml:space="preserve">hiertoe </w:t>
      </w:r>
      <w:r w:rsidR="00CD1F91">
        <w:t xml:space="preserve">met mijn collega’s van OCW en </w:t>
      </w:r>
      <w:r w:rsidR="00D70EF7">
        <w:t>VWS scenario’s</w:t>
      </w:r>
      <w:r w:rsidR="00CD1F91">
        <w:t xml:space="preserve"> uitwerken</w:t>
      </w:r>
      <w:r w:rsidR="009E2CAB">
        <w:t xml:space="preserve">. </w:t>
      </w:r>
      <w:r w:rsidR="00CD1F91">
        <w:t xml:space="preserve">Waar dit vraagstuk de decentrale aansturing betreft, zal ik de samenwerking zoeken met </w:t>
      </w:r>
      <w:r w:rsidR="0085795A">
        <w:t xml:space="preserve">BZK, </w:t>
      </w:r>
      <w:r w:rsidR="00CD1F91">
        <w:t>IPO, VNG, DOVA en VDVN</w:t>
      </w:r>
      <w:r w:rsidR="00CD1F91">
        <w:rPr>
          <w:rStyle w:val="FootnoteReference"/>
        </w:rPr>
        <w:footnoteReference w:id="9"/>
      </w:r>
      <w:r w:rsidR="00CD1F91">
        <w:t>.</w:t>
      </w:r>
    </w:p>
    <w:p w:rsidR="004B51E8" w:rsidP="009A77BD" w:rsidRDefault="004B51E8" w14:paraId="6A91DD97" w14:textId="77777777"/>
    <w:p w:rsidR="004B51E8" w:rsidP="004B51E8" w:rsidRDefault="001077E9" w14:paraId="1FA028DE" w14:textId="0BFF5176">
      <w:pPr>
        <w:rPr>
          <w:b/>
          <w:bCs/>
          <w:color w:val="auto"/>
        </w:rPr>
      </w:pPr>
      <w:r>
        <w:rPr>
          <w:b/>
          <w:bCs/>
        </w:rPr>
        <w:t>Vervolg</w:t>
      </w:r>
    </w:p>
    <w:p w:rsidRPr="002817C0" w:rsidR="004B51E8" w:rsidP="009A77BD" w:rsidRDefault="004B51E8" w14:paraId="7BB3AB60" w14:textId="472BF154">
      <w:pPr>
        <w:rPr>
          <w:rFonts w:ascii="Aptos" w:hAnsi="Aptos" w:cs="Aptos" w:eastAsiaTheme="minorHAnsi"/>
          <w:sz w:val="24"/>
          <w:szCs w:val="24"/>
        </w:rPr>
      </w:pPr>
      <w:r>
        <w:t>De verbredingsfase start begin 2026. Na afronding zal ik u over de resultaten informeren</w:t>
      </w:r>
      <w:r w:rsidR="002817C0">
        <w:t xml:space="preserve"> en over de </w:t>
      </w:r>
      <w:r>
        <w:t xml:space="preserve">stand van zaken van de regionale projecten. </w:t>
      </w:r>
    </w:p>
    <w:p w:rsidRPr="006B5544" w:rsidR="00180D4E" w:rsidP="00C34AE1" w:rsidRDefault="00180D4E" w14:paraId="6CB4B3C2" w14:textId="77777777"/>
    <w:p w:rsidR="00E96297" w:rsidP="00A15AE5" w:rsidRDefault="008111A1" w14:paraId="501EA570" w14:textId="4D4F3B00">
      <w:r w:rsidRPr="006B5544">
        <w:t>Hoogachtend</w:t>
      </w:r>
      <w:r>
        <w:t>,</w:t>
      </w:r>
    </w:p>
    <w:p w:rsidR="00E96297" w:rsidRDefault="008111A1" w14:paraId="42BD904E" w14:textId="77777777">
      <w:pPr>
        <w:pStyle w:val="OndertekeningArea1"/>
      </w:pPr>
      <w:r>
        <w:t>DE STAATSSECRETARIS VAN INFRASTRUCTUUR EN WATERSTAAT - OPENBAAR VERVOER EN MILIEU,</w:t>
      </w:r>
    </w:p>
    <w:p w:rsidR="00E96297" w:rsidRDefault="00E96297" w14:paraId="7D55D946" w14:textId="77777777"/>
    <w:p w:rsidR="00E96297" w:rsidRDefault="00E96297" w14:paraId="617D4392" w14:textId="77777777"/>
    <w:p w:rsidR="00E96297" w:rsidRDefault="00E96297" w14:paraId="1D961CAC" w14:textId="77777777"/>
    <w:p w:rsidR="00E96297" w:rsidRDefault="00E96297" w14:paraId="22D6A3CA" w14:textId="77777777"/>
    <w:p w:rsidR="008C4719" w:rsidP="005A6964" w:rsidRDefault="008111A1" w14:paraId="29AF4368" w14:textId="648EA007">
      <w:pPr>
        <w:tabs>
          <w:tab w:val="left" w:pos="2424"/>
          <w:tab w:val="left" w:pos="4812"/>
        </w:tabs>
      </w:pPr>
      <w:r>
        <w:t>A.A. (Thierry) Aartsen</w:t>
      </w:r>
      <w:r w:rsidR="005A6964">
        <w:tab/>
      </w:r>
      <w:r w:rsidR="005A6964">
        <w:tab/>
      </w:r>
    </w:p>
    <w:sectPr w:rsidR="008C4719">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EF8A0" w14:textId="77777777" w:rsidR="00406D50" w:rsidRDefault="00406D50">
      <w:pPr>
        <w:spacing w:line="240" w:lineRule="auto"/>
      </w:pPr>
      <w:r>
        <w:separator/>
      </w:r>
    </w:p>
  </w:endnote>
  <w:endnote w:type="continuationSeparator" w:id="0">
    <w:p w14:paraId="3BABA44F" w14:textId="77777777" w:rsidR="00406D50" w:rsidRDefault="00406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7EED" w14:textId="77777777" w:rsidR="00BD68FF" w:rsidRDefault="00BD6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75DFD" w14:textId="2B305735" w:rsidR="00EA54A9" w:rsidRDefault="00EA54A9">
    <w:pPr>
      <w:pStyle w:val="Footer"/>
    </w:pPr>
  </w:p>
  <w:p w14:paraId="14F22C7B" w14:textId="77777777" w:rsidR="00EA54A9" w:rsidRDefault="00EA54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0FF4" w14:textId="77777777" w:rsidR="00BD68FF" w:rsidRDefault="00BD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AF942" w14:textId="77777777" w:rsidR="00406D50" w:rsidRDefault="00406D50">
      <w:pPr>
        <w:spacing w:line="240" w:lineRule="auto"/>
      </w:pPr>
      <w:r>
        <w:separator/>
      </w:r>
    </w:p>
  </w:footnote>
  <w:footnote w:type="continuationSeparator" w:id="0">
    <w:p w14:paraId="0B339C88" w14:textId="77777777" w:rsidR="00406D50" w:rsidRDefault="00406D50">
      <w:pPr>
        <w:spacing w:line="240" w:lineRule="auto"/>
      </w:pPr>
      <w:r>
        <w:continuationSeparator/>
      </w:r>
    </w:p>
  </w:footnote>
  <w:footnote w:id="1">
    <w:p w14:paraId="3BE22457" w14:textId="10BCE236" w:rsidR="003E2413" w:rsidRDefault="003E2413">
      <w:pPr>
        <w:pStyle w:val="FootnoteText"/>
      </w:pPr>
      <w:r w:rsidRPr="0057742D">
        <w:rPr>
          <w:rStyle w:val="FootnoteReference"/>
          <w:sz w:val="15"/>
          <w:szCs w:val="15"/>
        </w:rPr>
        <w:footnoteRef/>
      </w:r>
      <w:r w:rsidRPr="0057742D">
        <w:rPr>
          <w:sz w:val="15"/>
          <w:szCs w:val="15"/>
        </w:rPr>
        <w:t xml:space="preserve"> Kamerstuk</w:t>
      </w:r>
      <w:r w:rsidRPr="003E2413">
        <w:rPr>
          <w:sz w:val="15"/>
          <w:szCs w:val="15"/>
        </w:rPr>
        <w:t xml:space="preserve"> 23645-850 en Toezegging TZ202507-093</w:t>
      </w:r>
    </w:p>
  </w:footnote>
  <w:footnote w:id="2">
    <w:p w14:paraId="723B9528" w14:textId="56433081" w:rsidR="00CC439A" w:rsidRPr="009B7AB8" w:rsidRDefault="00CC439A" w:rsidP="005A5DEF">
      <w:pPr>
        <w:pStyle w:val="FootnoteText"/>
        <w:rPr>
          <w:sz w:val="15"/>
          <w:szCs w:val="15"/>
        </w:rPr>
      </w:pPr>
      <w:r w:rsidRPr="009B7AB8">
        <w:rPr>
          <w:rStyle w:val="FootnoteReference"/>
          <w:sz w:val="15"/>
          <w:szCs w:val="15"/>
        </w:rPr>
        <w:footnoteRef/>
      </w:r>
      <w:r w:rsidRPr="009B7AB8">
        <w:rPr>
          <w:sz w:val="15"/>
          <w:szCs w:val="15"/>
        </w:rPr>
        <w:t xml:space="preserve"> KiM, “Waar is de ov-reiziger gebleven?”, </w:t>
      </w:r>
      <w:r w:rsidR="009B7AB8" w:rsidRPr="009B7AB8">
        <w:rPr>
          <w:sz w:val="15"/>
          <w:szCs w:val="15"/>
        </w:rPr>
        <w:t xml:space="preserve">oktober 2023. </w:t>
      </w:r>
    </w:p>
  </w:footnote>
  <w:footnote w:id="3">
    <w:p w14:paraId="33558E0A" w14:textId="2AC26C36" w:rsidR="005A5DEF" w:rsidRPr="00B651BF" w:rsidRDefault="005A5DEF" w:rsidP="005A5DEF">
      <w:pPr>
        <w:pStyle w:val="FootnoteText"/>
        <w:rPr>
          <w:sz w:val="16"/>
          <w:szCs w:val="16"/>
        </w:rPr>
      </w:pPr>
      <w:r w:rsidRPr="00933A9D">
        <w:rPr>
          <w:rStyle w:val="FootnoteReference"/>
          <w:sz w:val="15"/>
          <w:szCs w:val="15"/>
        </w:rPr>
        <w:footnoteRef/>
      </w:r>
      <w:r w:rsidRPr="00933A9D">
        <w:rPr>
          <w:sz w:val="15"/>
          <w:szCs w:val="15"/>
        </w:rPr>
        <w:t xml:space="preserve"> </w:t>
      </w:r>
      <w:r w:rsidRPr="00B651BF">
        <w:rPr>
          <w:sz w:val="15"/>
          <w:szCs w:val="15"/>
        </w:rPr>
        <w:t xml:space="preserve">De inflatie van de kosten van het openbaar vervoer vertoont een gematigder beeld dan de algemene prijsstijgingen voor mobiliteit als geheel in de periode 2015 </w:t>
      </w:r>
      <w:r w:rsidR="00F91618">
        <w:rPr>
          <w:sz w:val="15"/>
          <w:szCs w:val="15"/>
        </w:rPr>
        <w:t>-</w:t>
      </w:r>
      <w:r w:rsidRPr="00B651BF">
        <w:rPr>
          <w:sz w:val="15"/>
          <w:szCs w:val="15"/>
        </w:rPr>
        <w:t xml:space="preserve"> 2023. Hierbij speelt mee dat met eenmalige bijdragen van het Rijk de toename van ticketprijzen tijdelijk gedempt werd.</w:t>
      </w:r>
    </w:p>
  </w:footnote>
  <w:footnote w:id="4">
    <w:p w14:paraId="0C66F922" w14:textId="0DD3BCD0" w:rsidR="006F0262" w:rsidRPr="00FB464B" w:rsidRDefault="006F0262" w:rsidP="005A5DEF">
      <w:pPr>
        <w:pStyle w:val="FootnoteText"/>
        <w:rPr>
          <w:sz w:val="15"/>
          <w:szCs w:val="15"/>
        </w:rPr>
      </w:pPr>
      <w:r w:rsidRPr="00FB464B">
        <w:rPr>
          <w:rStyle w:val="FootnoteReference"/>
          <w:sz w:val="15"/>
          <w:szCs w:val="15"/>
        </w:rPr>
        <w:footnoteRef/>
      </w:r>
      <w:r w:rsidRPr="00FB464B">
        <w:rPr>
          <w:sz w:val="15"/>
          <w:szCs w:val="15"/>
        </w:rPr>
        <w:t xml:space="preserve"> PBL, “Beter Bereikbaar?”, september 2024</w:t>
      </w:r>
      <w:r w:rsidR="006938C7">
        <w:rPr>
          <w:sz w:val="15"/>
          <w:szCs w:val="15"/>
        </w:rPr>
        <w:t xml:space="preserve">. </w:t>
      </w:r>
    </w:p>
  </w:footnote>
  <w:footnote w:id="5">
    <w:p w14:paraId="71755046" w14:textId="137D39AC" w:rsidR="00541443" w:rsidRPr="00541443" w:rsidRDefault="00541443">
      <w:pPr>
        <w:pStyle w:val="FootnoteText"/>
        <w:rPr>
          <w:sz w:val="15"/>
          <w:szCs w:val="15"/>
        </w:rPr>
      </w:pPr>
      <w:r w:rsidRPr="00541443">
        <w:rPr>
          <w:rStyle w:val="FootnoteReference"/>
          <w:sz w:val="15"/>
          <w:szCs w:val="15"/>
        </w:rPr>
        <w:footnoteRef/>
      </w:r>
      <w:r w:rsidRPr="00541443">
        <w:rPr>
          <w:sz w:val="15"/>
          <w:szCs w:val="15"/>
        </w:rPr>
        <w:t xml:space="preserve"> </w:t>
      </w:r>
      <w:r>
        <w:rPr>
          <w:sz w:val="15"/>
          <w:szCs w:val="15"/>
        </w:rPr>
        <w:t>Uitvoering motie Bikker (36410-29) over voorkomen van prijsstijgingen in het regionaal OV.</w:t>
      </w:r>
    </w:p>
  </w:footnote>
  <w:footnote w:id="6">
    <w:p w14:paraId="70EE45D3" w14:textId="7ACCDFB9" w:rsidR="006F14E4" w:rsidRDefault="006F14E4" w:rsidP="005A5DEF">
      <w:pPr>
        <w:pStyle w:val="FootnoteText"/>
      </w:pPr>
      <w:r w:rsidRPr="00FB464B">
        <w:rPr>
          <w:rStyle w:val="FootnoteReference"/>
          <w:sz w:val="15"/>
          <w:szCs w:val="15"/>
        </w:rPr>
        <w:footnoteRef/>
      </w:r>
      <w:r w:rsidRPr="00FB464B">
        <w:rPr>
          <w:sz w:val="15"/>
          <w:szCs w:val="15"/>
        </w:rPr>
        <w:t xml:space="preserve"> Dubbele</w:t>
      </w:r>
      <w:r w:rsidRPr="008D600D">
        <w:rPr>
          <w:sz w:val="15"/>
          <w:szCs w:val="15"/>
        </w:rPr>
        <w:t xml:space="preserve"> vergrijzing verwijst naar de situatie waarin niet alleen het aandeel ouderen in de bevolking toeneemt, maar ook de gemiddelde leeftijd binnen deze groep stijgt</w:t>
      </w:r>
      <w:r w:rsidR="006938C7">
        <w:rPr>
          <w:sz w:val="15"/>
          <w:szCs w:val="15"/>
        </w:rPr>
        <w:t xml:space="preserve">. </w:t>
      </w:r>
    </w:p>
  </w:footnote>
  <w:footnote w:id="7">
    <w:p w14:paraId="6A27320A" w14:textId="6F22C4CB" w:rsidR="001369F1" w:rsidRPr="00613DDF" w:rsidRDefault="001369F1" w:rsidP="005A5DEF">
      <w:pPr>
        <w:pStyle w:val="FootnoteText"/>
        <w:rPr>
          <w:sz w:val="15"/>
          <w:szCs w:val="15"/>
        </w:rPr>
      </w:pPr>
      <w:r w:rsidRPr="00613DDF">
        <w:rPr>
          <w:rStyle w:val="FootnoteReference"/>
          <w:sz w:val="15"/>
          <w:szCs w:val="15"/>
        </w:rPr>
        <w:footnoteRef/>
      </w:r>
      <w:r w:rsidRPr="00613DDF">
        <w:rPr>
          <w:sz w:val="15"/>
          <w:szCs w:val="15"/>
        </w:rPr>
        <w:t xml:space="preserve"> College voor de Rechten van de Mens, “Onderzoek doelgroepenvervoer</w:t>
      </w:r>
      <w:r w:rsidR="00933A9D">
        <w:rPr>
          <w:sz w:val="15"/>
          <w:szCs w:val="15"/>
        </w:rPr>
        <w:t>”</w:t>
      </w:r>
      <w:r w:rsidRPr="00613DDF">
        <w:rPr>
          <w:sz w:val="15"/>
          <w:szCs w:val="15"/>
        </w:rPr>
        <w:t xml:space="preserve">, </w:t>
      </w:r>
      <w:r>
        <w:rPr>
          <w:sz w:val="15"/>
          <w:szCs w:val="15"/>
        </w:rPr>
        <w:t xml:space="preserve">juli </w:t>
      </w:r>
      <w:r w:rsidRPr="00613DDF">
        <w:rPr>
          <w:sz w:val="15"/>
          <w:szCs w:val="15"/>
        </w:rPr>
        <w:t>2023</w:t>
      </w:r>
      <w:r w:rsidR="006938C7">
        <w:rPr>
          <w:sz w:val="15"/>
          <w:szCs w:val="15"/>
        </w:rPr>
        <w:t xml:space="preserve">. </w:t>
      </w:r>
    </w:p>
  </w:footnote>
  <w:footnote w:id="8">
    <w:p w14:paraId="5FE4CD90" w14:textId="77777777" w:rsidR="00250CAB" w:rsidRPr="00FB464B" w:rsidRDefault="00250CAB" w:rsidP="00250CAB">
      <w:pPr>
        <w:pStyle w:val="FootnoteText"/>
        <w:rPr>
          <w:sz w:val="15"/>
          <w:szCs w:val="15"/>
        </w:rPr>
      </w:pPr>
      <w:r w:rsidRPr="00FB464B">
        <w:rPr>
          <w:rStyle w:val="FootnoteReference"/>
          <w:sz w:val="15"/>
          <w:szCs w:val="15"/>
        </w:rPr>
        <w:footnoteRef/>
      </w:r>
      <w:r w:rsidRPr="00FB464B">
        <w:rPr>
          <w:sz w:val="15"/>
          <w:szCs w:val="15"/>
        </w:rPr>
        <w:t xml:space="preserve"> Kamerstuk 31305</w:t>
      </w:r>
      <w:r>
        <w:rPr>
          <w:sz w:val="15"/>
          <w:szCs w:val="15"/>
        </w:rPr>
        <w:t>-</w:t>
      </w:r>
      <w:r w:rsidRPr="00FB464B">
        <w:rPr>
          <w:sz w:val="15"/>
          <w:szCs w:val="15"/>
        </w:rPr>
        <w:t>489</w:t>
      </w:r>
    </w:p>
  </w:footnote>
  <w:footnote w:id="9">
    <w:p w14:paraId="69D98A5C" w14:textId="4955221A" w:rsidR="00CD1F91" w:rsidRPr="00164A18" w:rsidRDefault="00CD1F91" w:rsidP="00CD1F91">
      <w:pPr>
        <w:pStyle w:val="FootnoteText"/>
        <w:rPr>
          <w:sz w:val="15"/>
          <w:szCs w:val="15"/>
        </w:rPr>
      </w:pPr>
      <w:r w:rsidRPr="00164A18">
        <w:rPr>
          <w:rStyle w:val="FootnoteReference"/>
          <w:sz w:val="15"/>
          <w:szCs w:val="15"/>
        </w:rPr>
        <w:footnoteRef/>
      </w:r>
      <w:r w:rsidRPr="00164A18">
        <w:rPr>
          <w:sz w:val="15"/>
          <w:szCs w:val="15"/>
        </w:rPr>
        <w:t xml:space="preserve"> DOVA is het samenwerkingsverband van decentrale ov-autoriteiten en VDVN is de vereniging van </w:t>
      </w:r>
      <w:r w:rsidR="009E2CAB" w:rsidRPr="00164A18">
        <w:rPr>
          <w:sz w:val="15"/>
          <w:szCs w:val="15"/>
        </w:rPr>
        <w:t>opdrachtgevers</w:t>
      </w:r>
      <w:r w:rsidRPr="00164A18">
        <w:rPr>
          <w:sz w:val="15"/>
          <w:szCs w:val="15"/>
        </w:rPr>
        <w:t xml:space="preserve"> in het doelgroepenvervoer.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E028A" w14:textId="77777777" w:rsidR="00BD68FF" w:rsidRDefault="00BD6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7EB0" w14:textId="77777777" w:rsidR="00E96297" w:rsidRDefault="008111A1">
    <w:r>
      <w:rPr>
        <w:noProof/>
        <w:lang w:val="en-GB" w:eastAsia="en-GB"/>
      </w:rPr>
      <mc:AlternateContent>
        <mc:Choice Requires="wps">
          <w:drawing>
            <wp:anchor distT="0" distB="0" distL="0" distR="0" simplePos="0" relativeHeight="251651584" behindDoc="0" locked="1" layoutInCell="1" allowOverlap="1" wp14:anchorId="6B3C0FC5" wp14:editId="7A35E95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F4BEC8C" w14:textId="77777777" w:rsidR="00E96297" w:rsidRDefault="008111A1">
                          <w:pPr>
                            <w:pStyle w:val="AfzendgegevensKop0"/>
                          </w:pPr>
                          <w:r>
                            <w:t>Ministerie van Infrastructuur en Waterstaat</w:t>
                          </w:r>
                        </w:p>
                        <w:p w14:paraId="49BB32F3" w14:textId="77777777" w:rsidR="00575B12" w:rsidRDefault="00575B12" w:rsidP="00B53B24">
                          <w:pPr>
                            <w:spacing w:line="240" w:lineRule="auto"/>
                          </w:pPr>
                        </w:p>
                        <w:p w14:paraId="340CCE63" w14:textId="6A5681FB" w:rsidR="00575B12" w:rsidRPr="00575B12" w:rsidRDefault="00575B12" w:rsidP="00B53B24">
                          <w:pPr>
                            <w:spacing w:line="240" w:lineRule="auto"/>
                          </w:pPr>
                          <w:r>
                            <w:rPr>
                              <w:b/>
                              <w:bCs/>
                              <w:sz w:val="13"/>
                              <w:szCs w:val="13"/>
                            </w:rPr>
                            <w:t>Ons kenmerk</w:t>
                          </w:r>
                          <w:r>
                            <w:rPr>
                              <w:b/>
                              <w:bCs/>
                              <w:sz w:val="13"/>
                              <w:szCs w:val="13"/>
                            </w:rPr>
                            <w:br/>
                          </w:r>
                          <w:r w:rsidRPr="00575B12">
                            <w:rPr>
                              <w:sz w:val="13"/>
                              <w:szCs w:val="13"/>
                            </w:rPr>
                            <w:t>IENW/BSK-2025/309519</w:t>
                          </w:r>
                        </w:p>
                      </w:txbxContent>
                    </wps:txbx>
                    <wps:bodyPr vert="horz" wrap="square" lIns="0" tIns="0" rIns="0" bIns="0" anchor="t" anchorCtr="0"/>
                  </wps:wsp>
                </a:graphicData>
              </a:graphic>
            </wp:anchor>
          </w:drawing>
        </mc:Choice>
        <mc:Fallback>
          <w:pict>
            <v:shapetype w14:anchorId="6B3C0FC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F4BEC8C" w14:textId="77777777" w:rsidR="00E96297" w:rsidRDefault="008111A1">
                    <w:pPr>
                      <w:pStyle w:val="AfzendgegevensKop0"/>
                    </w:pPr>
                    <w:r>
                      <w:t>Ministerie van Infrastructuur en Waterstaat</w:t>
                    </w:r>
                  </w:p>
                  <w:p w14:paraId="49BB32F3" w14:textId="77777777" w:rsidR="00575B12" w:rsidRDefault="00575B12" w:rsidP="00B53B24">
                    <w:pPr>
                      <w:spacing w:line="240" w:lineRule="auto"/>
                    </w:pPr>
                  </w:p>
                  <w:p w14:paraId="340CCE63" w14:textId="6A5681FB" w:rsidR="00575B12" w:rsidRPr="00575B12" w:rsidRDefault="00575B12" w:rsidP="00B53B24">
                    <w:pPr>
                      <w:spacing w:line="240" w:lineRule="auto"/>
                    </w:pPr>
                    <w:r>
                      <w:rPr>
                        <w:b/>
                        <w:bCs/>
                        <w:sz w:val="13"/>
                        <w:szCs w:val="13"/>
                      </w:rPr>
                      <w:t>Ons kenmerk</w:t>
                    </w:r>
                    <w:r>
                      <w:rPr>
                        <w:b/>
                        <w:bCs/>
                        <w:sz w:val="13"/>
                        <w:szCs w:val="13"/>
                      </w:rPr>
                      <w:br/>
                    </w:r>
                    <w:r w:rsidRPr="00575B12">
                      <w:rPr>
                        <w:sz w:val="13"/>
                        <w:szCs w:val="13"/>
                      </w:rPr>
                      <w:t>IENW/BSK-2025/309519</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14549F5" wp14:editId="5A32FB04">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488C2B" w14:textId="5C80B4AC" w:rsidR="00E96297" w:rsidRDefault="008111A1">
                          <w:pPr>
                            <w:pStyle w:val="Referentiegegevens"/>
                          </w:pPr>
                          <w:r>
                            <w:t xml:space="preserve">Pagina </w:t>
                          </w:r>
                          <w:r>
                            <w:fldChar w:fldCharType="begin"/>
                          </w:r>
                          <w:r>
                            <w:instrText>PAGE</w:instrText>
                          </w:r>
                          <w:r>
                            <w:fldChar w:fldCharType="separate"/>
                          </w:r>
                          <w:r w:rsidR="009F3C7C">
                            <w:rPr>
                              <w:noProof/>
                            </w:rPr>
                            <w:t>2</w:t>
                          </w:r>
                          <w:r>
                            <w:fldChar w:fldCharType="end"/>
                          </w:r>
                          <w:r>
                            <w:t xml:space="preserve"> van </w:t>
                          </w:r>
                          <w:r>
                            <w:fldChar w:fldCharType="begin"/>
                          </w:r>
                          <w:r>
                            <w:instrText>NUMPAGES</w:instrText>
                          </w:r>
                          <w:r>
                            <w:fldChar w:fldCharType="separate"/>
                          </w:r>
                          <w:r w:rsidR="00155035">
                            <w:rPr>
                              <w:noProof/>
                            </w:rPr>
                            <w:t>1</w:t>
                          </w:r>
                          <w:r>
                            <w:fldChar w:fldCharType="end"/>
                          </w:r>
                        </w:p>
                      </w:txbxContent>
                    </wps:txbx>
                    <wps:bodyPr vert="horz" wrap="square" lIns="0" tIns="0" rIns="0" bIns="0" anchor="t" anchorCtr="0"/>
                  </wps:wsp>
                </a:graphicData>
              </a:graphic>
            </wp:anchor>
          </w:drawing>
        </mc:Choice>
        <mc:Fallback>
          <w:pict>
            <v:shape w14:anchorId="014549F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3488C2B" w14:textId="5C80B4AC" w:rsidR="00E96297" w:rsidRDefault="008111A1">
                    <w:pPr>
                      <w:pStyle w:val="Referentiegegevens"/>
                    </w:pPr>
                    <w:r>
                      <w:t xml:space="preserve">Pagina </w:t>
                    </w:r>
                    <w:r>
                      <w:fldChar w:fldCharType="begin"/>
                    </w:r>
                    <w:r>
                      <w:instrText>PAGE</w:instrText>
                    </w:r>
                    <w:r>
                      <w:fldChar w:fldCharType="separate"/>
                    </w:r>
                    <w:r w:rsidR="009F3C7C">
                      <w:rPr>
                        <w:noProof/>
                      </w:rPr>
                      <w:t>2</w:t>
                    </w:r>
                    <w:r>
                      <w:fldChar w:fldCharType="end"/>
                    </w:r>
                    <w:r>
                      <w:t xml:space="preserve"> van </w:t>
                    </w:r>
                    <w:r>
                      <w:fldChar w:fldCharType="begin"/>
                    </w:r>
                    <w:r>
                      <w:instrText>NUMPAGES</w:instrText>
                    </w:r>
                    <w:r>
                      <w:fldChar w:fldCharType="separate"/>
                    </w:r>
                    <w:r w:rsidR="0015503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0D4BF70" wp14:editId="2CC12213">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25BB0A7" w14:textId="77777777" w:rsidR="00D702A5" w:rsidRDefault="00D702A5"/>
                      </w:txbxContent>
                    </wps:txbx>
                    <wps:bodyPr vert="horz" wrap="square" lIns="0" tIns="0" rIns="0" bIns="0" anchor="t" anchorCtr="0"/>
                  </wps:wsp>
                </a:graphicData>
              </a:graphic>
            </wp:anchor>
          </w:drawing>
        </mc:Choice>
        <mc:Fallback>
          <w:pict>
            <v:shape w14:anchorId="70D4BF7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25BB0A7" w14:textId="77777777" w:rsidR="00D702A5" w:rsidRDefault="00D702A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8450C72" wp14:editId="5BFB2736">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6C446DC" w14:textId="77777777" w:rsidR="00D702A5" w:rsidRDefault="00D702A5"/>
                      </w:txbxContent>
                    </wps:txbx>
                    <wps:bodyPr vert="horz" wrap="square" lIns="0" tIns="0" rIns="0" bIns="0" anchor="t" anchorCtr="0"/>
                  </wps:wsp>
                </a:graphicData>
              </a:graphic>
            </wp:anchor>
          </w:drawing>
        </mc:Choice>
        <mc:Fallback>
          <w:pict>
            <v:shape w14:anchorId="08450C7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6C446DC" w14:textId="77777777" w:rsidR="00D702A5" w:rsidRDefault="00D702A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CF932" w14:textId="77777777" w:rsidR="00E96297" w:rsidRDefault="008111A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D1C2C7E" wp14:editId="4CE3AA8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94F6E2" w14:textId="77777777" w:rsidR="00D702A5" w:rsidRDefault="00D702A5"/>
                      </w:txbxContent>
                    </wps:txbx>
                    <wps:bodyPr vert="horz" wrap="square" lIns="0" tIns="0" rIns="0" bIns="0" anchor="t" anchorCtr="0"/>
                  </wps:wsp>
                </a:graphicData>
              </a:graphic>
            </wp:anchor>
          </w:drawing>
        </mc:Choice>
        <mc:Fallback>
          <w:pict>
            <v:shapetype w14:anchorId="4D1C2C7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B94F6E2" w14:textId="77777777" w:rsidR="00D702A5" w:rsidRDefault="00D702A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510CA57" wp14:editId="002F3D48">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3DA5E5" w14:textId="7B4DC649" w:rsidR="00E96297" w:rsidRDefault="008111A1">
                          <w:pPr>
                            <w:pStyle w:val="Referentiegegevens"/>
                          </w:pPr>
                          <w:r>
                            <w:t xml:space="preserve">Pagina </w:t>
                          </w:r>
                          <w:r>
                            <w:fldChar w:fldCharType="begin"/>
                          </w:r>
                          <w:r>
                            <w:instrText>PAGE</w:instrText>
                          </w:r>
                          <w:r>
                            <w:fldChar w:fldCharType="separate"/>
                          </w:r>
                          <w:r w:rsidR="006D2126">
                            <w:rPr>
                              <w:noProof/>
                            </w:rPr>
                            <w:t>1</w:t>
                          </w:r>
                          <w:r>
                            <w:fldChar w:fldCharType="end"/>
                          </w:r>
                          <w:r>
                            <w:t xml:space="preserve"> van </w:t>
                          </w:r>
                          <w:r>
                            <w:fldChar w:fldCharType="begin"/>
                          </w:r>
                          <w:r>
                            <w:instrText>NUMPAGES</w:instrText>
                          </w:r>
                          <w:r>
                            <w:fldChar w:fldCharType="separate"/>
                          </w:r>
                          <w:r w:rsidR="006D2126">
                            <w:rPr>
                              <w:noProof/>
                            </w:rPr>
                            <w:t>1</w:t>
                          </w:r>
                          <w:r>
                            <w:fldChar w:fldCharType="end"/>
                          </w:r>
                        </w:p>
                      </w:txbxContent>
                    </wps:txbx>
                    <wps:bodyPr vert="horz" wrap="square" lIns="0" tIns="0" rIns="0" bIns="0" anchor="t" anchorCtr="0"/>
                  </wps:wsp>
                </a:graphicData>
              </a:graphic>
            </wp:anchor>
          </w:drawing>
        </mc:Choice>
        <mc:Fallback>
          <w:pict>
            <v:shape w14:anchorId="5510CA5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13DA5E5" w14:textId="7B4DC649" w:rsidR="00E96297" w:rsidRDefault="008111A1">
                    <w:pPr>
                      <w:pStyle w:val="Referentiegegevens"/>
                    </w:pPr>
                    <w:r>
                      <w:t xml:space="preserve">Pagina </w:t>
                    </w:r>
                    <w:r>
                      <w:fldChar w:fldCharType="begin"/>
                    </w:r>
                    <w:r>
                      <w:instrText>PAGE</w:instrText>
                    </w:r>
                    <w:r>
                      <w:fldChar w:fldCharType="separate"/>
                    </w:r>
                    <w:r w:rsidR="006D2126">
                      <w:rPr>
                        <w:noProof/>
                      </w:rPr>
                      <w:t>1</w:t>
                    </w:r>
                    <w:r>
                      <w:fldChar w:fldCharType="end"/>
                    </w:r>
                    <w:r>
                      <w:t xml:space="preserve"> van </w:t>
                    </w:r>
                    <w:r>
                      <w:fldChar w:fldCharType="begin"/>
                    </w:r>
                    <w:r>
                      <w:instrText>NUMPAGES</w:instrText>
                    </w:r>
                    <w:r>
                      <w:fldChar w:fldCharType="separate"/>
                    </w:r>
                    <w:r w:rsidR="006D212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F4EA62F" wp14:editId="774A274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4EED29" w14:textId="77777777" w:rsidR="00E96297" w:rsidRDefault="008111A1">
                          <w:pPr>
                            <w:pStyle w:val="AfzendgegevensKop0"/>
                          </w:pPr>
                          <w:r>
                            <w:t>Ministerie van Infrastructuur en Waterstaat</w:t>
                          </w:r>
                        </w:p>
                        <w:p w14:paraId="0EED0D52" w14:textId="77777777" w:rsidR="00E96297" w:rsidRDefault="00E96297">
                          <w:pPr>
                            <w:pStyle w:val="WitregelW1"/>
                          </w:pPr>
                        </w:p>
                        <w:p w14:paraId="3724CAF2" w14:textId="77777777" w:rsidR="00E96297" w:rsidRDefault="008111A1">
                          <w:pPr>
                            <w:pStyle w:val="Afzendgegevens"/>
                          </w:pPr>
                          <w:r>
                            <w:t>Rijnstraat 8</w:t>
                          </w:r>
                        </w:p>
                        <w:p w14:paraId="198A7CAF" w14:textId="77777777" w:rsidR="00E96297" w:rsidRPr="005C7207" w:rsidRDefault="008111A1">
                          <w:pPr>
                            <w:pStyle w:val="Afzendgegevens"/>
                            <w:rPr>
                              <w:lang w:val="de-DE"/>
                            </w:rPr>
                          </w:pPr>
                          <w:r w:rsidRPr="005C7207">
                            <w:rPr>
                              <w:lang w:val="de-DE"/>
                            </w:rPr>
                            <w:t>2515 XP  Den Haag</w:t>
                          </w:r>
                        </w:p>
                        <w:p w14:paraId="70DE0616" w14:textId="77777777" w:rsidR="00E96297" w:rsidRPr="005C7207" w:rsidRDefault="008111A1">
                          <w:pPr>
                            <w:pStyle w:val="Afzendgegevens"/>
                            <w:rPr>
                              <w:lang w:val="de-DE"/>
                            </w:rPr>
                          </w:pPr>
                          <w:r w:rsidRPr="005C7207">
                            <w:rPr>
                              <w:lang w:val="de-DE"/>
                            </w:rPr>
                            <w:t>Postbus 20901</w:t>
                          </w:r>
                        </w:p>
                        <w:p w14:paraId="109C62E5" w14:textId="77777777" w:rsidR="00E96297" w:rsidRPr="005C7207" w:rsidRDefault="008111A1">
                          <w:pPr>
                            <w:pStyle w:val="Afzendgegevens"/>
                            <w:rPr>
                              <w:lang w:val="de-DE"/>
                            </w:rPr>
                          </w:pPr>
                          <w:r w:rsidRPr="005C7207">
                            <w:rPr>
                              <w:lang w:val="de-DE"/>
                            </w:rPr>
                            <w:t>2500 EX Den Haag</w:t>
                          </w:r>
                        </w:p>
                        <w:p w14:paraId="5A8AAA0E" w14:textId="77777777" w:rsidR="00E96297" w:rsidRPr="005C7207" w:rsidRDefault="00E96297">
                          <w:pPr>
                            <w:pStyle w:val="WitregelW1"/>
                            <w:rPr>
                              <w:lang w:val="de-DE"/>
                            </w:rPr>
                          </w:pPr>
                        </w:p>
                        <w:p w14:paraId="14AAC423" w14:textId="77777777" w:rsidR="00E96297" w:rsidRPr="005C7207" w:rsidRDefault="008111A1">
                          <w:pPr>
                            <w:pStyle w:val="Afzendgegevens"/>
                            <w:rPr>
                              <w:lang w:val="de-DE"/>
                            </w:rPr>
                          </w:pPr>
                          <w:r w:rsidRPr="005C7207">
                            <w:rPr>
                              <w:lang w:val="de-DE"/>
                            </w:rPr>
                            <w:t>T   070-456 0000</w:t>
                          </w:r>
                        </w:p>
                        <w:p w14:paraId="76333F83" w14:textId="77777777" w:rsidR="00E96297" w:rsidRDefault="008111A1">
                          <w:pPr>
                            <w:pStyle w:val="Afzendgegevens"/>
                          </w:pPr>
                          <w:r>
                            <w:t>F   070-456 1111</w:t>
                          </w:r>
                        </w:p>
                        <w:p w14:paraId="2B320D2D" w14:textId="77777777" w:rsidR="005C7207" w:rsidRDefault="005C7207" w:rsidP="005C7207">
                          <w:pPr>
                            <w:rPr>
                              <w:sz w:val="13"/>
                              <w:szCs w:val="13"/>
                            </w:rPr>
                          </w:pPr>
                        </w:p>
                        <w:p w14:paraId="3986331C" w14:textId="5BDC8B81" w:rsidR="005C7207" w:rsidRDefault="005C7207" w:rsidP="00B53B24">
                          <w:pPr>
                            <w:spacing w:line="240" w:lineRule="auto"/>
                            <w:rPr>
                              <w:b/>
                              <w:bCs/>
                              <w:sz w:val="13"/>
                              <w:szCs w:val="13"/>
                            </w:rPr>
                          </w:pPr>
                          <w:r>
                            <w:rPr>
                              <w:b/>
                              <w:bCs/>
                              <w:sz w:val="13"/>
                              <w:szCs w:val="13"/>
                            </w:rPr>
                            <w:t>Ons kenmerk</w:t>
                          </w:r>
                          <w:r>
                            <w:rPr>
                              <w:b/>
                              <w:bCs/>
                              <w:sz w:val="13"/>
                              <w:szCs w:val="13"/>
                            </w:rPr>
                            <w:br/>
                          </w:r>
                          <w:r w:rsidR="00575B12" w:rsidRPr="00575B12">
                            <w:rPr>
                              <w:sz w:val="13"/>
                              <w:szCs w:val="13"/>
                            </w:rPr>
                            <w:t>IENW/BSK-2025/309519</w:t>
                          </w:r>
                          <w:r>
                            <w:rPr>
                              <w:b/>
                              <w:bCs/>
                              <w:sz w:val="13"/>
                              <w:szCs w:val="13"/>
                            </w:rPr>
                            <w:br/>
                          </w:r>
                        </w:p>
                        <w:p w14:paraId="43EEC18C" w14:textId="1801ACA3" w:rsidR="005C7207" w:rsidRDefault="005C7207" w:rsidP="00B53B24">
                          <w:pPr>
                            <w:spacing w:line="240" w:lineRule="auto"/>
                            <w:rPr>
                              <w:b/>
                              <w:bCs/>
                              <w:sz w:val="13"/>
                              <w:szCs w:val="13"/>
                            </w:rPr>
                          </w:pPr>
                          <w:r>
                            <w:rPr>
                              <w:b/>
                              <w:bCs/>
                              <w:sz w:val="13"/>
                              <w:szCs w:val="13"/>
                            </w:rPr>
                            <w:t>Bijlage(n)</w:t>
                          </w:r>
                        </w:p>
                        <w:p w14:paraId="683D587A" w14:textId="71AF4A0A" w:rsidR="00575B12" w:rsidRPr="00B53B24" w:rsidRDefault="00B53B24" w:rsidP="00B53B24">
                          <w:pPr>
                            <w:spacing w:line="240" w:lineRule="auto"/>
                            <w:rPr>
                              <w:sz w:val="13"/>
                              <w:szCs w:val="13"/>
                            </w:rPr>
                          </w:pPr>
                          <w:r w:rsidRPr="00B53B24">
                            <w:rPr>
                              <w:sz w:val="13"/>
                              <w:szCs w:val="13"/>
                            </w:rPr>
                            <w:t>2</w:t>
                          </w:r>
                        </w:p>
                        <w:p w14:paraId="0DF06E7D" w14:textId="77777777" w:rsidR="005C7207" w:rsidRDefault="005C7207" w:rsidP="005C7207">
                          <w:pPr>
                            <w:spacing w:line="240" w:lineRule="auto"/>
                          </w:pPr>
                        </w:p>
                        <w:p w14:paraId="25E15F04" w14:textId="3E638930" w:rsidR="005C7207" w:rsidRPr="005C7207" w:rsidRDefault="005C7207" w:rsidP="005C7207">
                          <w:pPr>
                            <w:rPr>
                              <w:b/>
                              <w:bCs/>
                            </w:rPr>
                          </w:pPr>
                        </w:p>
                      </w:txbxContent>
                    </wps:txbx>
                    <wps:bodyPr vert="horz" wrap="square" lIns="0" tIns="0" rIns="0" bIns="0" anchor="t" anchorCtr="0"/>
                  </wps:wsp>
                </a:graphicData>
              </a:graphic>
            </wp:anchor>
          </w:drawing>
        </mc:Choice>
        <mc:Fallback>
          <w:pict>
            <v:shape w14:anchorId="2F4EA62F"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04EED29" w14:textId="77777777" w:rsidR="00E96297" w:rsidRDefault="008111A1">
                    <w:pPr>
                      <w:pStyle w:val="AfzendgegevensKop0"/>
                    </w:pPr>
                    <w:r>
                      <w:t>Ministerie van Infrastructuur en Waterstaat</w:t>
                    </w:r>
                  </w:p>
                  <w:p w14:paraId="0EED0D52" w14:textId="77777777" w:rsidR="00E96297" w:rsidRDefault="00E96297">
                    <w:pPr>
                      <w:pStyle w:val="WitregelW1"/>
                    </w:pPr>
                  </w:p>
                  <w:p w14:paraId="3724CAF2" w14:textId="77777777" w:rsidR="00E96297" w:rsidRDefault="008111A1">
                    <w:pPr>
                      <w:pStyle w:val="Afzendgegevens"/>
                    </w:pPr>
                    <w:r>
                      <w:t>Rijnstraat 8</w:t>
                    </w:r>
                  </w:p>
                  <w:p w14:paraId="198A7CAF" w14:textId="77777777" w:rsidR="00E96297" w:rsidRPr="005C7207" w:rsidRDefault="008111A1">
                    <w:pPr>
                      <w:pStyle w:val="Afzendgegevens"/>
                      <w:rPr>
                        <w:lang w:val="de-DE"/>
                      </w:rPr>
                    </w:pPr>
                    <w:r w:rsidRPr="005C7207">
                      <w:rPr>
                        <w:lang w:val="de-DE"/>
                      </w:rPr>
                      <w:t>2515 XP  Den Haag</w:t>
                    </w:r>
                  </w:p>
                  <w:p w14:paraId="70DE0616" w14:textId="77777777" w:rsidR="00E96297" w:rsidRPr="005C7207" w:rsidRDefault="008111A1">
                    <w:pPr>
                      <w:pStyle w:val="Afzendgegevens"/>
                      <w:rPr>
                        <w:lang w:val="de-DE"/>
                      </w:rPr>
                    </w:pPr>
                    <w:r w:rsidRPr="005C7207">
                      <w:rPr>
                        <w:lang w:val="de-DE"/>
                      </w:rPr>
                      <w:t>Postbus 20901</w:t>
                    </w:r>
                  </w:p>
                  <w:p w14:paraId="109C62E5" w14:textId="77777777" w:rsidR="00E96297" w:rsidRPr="005C7207" w:rsidRDefault="008111A1">
                    <w:pPr>
                      <w:pStyle w:val="Afzendgegevens"/>
                      <w:rPr>
                        <w:lang w:val="de-DE"/>
                      </w:rPr>
                    </w:pPr>
                    <w:r w:rsidRPr="005C7207">
                      <w:rPr>
                        <w:lang w:val="de-DE"/>
                      </w:rPr>
                      <w:t>2500 EX Den Haag</w:t>
                    </w:r>
                  </w:p>
                  <w:p w14:paraId="5A8AAA0E" w14:textId="77777777" w:rsidR="00E96297" w:rsidRPr="005C7207" w:rsidRDefault="00E96297">
                    <w:pPr>
                      <w:pStyle w:val="WitregelW1"/>
                      <w:rPr>
                        <w:lang w:val="de-DE"/>
                      </w:rPr>
                    </w:pPr>
                  </w:p>
                  <w:p w14:paraId="14AAC423" w14:textId="77777777" w:rsidR="00E96297" w:rsidRPr="005C7207" w:rsidRDefault="008111A1">
                    <w:pPr>
                      <w:pStyle w:val="Afzendgegevens"/>
                      <w:rPr>
                        <w:lang w:val="de-DE"/>
                      </w:rPr>
                    </w:pPr>
                    <w:r w:rsidRPr="005C7207">
                      <w:rPr>
                        <w:lang w:val="de-DE"/>
                      </w:rPr>
                      <w:t>T   070-456 0000</w:t>
                    </w:r>
                  </w:p>
                  <w:p w14:paraId="76333F83" w14:textId="77777777" w:rsidR="00E96297" w:rsidRDefault="008111A1">
                    <w:pPr>
                      <w:pStyle w:val="Afzendgegevens"/>
                    </w:pPr>
                    <w:r>
                      <w:t>F   070-456 1111</w:t>
                    </w:r>
                  </w:p>
                  <w:p w14:paraId="2B320D2D" w14:textId="77777777" w:rsidR="005C7207" w:rsidRDefault="005C7207" w:rsidP="005C7207">
                    <w:pPr>
                      <w:rPr>
                        <w:sz w:val="13"/>
                        <w:szCs w:val="13"/>
                      </w:rPr>
                    </w:pPr>
                  </w:p>
                  <w:p w14:paraId="3986331C" w14:textId="5BDC8B81" w:rsidR="005C7207" w:rsidRDefault="005C7207" w:rsidP="00B53B24">
                    <w:pPr>
                      <w:spacing w:line="240" w:lineRule="auto"/>
                      <w:rPr>
                        <w:b/>
                        <w:bCs/>
                        <w:sz w:val="13"/>
                        <w:szCs w:val="13"/>
                      </w:rPr>
                    </w:pPr>
                    <w:r>
                      <w:rPr>
                        <w:b/>
                        <w:bCs/>
                        <w:sz w:val="13"/>
                        <w:szCs w:val="13"/>
                      </w:rPr>
                      <w:t>Ons kenmerk</w:t>
                    </w:r>
                    <w:r>
                      <w:rPr>
                        <w:b/>
                        <w:bCs/>
                        <w:sz w:val="13"/>
                        <w:szCs w:val="13"/>
                      </w:rPr>
                      <w:br/>
                    </w:r>
                    <w:r w:rsidR="00575B12" w:rsidRPr="00575B12">
                      <w:rPr>
                        <w:sz w:val="13"/>
                        <w:szCs w:val="13"/>
                      </w:rPr>
                      <w:t>IENW/BSK-2025/309519</w:t>
                    </w:r>
                    <w:r>
                      <w:rPr>
                        <w:b/>
                        <w:bCs/>
                        <w:sz w:val="13"/>
                        <w:szCs w:val="13"/>
                      </w:rPr>
                      <w:br/>
                    </w:r>
                  </w:p>
                  <w:p w14:paraId="43EEC18C" w14:textId="1801ACA3" w:rsidR="005C7207" w:rsidRDefault="005C7207" w:rsidP="00B53B24">
                    <w:pPr>
                      <w:spacing w:line="240" w:lineRule="auto"/>
                      <w:rPr>
                        <w:b/>
                        <w:bCs/>
                        <w:sz w:val="13"/>
                        <w:szCs w:val="13"/>
                      </w:rPr>
                    </w:pPr>
                    <w:r>
                      <w:rPr>
                        <w:b/>
                        <w:bCs/>
                        <w:sz w:val="13"/>
                        <w:szCs w:val="13"/>
                      </w:rPr>
                      <w:t>Bijlage(n)</w:t>
                    </w:r>
                  </w:p>
                  <w:p w14:paraId="683D587A" w14:textId="71AF4A0A" w:rsidR="00575B12" w:rsidRPr="00B53B24" w:rsidRDefault="00B53B24" w:rsidP="00B53B24">
                    <w:pPr>
                      <w:spacing w:line="240" w:lineRule="auto"/>
                      <w:rPr>
                        <w:sz w:val="13"/>
                        <w:szCs w:val="13"/>
                      </w:rPr>
                    </w:pPr>
                    <w:r w:rsidRPr="00B53B24">
                      <w:rPr>
                        <w:sz w:val="13"/>
                        <w:szCs w:val="13"/>
                      </w:rPr>
                      <w:t>2</w:t>
                    </w:r>
                  </w:p>
                  <w:p w14:paraId="0DF06E7D" w14:textId="77777777" w:rsidR="005C7207" w:rsidRDefault="005C7207" w:rsidP="005C7207">
                    <w:pPr>
                      <w:spacing w:line="240" w:lineRule="auto"/>
                    </w:pPr>
                  </w:p>
                  <w:p w14:paraId="25E15F04" w14:textId="3E638930" w:rsidR="005C7207" w:rsidRPr="005C7207" w:rsidRDefault="005C7207" w:rsidP="005C7207">
                    <w:pPr>
                      <w:rPr>
                        <w:b/>
                        <w:bCs/>
                      </w:rPr>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2D28F1C" wp14:editId="12C912C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3B68563" w14:textId="77777777" w:rsidR="00E96297" w:rsidRDefault="008111A1">
                          <w:pPr>
                            <w:spacing w:line="240" w:lineRule="auto"/>
                          </w:pPr>
                          <w:r>
                            <w:rPr>
                              <w:noProof/>
                              <w:lang w:val="en-GB" w:eastAsia="en-GB"/>
                            </w:rPr>
                            <w:drawing>
                              <wp:inline distT="0" distB="0" distL="0" distR="0" wp14:anchorId="56224057" wp14:editId="7B0B1A7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D28F1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3B68563" w14:textId="77777777" w:rsidR="00E96297" w:rsidRDefault="008111A1">
                    <w:pPr>
                      <w:spacing w:line="240" w:lineRule="auto"/>
                    </w:pPr>
                    <w:r>
                      <w:rPr>
                        <w:noProof/>
                        <w:lang w:val="en-GB" w:eastAsia="en-GB"/>
                      </w:rPr>
                      <w:drawing>
                        <wp:inline distT="0" distB="0" distL="0" distR="0" wp14:anchorId="56224057" wp14:editId="7B0B1A7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6E2C5B2" wp14:editId="04C7103D">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708E92" w14:textId="77777777" w:rsidR="00E96297" w:rsidRDefault="008111A1">
                          <w:pPr>
                            <w:spacing w:line="240" w:lineRule="auto"/>
                          </w:pPr>
                          <w:r>
                            <w:rPr>
                              <w:noProof/>
                              <w:lang w:val="en-GB" w:eastAsia="en-GB"/>
                            </w:rPr>
                            <w:drawing>
                              <wp:inline distT="0" distB="0" distL="0" distR="0" wp14:anchorId="7402AD9A" wp14:editId="25CAE8A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E2C5B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B708E92" w14:textId="77777777" w:rsidR="00E96297" w:rsidRDefault="008111A1">
                    <w:pPr>
                      <w:spacing w:line="240" w:lineRule="auto"/>
                    </w:pPr>
                    <w:r>
                      <w:rPr>
                        <w:noProof/>
                        <w:lang w:val="en-GB" w:eastAsia="en-GB"/>
                      </w:rPr>
                      <w:drawing>
                        <wp:inline distT="0" distB="0" distL="0" distR="0" wp14:anchorId="7402AD9A" wp14:editId="25CAE8A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3C6AE14" wp14:editId="58111EC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7411B2C" w14:textId="77777777" w:rsidR="00E96297" w:rsidRDefault="008111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C6AE14"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7411B2C" w14:textId="77777777" w:rsidR="00E96297" w:rsidRDefault="008111A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3D61574" wp14:editId="6701CB3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6EE0B6D" w14:textId="77777777" w:rsidR="00E96297" w:rsidRDefault="008111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3D6157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6EE0B6D" w14:textId="77777777" w:rsidR="00E96297" w:rsidRDefault="008111A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ADE1981" wp14:editId="458554D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96297" w14:paraId="0A1B7C1B" w14:textId="77777777">
                            <w:trPr>
                              <w:trHeight w:val="200"/>
                            </w:trPr>
                            <w:tc>
                              <w:tcPr>
                                <w:tcW w:w="1140" w:type="dxa"/>
                              </w:tcPr>
                              <w:p w14:paraId="5E2D2B0E" w14:textId="77777777" w:rsidR="00E96297" w:rsidRDefault="00E96297"/>
                            </w:tc>
                            <w:tc>
                              <w:tcPr>
                                <w:tcW w:w="5400" w:type="dxa"/>
                              </w:tcPr>
                              <w:p w14:paraId="05D9A855" w14:textId="77777777" w:rsidR="00E96297" w:rsidRDefault="00E96297"/>
                            </w:tc>
                          </w:tr>
                          <w:tr w:rsidR="00E96297" w14:paraId="1AA65785" w14:textId="77777777">
                            <w:trPr>
                              <w:trHeight w:val="240"/>
                            </w:trPr>
                            <w:tc>
                              <w:tcPr>
                                <w:tcW w:w="1140" w:type="dxa"/>
                              </w:tcPr>
                              <w:p w14:paraId="5B74C643" w14:textId="77777777" w:rsidR="00E96297" w:rsidRDefault="008111A1">
                                <w:r>
                                  <w:t>Datum</w:t>
                                </w:r>
                              </w:p>
                            </w:tc>
                            <w:tc>
                              <w:tcPr>
                                <w:tcW w:w="5400" w:type="dxa"/>
                              </w:tcPr>
                              <w:p w14:paraId="29E6E9DC" w14:textId="4BE0C8E7" w:rsidR="00E96297" w:rsidRDefault="00563B30">
                                <w:r>
                                  <w:t>19 december 2025</w:t>
                                </w:r>
                              </w:p>
                            </w:tc>
                          </w:tr>
                          <w:tr w:rsidR="00E96297" w14:paraId="0FA040DC" w14:textId="77777777">
                            <w:trPr>
                              <w:trHeight w:val="240"/>
                            </w:trPr>
                            <w:tc>
                              <w:tcPr>
                                <w:tcW w:w="1140" w:type="dxa"/>
                              </w:tcPr>
                              <w:p w14:paraId="7A783E70" w14:textId="77777777" w:rsidR="00E96297" w:rsidRDefault="008111A1">
                                <w:r>
                                  <w:t>Betreft</w:t>
                                </w:r>
                              </w:p>
                            </w:tc>
                            <w:tc>
                              <w:tcPr>
                                <w:tcW w:w="5400" w:type="dxa"/>
                              </w:tcPr>
                              <w:p w14:paraId="72004692" w14:textId="77777777" w:rsidR="00E96297" w:rsidRDefault="008111A1">
                                <w:r>
                                  <w:t>Verkenning publieke mobiliteit</w:t>
                                </w:r>
                              </w:p>
                            </w:tc>
                          </w:tr>
                          <w:tr w:rsidR="00E96297" w14:paraId="0F5B7AC6" w14:textId="77777777">
                            <w:trPr>
                              <w:trHeight w:val="200"/>
                            </w:trPr>
                            <w:tc>
                              <w:tcPr>
                                <w:tcW w:w="1140" w:type="dxa"/>
                              </w:tcPr>
                              <w:p w14:paraId="11E4E81B" w14:textId="77777777" w:rsidR="00E96297" w:rsidRDefault="00E96297"/>
                            </w:tc>
                            <w:tc>
                              <w:tcPr>
                                <w:tcW w:w="5400" w:type="dxa"/>
                              </w:tcPr>
                              <w:p w14:paraId="15A8FF6B" w14:textId="77777777" w:rsidR="00E96297" w:rsidRDefault="00E96297"/>
                            </w:tc>
                          </w:tr>
                        </w:tbl>
                        <w:p w14:paraId="4381BBAC" w14:textId="77777777" w:rsidR="00D702A5" w:rsidRDefault="00D702A5"/>
                      </w:txbxContent>
                    </wps:txbx>
                    <wps:bodyPr vert="horz" wrap="square" lIns="0" tIns="0" rIns="0" bIns="0" anchor="t" anchorCtr="0"/>
                  </wps:wsp>
                </a:graphicData>
              </a:graphic>
            </wp:anchor>
          </w:drawing>
        </mc:Choice>
        <mc:Fallback>
          <w:pict>
            <v:shape w14:anchorId="4ADE198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96297" w14:paraId="0A1B7C1B" w14:textId="77777777">
                      <w:trPr>
                        <w:trHeight w:val="200"/>
                      </w:trPr>
                      <w:tc>
                        <w:tcPr>
                          <w:tcW w:w="1140" w:type="dxa"/>
                        </w:tcPr>
                        <w:p w14:paraId="5E2D2B0E" w14:textId="77777777" w:rsidR="00E96297" w:rsidRDefault="00E96297"/>
                      </w:tc>
                      <w:tc>
                        <w:tcPr>
                          <w:tcW w:w="5400" w:type="dxa"/>
                        </w:tcPr>
                        <w:p w14:paraId="05D9A855" w14:textId="77777777" w:rsidR="00E96297" w:rsidRDefault="00E96297"/>
                      </w:tc>
                    </w:tr>
                    <w:tr w:rsidR="00E96297" w14:paraId="1AA65785" w14:textId="77777777">
                      <w:trPr>
                        <w:trHeight w:val="240"/>
                      </w:trPr>
                      <w:tc>
                        <w:tcPr>
                          <w:tcW w:w="1140" w:type="dxa"/>
                        </w:tcPr>
                        <w:p w14:paraId="5B74C643" w14:textId="77777777" w:rsidR="00E96297" w:rsidRDefault="008111A1">
                          <w:r>
                            <w:t>Datum</w:t>
                          </w:r>
                        </w:p>
                      </w:tc>
                      <w:tc>
                        <w:tcPr>
                          <w:tcW w:w="5400" w:type="dxa"/>
                        </w:tcPr>
                        <w:p w14:paraId="29E6E9DC" w14:textId="4BE0C8E7" w:rsidR="00E96297" w:rsidRDefault="00563B30">
                          <w:r>
                            <w:t>19 december 2025</w:t>
                          </w:r>
                        </w:p>
                      </w:tc>
                    </w:tr>
                    <w:tr w:rsidR="00E96297" w14:paraId="0FA040DC" w14:textId="77777777">
                      <w:trPr>
                        <w:trHeight w:val="240"/>
                      </w:trPr>
                      <w:tc>
                        <w:tcPr>
                          <w:tcW w:w="1140" w:type="dxa"/>
                        </w:tcPr>
                        <w:p w14:paraId="7A783E70" w14:textId="77777777" w:rsidR="00E96297" w:rsidRDefault="008111A1">
                          <w:r>
                            <w:t>Betreft</w:t>
                          </w:r>
                        </w:p>
                      </w:tc>
                      <w:tc>
                        <w:tcPr>
                          <w:tcW w:w="5400" w:type="dxa"/>
                        </w:tcPr>
                        <w:p w14:paraId="72004692" w14:textId="77777777" w:rsidR="00E96297" w:rsidRDefault="008111A1">
                          <w:r>
                            <w:t>Verkenning publieke mobiliteit</w:t>
                          </w:r>
                        </w:p>
                      </w:tc>
                    </w:tr>
                    <w:tr w:rsidR="00E96297" w14:paraId="0F5B7AC6" w14:textId="77777777">
                      <w:trPr>
                        <w:trHeight w:val="200"/>
                      </w:trPr>
                      <w:tc>
                        <w:tcPr>
                          <w:tcW w:w="1140" w:type="dxa"/>
                        </w:tcPr>
                        <w:p w14:paraId="11E4E81B" w14:textId="77777777" w:rsidR="00E96297" w:rsidRDefault="00E96297"/>
                      </w:tc>
                      <w:tc>
                        <w:tcPr>
                          <w:tcW w:w="5400" w:type="dxa"/>
                        </w:tcPr>
                        <w:p w14:paraId="15A8FF6B" w14:textId="77777777" w:rsidR="00E96297" w:rsidRDefault="00E96297"/>
                      </w:tc>
                    </w:tr>
                  </w:tbl>
                  <w:p w14:paraId="4381BBAC" w14:textId="77777777" w:rsidR="00D702A5" w:rsidRDefault="00D702A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7156473" wp14:editId="7ABB522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E94A8C" w14:textId="77777777" w:rsidR="00D702A5" w:rsidRDefault="00D702A5"/>
                      </w:txbxContent>
                    </wps:txbx>
                    <wps:bodyPr vert="horz" wrap="square" lIns="0" tIns="0" rIns="0" bIns="0" anchor="t" anchorCtr="0"/>
                  </wps:wsp>
                </a:graphicData>
              </a:graphic>
            </wp:anchor>
          </w:drawing>
        </mc:Choice>
        <mc:Fallback>
          <w:pict>
            <v:shape w14:anchorId="2715647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EE94A8C" w14:textId="77777777" w:rsidR="00D702A5" w:rsidRDefault="00D702A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4200CD"/>
    <w:multiLevelType w:val="multilevel"/>
    <w:tmpl w:val="A86A462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F08538"/>
    <w:multiLevelType w:val="multilevel"/>
    <w:tmpl w:val="DBCB76F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0F151BE"/>
    <w:multiLevelType w:val="multilevel"/>
    <w:tmpl w:val="2F33875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E26F8B7"/>
    <w:multiLevelType w:val="multilevel"/>
    <w:tmpl w:val="4178154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024DF4"/>
    <w:multiLevelType w:val="multilevel"/>
    <w:tmpl w:val="A0D9578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C30B3916"/>
    <w:multiLevelType w:val="multilevel"/>
    <w:tmpl w:val="C78451E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4B10BBA"/>
    <w:multiLevelType w:val="multilevel"/>
    <w:tmpl w:val="E4BF2CC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23C7E3"/>
    <w:multiLevelType w:val="multilevel"/>
    <w:tmpl w:val="7FFB0C6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CF7B36A"/>
    <w:multiLevelType w:val="multilevel"/>
    <w:tmpl w:val="E2CCEFD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FC0104E"/>
    <w:multiLevelType w:val="multilevel"/>
    <w:tmpl w:val="5C8C35F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63891A"/>
    <w:multiLevelType w:val="multilevel"/>
    <w:tmpl w:val="49C0255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96607EC"/>
    <w:multiLevelType w:val="multilevel"/>
    <w:tmpl w:val="A32E80C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D8293F5"/>
    <w:multiLevelType w:val="multilevel"/>
    <w:tmpl w:val="1194A70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7523A17"/>
    <w:multiLevelType w:val="multilevel"/>
    <w:tmpl w:val="9912B32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969122"/>
    <w:multiLevelType w:val="multilevel"/>
    <w:tmpl w:val="C5BBCEE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29A29D"/>
    <w:multiLevelType w:val="multilevel"/>
    <w:tmpl w:val="5AEF2AD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505A51"/>
    <w:multiLevelType w:val="hybridMultilevel"/>
    <w:tmpl w:val="CFB037C2"/>
    <w:lvl w:ilvl="0" w:tplc="48A439E0">
      <w:start w:val="9"/>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AD4D207"/>
    <w:multiLevelType w:val="multilevel"/>
    <w:tmpl w:val="BC162D7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40619E"/>
    <w:multiLevelType w:val="hybridMultilevel"/>
    <w:tmpl w:val="4B847BB8"/>
    <w:lvl w:ilvl="0" w:tplc="A2ECAFF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FAD035"/>
    <w:multiLevelType w:val="multilevel"/>
    <w:tmpl w:val="6D96488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7175EE"/>
    <w:multiLevelType w:val="multilevel"/>
    <w:tmpl w:val="2EE5F91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099391"/>
    <w:multiLevelType w:val="multilevel"/>
    <w:tmpl w:val="4932FCC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515084EF"/>
    <w:multiLevelType w:val="multilevel"/>
    <w:tmpl w:val="82EB988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111F10"/>
    <w:multiLevelType w:val="multilevel"/>
    <w:tmpl w:val="318D467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D975DA"/>
    <w:multiLevelType w:val="hybridMultilevel"/>
    <w:tmpl w:val="F458916E"/>
    <w:lvl w:ilvl="0" w:tplc="C046B350">
      <w:start w:val="1"/>
      <w:numFmt w:val="bullet"/>
      <w:lvlText w:val=""/>
      <w:lvlJc w:val="left"/>
      <w:pPr>
        <w:ind w:left="1440" w:hanging="360"/>
      </w:pPr>
      <w:rPr>
        <w:rFonts w:ascii="Symbol" w:hAnsi="Symbol"/>
      </w:rPr>
    </w:lvl>
    <w:lvl w:ilvl="1" w:tplc="8FF4F5BE">
      <w:start w:val="1"/>
      <w:numFmt w:val="bullet"/>
      <w:lvlText w:val=""/>
      <w:lvlJc w:val="left"/>
      <w:pPr>
        <w:ind w:left="1440" w:hanging="360"/>
      </w:pPr>
      <w:rPr>
        <w:rFonts w:ascii="Symbol" w:hAnsi="Symbol"/>
      </w:rPr>
    </w:lvl>
    <w:lvl w:ilvl="2" w:tplc="18584460">
      <w:start w:val="1"/>
      <w:numFmt w:val="bullet"/>
      <w:lvlText w:val=""/>
      <w:lvlJc w:val="left"/>
      <w:pPr>
        <w:ind w:left="1440" w:hanging="360"/>
      </w:pPr>
      <w:rPr>
        <w:rFonts w:ascii="Symbol" w:hAnsi="Symbol"/>
      </w:rPr>
    </w:lvl>
    <w:lvl w:ilvl="3" w:tplc="97B0B452">
      <w:start w:val="1"/>
      <w:numFmt w:val="bullet"/>
      <w:lvlText w:val=""/>
      <w:lvlJc w:val="left"/>
      <w:pPr>
        <w:ind w:left="1440" w:hanging="360"/>
      </w:pPr>
      <w:rPr>
        <w:rFonts w:ascii="Symbol" w:hAnsi="Symbol"/>
      </w:rPr>
    </w:lvl>
    <w:lvl w:ilvl="4" w:tplc="595803E0">
      <w:start w:val="1"/>
      <w:numFmt w:val="bullet"/>
      <w:lvlText w:val=""/>
      <w:lvlJc w:val="left"/>
      <w:pPr>
        <w:ind w:left="1440" w:hanging="360"/>
      </w:pPr>
      <w:rPr>
        <w:rFonts w:ascii="Symbol" w:hAnsi="Symbol"/>
      </w:rPr>
    </w:lvl>
    <w:lvl w:ilvl="5" w:tplc="F09C45B4">
      <w:start w:val="1"/>
      <w:numFmt w:val="bullet"/>
      <w:lvlText w:val=""/>
      <w:lvlJc w:val="left"/>
      <w:pPr>
        <w:ind w:left="1440" w:hanging="360"/>
      </w:pPr>
      <w:rPr>
        <w:rFonts w:ascii="Symbol" w:hAnsi="Symbol"/>
      </w:rPr>
    </w:lvl>
    <w:lvl w:ilvl="6" w:tplc="5B24D8C4">
      <w:start w:val="1"/>
      <w:numFmt w:val="bullet"/>
      <w:lvlText w:val=""/>
      <w:lvlJc w:val="left"/>
      <w:pPr>
        <w:ind w:left="1440" w:hanging="360"/>
      </w:pPr>
      <w:rPr>
        <w:rFonts w:ascii="Symbol" w:hAnsi="Symbol"/>
      </w:rPr>
    </w:lvl>
    <w:lvl w:ilvl="7" w:tplc="68F62D3C">
      <w:start w:val="1"/>
      <w:numFmt w:val="bullet"/>
      <w:lvlText w:val=""/>
      <w:lvlJc w:val="left"/>
      <w:pPr>
        <w:ind w:left="1440" w:hanging="360"/>
      </w:pPr>
      <w:rPr>
        <w:rFonts w:ascii="Symbol" w:hAnsi="Symbol"/>
      </w:rPr>
    </w:lvl>
    <w:lvl w:ilvl="8" w:tplc="E4DC7E14">
      <w:start w:val="1"/>
      <w:numFmt w:val="bullet"/>
      <w:lvlText w:val=""/>
      <w:lvlJc w:val="left"/>
      <w:pPr>
        <w:ind w:left="1440" w:hanging="360"/>
      </w:pPr>
      <w:rPr>
        <w:rFonts w:ascii="Symbol" w:hAnsi="Symbol"/>
      </w:rPr>
    </w:lvl>
  </w:abstractNum>
  <w:abstractNum w:abstractNumId="25" w15:restartNumberingAfterBreak="0">
    <w:nsid w:val="776249FD"/>
    <w:multiLevelType w:val="hybridMultilevel"/>
    <w:tmpl w:val="78AA7458"/>
    <w:lvl w:ilvl="0" w:tplc="CF4E5BA4">
      <w:start w:val="1"/>
      <w:numFmt w:val="decimal"/>
      <w:lvlText w:val="%1."/>
      <w:lvlJc w:val="left"/>
      <w:pPr>
        <w:ind w:left="1620" w:hanging="360"/>
      </w:pPr>
    </w:lvl>
    <w:lvl w:ilvl="1" w:tplc="2D4C3F6C">
      <w:start w:val="1"/>
      <w:numFmt w:val="decimal"/>
      <w:lvlText w:val="%2."/>
      <w:lvlJc w:val="left"/>
      <w:pPr>
        <w:ind w:left="1620" w:hanging="360"/>
      </w:pPr>
    </w:lvl>
    <w:lvl w:ilvl="2" w:tplc="9F2AA338">
      <w:start w:val="1"/>
      <w:numFmt w:val="decimal"/>
      <w:lvlText w:val="%3."/>
      <w:lvlJc w:val="left"/>
      <w:pPr>
        <w:ind w:left="1620" w:hanging="360"/>
      </w:pPr>
    </w:lvl>
    <w:lvl w:ilvl="3" w:tplc="1F765D7E">
      <w:start w:val="1"/>
      <w:numFmt w:val="decimal"/>
      <w:lvlText w:val="%4."/>
      <w:lvlJc w:val="left"/>
      <w:pPr>
        <w:ind w:left="1620" w:hanging="360"/>
      </w:pPr>
    </w:lvl>
    <w:lvl w:ilvl="4" w:tplc="1068B8A0">
      <w:start w:val="1"/>
      <w:numFmt w:val="decimal"/>
      <w:lvlText w:val="%5."/>
      <w:lvlJc w:val="left"/>
      <w:pPr>
        <w:ind w:left="1620" w:hanging="360"/>
      </w:pPr>
    </w:lvl>
    <w:lvl w:ilvl="5" w:tplc="4296E338">
      <w:start w:val="1"/>
      <w:numFmt w:val="decimal"/>
      <w:lvlText w:val="%6."/>
      <w:lvlJc w:val="left"/>
      <w:pPr>
        <w:ind w:left="1620" w:hanging="360"/>
      </w:pPr>
    </w:lvl>
    <w:lvl w:ilvl="6" w:tplc="90545F52">
      <w:start w:val="1"/>
      <w:numFmt w:val="decimal"/>
      <w:lvlText w:val="%7."/>
      <w:lvlJc w:val="left"/>
      <w:pPr>
        <w:ind w:left="1620" w:hanging="360"/>
      </w:pPr>
    </w:lvl>
    <w:lvl w:ilvl="7" w:tplc="27265F8E">
      <w:start w:val="1"/>
      <w:numFmt w:val="decimal"/>
      <w:lvlText w:val="%8."/>
      <w:lvlJc w:val="left"/>
      <w:pPr>
        <w:ind w:left="1620" w:hanging="360"/>
      </w:pPr>
    </w:lvl>
    <w:lvl w:ilvl="8" w:tplc="4736550A">
      <w:start w:val="1"/>
      <w:numFmt w:val="decimal"/>
      <w:lvlText w:val="%9."/>
      <w:lvlJc w:val="left"/>
      <w:pPr>
        <w:ind w:left="1620" w:hanging="360"/>
      </w:pPr>
    </w:lvl>
  </w:abstractNum>
  <w:abstractNum w:abstractNumId="26" w15:restartNumberingAfterBreak="0">
    <w:nsid w:val="7EBB60C1"/>
    <w:multiLevelType w:val="multilevel"/>
    <w:tmpl w:val="5D9699E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3"/>
  </w:num>
  <w:num w:numId="3">
    <w:abstractNumId w:val="20"/>
  </w:num>
  <w:num w:numId="4">
    <w:abstractNumId w:val="0"/>
  </w:num>
  <w:num w:numId="5">
    <w:abstractNumId w:val="21"/>
  </w:num>
  <w:num w:numId="6">
    <w:abstractNumId w:val="9"/>
  </w:num>
  <w:num w:numId="7">
    <w:abstractNumId w:val="7"/>
  </w:num>
  <w:num w:numId="8">
    <w:abstractNumId w:val="19"/>
  </w:num>
  <w:num w:numId="9">
    <w:abstractNumId w:val="12"/>
  </w:num>
  <w:num w:numId="10">
    <w:abstractNumId w:val="2"/>
  </w:num>
  <w:num w:numId="11">
    <w:abstractNumId w:val="3"/>
  </w:num>
  <w:num w:numId="12">
    <w:abstractNumId w:val="4"/>
  </w:num>
  <w:num w:numId="13">
    <w:abstractNumId w:val="26"/>
  </w:num>
  <w:num w:numId="14">
    <w:abstractNumId w:val="5"/>
  </w:num>
  <w:num w:numId="15">
    <w:abstractNumId w:val="14"/>
  </w:num>
  <w:num w:numId="16">
    <w:abstractNumId w:val="13"/>
  </w:num>
  <w:num w:numId="17">
    <w:abstractNumId w:val="11"/>
  </w:num>
  <w:num w:numId="18">
    <w:abstractNumId w:val="17"/>
  </w:num>
  <w:num w:numId="19">
    <w:abstractNumId w:val="1"/>
  </w:num>
  <w:num w:numId="20">
    <w:abstractNumId w:val="6"/>
  </w:num>
  <w:num w:numId="21">
    <w:abstractNumId w:val="8"/>
  </w:num>
  <w:num w:numId="22">
    <w:abstractNumId w:val="15"/>
  </w:num>
  <w:num w:numId="23">
    <w:abstractNumId w:val="22"/>
  </w:num>
  <w:num w:numId="24">
    <w:abstractNumId w:val="16"/>
  </w:num>
  <w:num w:numId="25">
    <w:abstractNumId w:val="24"/>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35"/>
    <w:rsid w:val="000009E0"/>
    <w:rsid w:val="00001222"/>
    <w:rsid w:val="0001251A"/>
    <w:rsid w:val="00012DDC"/>
    <w:rsid w:val="000178E4"/>
    <w:rsid w:val="00021D04"/>
    <w:rsid w:val="00022999"/>
    <w:rsid w:val="00023E62"/>
    <w:rsid w:val="000257F9"/>
    <w:rsid w:val="000372CA"/>
    <w:rsid w:val="00043EE4"/>
    <w:rsid w:val="00047A16"/>
    <w:rsid w:val="00050B18"/>
    <w:rsid w:val="00055576"/>
    <w:rsid w:val="00056518"/>
    <w:rsid w:val="00056A36"/>
    <w:rsid w:val="000640A7"/>
    <w:rsid w:val="0007137D"/>
    <w:rsid w:val="00071DD9"/>
    <w:rsid w:val="000722BD"/>
    <w:rsid w:val="00082588"/>
    <w:rsid w:val="00082C72"/>
    <w:rsid w:val="00085651"/>
    <w:rsid w:val="00092B1C"/>
    <w:rsid w:val="000A19D3"/>
    <w:rsid w:val="000B0318"/>
    <w:rsid w:val="000B28B2"/>
    <w:rsid w:val="000B389B"/>
    <w:rsid w:val="000B66BC"/>
    <w:rsid w:val="000C101C"/>
    <w:rsid w:val="000C1AA0"/>
    <w:rsid w:val="000C5F6F"/>
    <w:rsid w:val="000D1656"/>
    <w:rsid w:val="000D2918"/>
    <w:rsid w:val="000D3B9E"/>
    <w:rsid w:val="000E59F4"/>
    <w:rsid w:val="000F03FA"/>
    <w:rsid w:val="000F48F5"/>
    <w:rsid w:val="001012E5"/>
    <w:rsid w:val="00103F1E"/>
    <w:rsid w:val="001053F6"/>
    <w:rsid w:val="001070DB"/>
    <w:rsid w:val="001077E9"/>
    <w:rsid w:val="00114641"/>
    <w:rsid w:val="00115714"/>
    <w:rsid w:val="00116821"/>
    <w:rsid w:val="0012018C"/>
    <w:rsid w:val="001267E4"/>
    <w:rsid w:val="0013239F"/>
    <w:rsid w:val="001324F3"/>
    <w:rsid w:val="001341AA"/>
    <w:rsid w:val="001369F1"/>
    <w:rsid w:val="00155035"/>
    <w:rsid w:val="00160E73"/>
    <w:rsid w:val="00164A18"/>
    <w:rsid w:val="00164D78"/>
    <w:rsid w:val="0016605D"/>
    <w:rsid w:val="00167CB8"/>
    <w:rsid w:val="00171CEA"/>
    <w:rsid w:val="00177322"/>
    <w:rsid w:val="001803F9"/>
    <w:rsid w:val="00180D4E"/>
    <w:rsid w:val="00181FE9"/>
    <w:rsid w:val="001865CA"/>
    <w:rsid w:val="00186641"/>
    <w:rsid w:val="00187708"/>
    <w:rsid w:val="00195019"/>
    <w:rsid w:val="001959F8"/>
    <w:rsid w:val="001A76A5"/>
    <w:rsid w:val="001A7F54"/>
    <w:rsid w:val="001B2119"/>
    <w:rsid w:val="001B2211"/>
    <w:rsid w:val="001B36AF"/>
    <w:rsid w:val="001B37C8"/>
    <w:rsid w:val="001B4633"/>
    <w:rsid w:val="001B50F1"/>
    <w:rsid w:val="001B65FA"/>
    <w:rsid w:val="001C269B"/>
    <w:rsid w:val="001C2899"/>
    <w:rsid w:val="001C6A84"/>
    <w:rsid w:val="001D7BB6"/>
    <w:rsid w:val="001E1C1D"/>
    <w:rsid w:val="001E5444"/>
    <w:rsid w:val="001F01A2"/>
    <w:rsid w:val="001F07A5"/>
    <w:rsid w:val="001F4AC4"/>
    <w:rsid w:val="00203F0D"/>
    <w:rsid w:val="002062A2"/>
    <w:rsid w:val="0020787B"/>
    <w:rsid w:val="00210331"/>
    <w:rsid w:val="002258E5"/>
    <w:rsid w:val="0023382D"/>
    <w:rsid w:val="002340B7"/>
    <w:rsid w:val="00235246"/>
    <w:rsid w:val="002363B8"/>
    <w:rsid w:val="002408CC"/>
    <w:rsid w:val="002428FE"/>
    <w:rsid w:val="00244F61"/>
    <w:rsid w:val="00250A66"/>
    <w:rsid w:val="00250CAB"/>
    <w:rsid w:val="00251F38"/>
    <w:rsid w:val="00252EE7"/>
    <w:rsid w:val="002642B0"/>
    <w:rsid w:val="002650B1"/>
    <w:rsid w:val="00265AB1"/>
    <w:rsid w:val="0026779A"/>
    <w:rsid w:val="002710A5"/>
    <w:rsid w:val="0027426F"/>
    <w:rsid w:val="00275A81"/>
    <w:rsid w:val="002817C0"/>
    <w:rsid w:val="00292ECA"/>
    <w:rsid w:val="00294AF7"/>
    <w:rsid w:val="00295452"/>
    <w:rsid w:val="002A0475"/>
    <w:rsid w:val="002A07FA"/>
    <w:rsid w:val="002A1493"/>
    <w:rsid w:val="002A2799"/>
    <w:rsid w:val="002B1839"/>
    <w:rsid w:val="002B34D8"/>
    <w:rsid w:val="002C2645"/>
    <w:rsid w:val="002C2863"/>
    <w:rsid w:val="002C3A27"/>
    <w:rsid w:val="002D5133"/>
    <w:rsid w:val="002E3551"/>
    <w:rsid w:val="002E65E0"/>
    <w:rsid w:val="002E7466"/>
    <w:rsid w:val="00302107"/>
    <w:rsid w:val="00302F54"/>
    <w:rsid w:val="00312AAE"/>
    <w:rsid w:val="00312E38"/>
    <w:rsid w:val="003135E1"/>
    <w:rsid w:val="003245E1"/>
    <w:rsid w:val="0032736C"/>
    <w:rsid w:val="00337580"/>
    <w:rsid w:val="00337D9F"/>
    <w:rsid w:val="00342D8A"/>
    <w:rsid w:val="00343B81"/>
    <w:rsid w:val="00347807"/>
    <w:rsid w:val="00362893"/>
    <w:rsid w:val="00363E87"/>
    <w:rsid w:val="00377F49"/>
    <w:rsid w:val="00381284"/>
    <w:rsid w:val="0038398D"/>
    <w:rsid w:val="003A0238"/>
    <w:rsid w:val="003A182B"/>
    <w:rsid w:val="003A6DDA"/>
    <w:rsid w:val="003A714C"/>
    <w:rsid w:val="003B1402"/>
    <w:rsid w:val="003B1667"/>
    <w:rsid w:val="003B1F71"/>
    <w:rsid w:val="003B7046"/>
    <w:rsid w:val="003C11EC"/>
    <w:rsid w:val="003C1D2C"/>
    <w:rsid w:val="003C43F5"/>
    <w:rsid w:val="003D1FC6"/>
    <w:rsid w:val="003D39B6"/>
    <w:rsid w:val="003E1D75"/>
    <w:rsid w:val="003E2413"/>
    <w:rsid w:val="003F20C5"/>
    <w:rsid w:val="0040273C"/>
    <w:rsid w:val="00404C80"/>
    <w:rsid w:val="00406D50"/>
    <w:rsid w:val="00421911"/>
    <w:rsid w:val="0043000F"/>
    <w:rsid w:val="0043054D"/>
    <w:rsid w:val="00432408"/>
    <w:rsid w:val="004337F4"/>
    <w:rsid w:val="00442666"/>
    <w:rsid w:val="00450A23"/>
    <w:rsid w:val="0045169B"/>
    <w:rsid w:val="00454EB9"/>
    <w:rsid w:val="004551F2"/>
    <w:rsid w:val="0046057F"/>
    <w:rsid w:val="004629D0"/>
    <w:rsid w:val="004666FF"/>
    <w:rsid w:val="00467BCD"/>
    <w:rsid w:val="004704E7"/>
    <w:rsid w:val="00470EDB"/>
    <w:rsid w:val="0047123B"/>
    <w:rsid w:val="00471FC8"/>
    <w:rsid w:val="0047411D"/>
    <w:rsid w:val="0048071E"/>
    <w:rsid w:val="00484628"/>
    <w:rsid w:val="0049061A"/>
    <w:rsid w:val="00493FD9"/>
    <w:rsid w:val="004947A6"/>
    <w:rsid w:val="00495034"/>
    <w:rsid w:val="00496CE9"/>
    <w:rsid w:val="004A1BB3"/>
    <w:rsid w:val="004B51E8"/>
    <w:rsid w:val="004B6D52"/>
    <w:rsid w:val="004B7CB1"/>
    <w:rsid w:val="004B7DCC"/>
    <w:rsid w:val="004D10FA"/>
    <w:rsid w:val="004D1A51"/>
    <w:rsid w:val="004D31EF"/>
    <w:rsid w:val="004D53B4"/>
    <w:rsid w:val="004D66BC"/>
    <w:rsid w:val="004E1EE0"/>
    <w:rsid w:val="004F0A32"/>
    <w:rsid w:val="004F15A6"/>
    <w:rsid w:val="004F2BCC"/>
    <w:rsid w:val="005056AC"/>
    <w:rsid w:val="00505C54"/>
    <w:rsid w:val="00507866"/>
    <w:rsid w:val="005101D6"/>
    <w:rsid w:val="00511A3F"/>
    <w:rsid w:val="005131B1"/>
    <w:rsid w:val="0051323D"/>
    <w:rsid w:val="005138BE"/>
    <w:rsid w:val="00517BD5"/>
    <w:rsid w:val="005214BE"/>
    <w:rsid w:val="00523C1F"/>
    <w:rsid w:val="00524D31"/>
    <w:rsid w:val="00525D56"/>
    <w:rsid w:val="00527D74"/>
    <w:rsid w:val="005409AD"/>
    <w:rsid w:val="00541443"/>
    <w:rsid w:val="00552CE2"/>
    <w:rsid w:val="00554DB3"/>
    <w:rsid w:val="00556B97"/>
    <w:rsid w:val="00556F99"/>
    <w:rsid w:val="00562BBA"/>
    <w:rsid w:val="00563B30"/>
    <w:rsid w:val="005675AD"/>
    <w:rsid w:val="005752F9"/>
    <w:rsid w:val="00575B12"/>
    <w:rsid w:val="005761AE"/>
    <w:rsid w:val="0057742D"/>
    <w:rsid w:val="00583A5D"/>
    <w:rsid w:val="00590506"/>
    <w:rsid w:val="00592C24"/>
    <w:rsid w:val="00596D77"/>
    <w:rsid w:val="005A3E11"/>
    <w:rsid w:val="005A5DEF"/>
    <w:rsid w:val="005A6964"/>
    <w:rsid w:val="005B4F15"/>
    <w:rsid w:val="005B6E85"/>
    <w:rsid w:val="005C3CD3"/>
    <w:rsid w:val="005C7207"/>
    <w:rsid w:val="005C75EC"/>
    <w:rsid w:val="005C7927"/>
    <w:rsid w:val="005D3CF3"/>
    <w:rsid w:val="005E0645"/>
    <w:rsid w:val="005E1F4F"/>
    <w:rsid w:val="005E3C2E"/>
    <w:rsid w:val="005E7140"/>
    <w:rsid w:val="005F09BB"/>
    <w:rsid w:val="005F09E1"/>
    <w:rsid w:val="005F1402"/>
    <w:rsid w:val="005F5106"/>
    <w:rsid w:val="006019EB"/>
    <w:rsid w:val="00605354"/>
    <w:rsid w:val="00610CD9"/>
    <w:rsid w:val="00613DDF"/>
    <w:rsid w:val="0061572D"/>
    <w:rsid w:val="006166CA"/>
    <w:rsid w:val="006179FA"/>
    <w:rsid w:val="00617EFD"/>
    <w:rsid w:val="00620647"/>
    <w:rsid w:val="006278E2"/>
    <w:rsid w:val="00630976"/>
    <w:rsid w:val="00632FA4"/>
    <w:rsid w:val="006370D4"/>
    <w:rsid w:val="006417A5"/>
    <w:rsid w:val="006447FB"/>
    <w:rsid w:val="00645281"/>
    <w:rsid w:val="006454C7"/>
    <w:rsid w:val="00646C05"/>
    <w:rsid w:val="0065029B"/>
    <w:rsid w:val="00652F47"/>
    <w:rsid w:val="00653400"/>
    <w:rsid w:val="00657DD3"/>
    <w:rsid w:val="00664E28"/>
    <w:rsid w:val="00666669"/>
    <w:rsid w:val="0066754E"/>
    <w:rsid w:val="0067289D"/>
    <w:rsid w:val="006731BC"/>
    <w:rsid w:val="006746E6"/>
    <w:rsid w:val="00691C3B"/>
    <w:rsid w:val="00693676"/>
    <w:rsid w:val="006938C7"/>
    <w:rsid w:val="00694A43"/>
    <w:rsid w:val="00694B6C"/>
    <w:rsid w:val="006A109C"/>
    <w:rsid w:val="006A6C68"/>
    <w:rsid w:val="006B19B8"/>
    <w:rsid w:val="006B3206"/>
    <w:rsid w:val="006B5544"/>
    <w:rsid w:val="006B5C55"/>
    <w:rsid w:val="006B629C"/>
    <w:rsid w:val="006B66B4"/>
    <w:rsid w:val="006B6A0D"/>
    <w:rsid w:val="006C13F5"/>
    <w:rsid w:val="006D2126"/>
    <w:rsid w:val="006D4528"/>
    <w:rsid w:val="006D62CC"/>
    <w:rsid w:val="006D677D"/>
    <w:rsid w:val="006E0D5D"/>
    <w:rsid w:val="006E3AD8"/>
    <w:rsid w:val="006F0262"/>
    <w:rsid w:val="006F069C"/>
    <w:rsid w:val="006F14E4"/>
    <w:rsid w:val="006F196E"/>
    <w:rsid w:val="006F23E6"/>
    <w:rsid w:val="006F542B"/>
    <w:rsid w:val="006F58F2"/>
    <w:rsid w:val="006F5BFB"/>
    <w:rsid w:val="006F5DED"/>
    <w:rsid w:val="0070009E"/>
    <w:rsid w:val="00703AD9"/>
    <w:rsid w:val="00706CF9"/>
    <w:rsid w:val="00711F80"/>
    <w:rsid w:val="007121CA"/>
    <w:rsid w:val="00716076"/>
    <w:rsid w:val="00716BC3"/>
    <w:rsid w:val="00725023"/>
    <w:rsid w:val="00726FD3"/>
    <w:rsid w:val="00731DA8"/>
    <w:rsid w:val="00732CB6"/>
    <w:rsid w:val="00740D36"/>
    <w:rsid w:val="00742257"/>
    <w:rsid w:val="00753453"/>
    <w:rsid w:val="007574A7"/>
    <w:rsid w:val="00757DAD"/>
    <w:rsid w:val="00770EEA"/>
    <w:rsid w:val="0077117E"/>
    <w:rsid w:val="00784423"/>
    <w:rsid w:val="007878AF"/>
    <w:rsid w:val="00795A6D"/>
    <w:rsid w:val="00797D2C"/>
    <w:rsid w:val="007A10CE"/>
    <w:rsid w:val="007A24EE"/>
    <w:rsid w:val="007C100D"/>
    <w:rsid w:val="007C4570"/>
    <w:rsid w:val="007D2543"/>
    <w:rsid w:val="007D6394"/>
    <w:rsid w:val="007E2A3D"/>
    <w:rsid w:val="007E350D"/>
    <w:rsid w:val="007E5C15"/>
    <w:rsid w:val="007E7840"/>
    <w:rsid w:val="007F098E"/>
    <w:rsid w:val="008111A1"/>
    <w:rsid w:val="0081657C"/>
    <w:rsid w:val="0081703A"/>
    <w:rsid w:val="00817BC9"/>
    <w:rsid w:val="00820DBF"/>
    <w:rsid w:val="008252EB"/>
    <w:rsid w:val="0083744C"/>
    <w:rsid w:val="0085795A"/>
    <w:rsid w:val="00862FE3"/>
    <w:rsid w:val="00863B5D"/>
    <w:rsid w:val="00872885"/>
    <w:rsid w:val="00872F64"/>
    <w:rsid w:val="00883863"/>
    <w:rsid w:val="00886BA1"/>
    <w:rsid w:val="00887E25"/>
    <w:rsid w:val="00892DDB"/>
    <w:rsid w:val="008967A8"/>
    <w:rsid w:val="008A1CB5"/>
    <w:rsid w:val="008A3D2F"/>
    <w:rsid w:val="008A58EE"/>
    <w:rsid w:val="008B0D20"/>
    <w:rsid w:val="008B5027"/>
    <w:rsid w:val="008C27D3"/>
    <w:rsid w:val="008C4719"/>
    <w:rsid w:val="008C5D85"/>
    <w:rsid w:val="008D00E0"/>
    <w:rsid w:val="008D2CEA"/>
    <w:rsid w:val="008D6B57"/>
    <w:rsid w:val="008D705D"/>
    <w:rsid w:val="008E61A2"/>
    <w:rsid w:val="008E626F"/>
    <w:rsid w:val="008E7E1C"/>
    <w:rsid w:val="008F32FD"/>
    <w:rsid w:val="008F3BBB"/>
    <w:rsid w:val="008F568E"/>
    <w:rsid w:val="008F5DD9"/>
    <w:rsid w:val="009007FE"/>
    <w:rsid w:val="00902993"/>
    <w:rsid w:val="00907ECE"/>
    <w:rsid w:val="0092052C"/>
    <w:rsid w:val="00925D67"/>
    <w:rsid w:val="0093160A"/>
    <w:rsid w:val="0093254F"/>
    <w:rsid w:val="009329F7"/>
    <w:rsid w:val="00933A9D"/>
    <w:rsid w:val="009408C5"/>
    <w:rsid w:val="009426F1"/>
    <w:rsid w:val="00943769"/>
    <w:rsid w:val="00944395"/>
    <w:rsid w:val="0095597C"/>
    <w:rsid w:val="009618CE"/>
    <w:rsid w:val="00965570"/>
    <w:rsid w:val="00966653"/>
    <w:rsid w:val="00975A58"/>
    <w:rsid w:val="00991188"/>
    <w:rsid w:val="009A6561"/>
    <w:rsid w:val="009A77BD"/>
    <w:rsid w:val="009B07D1"/>
    <w:rsid w:val="009B29BE"/>
    <w:rsid w:val="009B7AB8"/>
    <w:rsid w:val="009C298A"/>
    <w:rsid w:val="009D080B"/>
    <w:rsid w:val="009E0119"/>
    <w:rsid w:val="009E0ADF"/>
    <w:rsid w:val="009E2CAB"/>
    <w:rsid w:val="009E4B9E"/>
    <w:rsid w:val="009E50B0"/>
    <w:rsid w:val="009E6337"/>
    <w:rsid w:val="009E63E8"/>
    <w:rsid w:val="009F3487"/>
    <w:rsid w:val="009F3C7C"/>
    <w:rsid w:val="00A00E5E"/>
    <w:rsid w:val="00A0339A"/>
    <w:rsid w:val="00A048BC"/>
    <w:rsid w:val="00A04A7A"/>
    <w:rsid w:val="00A062AE"/>
    <w:rsid w:val="00A07BB2"/>
    <w:rsid w:val="00A07E48"/>
    <w:rsid w:val="00A11010"/>
    <w:rsid w:val="00A12AB2"/>
    <w:rsid w:val="00A141A0"/>
    <w:rsid w:val="00A15AE5"/>
    <w:rsid w:val="00A1723A"/>
    <w:rsid w:val="00A2108B"/>
    <w:rsid w:val="00A341AC"/>
    <w:rsid w:val="00A4198B"/>
    <w:rsid w:val="00A44914"/>
    <w:rsid w:val="00A46380"/>
    <w:rsid w:val="00A47E3F"/>
    <w:rsid w:val="00A5248E"/>
    <w:rsid w:val="00A5410A"/>
    <w:rsid w:val="00A547B4"/>
    <w:rsid w:val="00A54C03"/>
    <w:rsid w:val="00A554F2"/>
    <w:rsid w:val="00A62443"/>
    <w:rsid w:val="00A6284E"/>
    <w:rsid w:val="00A6653A"/>
    <w:rsid w:val="00A713BB"/>
    <w:rsid w:val="00A77562"/>
    <w:rsid w:val="00A80C98"/>
    <w:rsid w:val="00A82A12"/>
    <w:rsid w:val="00A86891"/>
    <w:rsid w:val="00A94361"/>
    <w:rsid w:val="00A951A5"/>
    <w:rsid w:val="00AA2953"/>
    <w:rsid w:val="00AA5F57"/>
    <w:rsid w:val="00AB6CC8"/>
    <w:rsid w:val="00AB7494"/>
    <w:rsid w:val="00AC3675"/>
    <w:rsid w:val="00AC3AB2"/>
    <w:rsid w:val="00AC47BD"/>
    <w:rsid w:val="00AC7CDB"/>
    <w:rsid w:val="00AD7FF9"/>
    <w:rsid w:val="00AE09DB"/>
    <w:rsid w:val="00AF377A"/>
    <w:rsid w:val="00AF47C3"/>
    <w:rsid w:val="00AF5AFC"/>
    <w:rsid w:val="00AF6BED"/>
    <w:rsid w:val="00B00E80"/>
    <w:rsid w:val="00B15783"/>
    <w:rsid w:val="00B30D6A"/>
    <w:rsid w:val="00B4139A"/>
    <w:rsid w:val="00B43D62"/>
    <w:rsid w:val="00B513E0"/>
    <w:rsid w:val="00B53B24"/>
    <w:rsid w:val="00B651BF"/>
    <w:rsid w:val="00B7496C"/>
    <w:rsid w:val="00B81A07"/>
    <w:rsid w:val="00B84AF1"/>
    <w:rsid w:val="00B84B76"/>
    <w:rsid w:val="00B84F60"/>
    <w:rsid w:val="00B915FE"/>
    <w:rsid w:val="00BA4C68"/>
    <w:rsid w:val="00BA5E27"/>
    <w:rsid w:val="00BA6BB1"/>
    <w:rsid w:val="00BB3A1D"/>
    <w:rsid w:val="00BB4575"/>
    <w:rsid w:val="00BC29C3"/>
    <w:rsid w:val="00BD0869"/>
    <w:rsid w:val="00BD14D3"/>
    <w:rsid w:val="00BD3D3F"/>
    <w:rsid w:val="00BD45A7"/>
    <w:rsid w:val="00BD68CA"/>
    <w:rsid w:val="00BD68FF"/>
    <w:rsid w:val="00BE0EDD"/>
    <w:rsid w:val="00BE10A9"/>
    <w:rsid w:val="00BF035D"/>
    <w:rsid w:val="00C00E3E"/>
    <w:rsid w:val="00C02456"/>
    <w:rsid w:val="00C300D0"/>
    <w:rsid w:val="00C32CE8"/>
    <w:rsid w:val="00C34AE1"/>
    <w:rsid w:val="00C365A2"/>
    <w:rsid w:val="00C4636A"/>
    <w:rsid w:val="00C51252"/>
    <w:rsid w:val="00C516F3"/>
    <w:rsid w:val="00C613A4"/>
    <w:rsid w:val="00C64FD1"/>
    <w:rsid w:val="00C67DA4"/>
    <w:rsid w:val="00C73480"/>
    <w:rsid w:val="00C74BD7"/>
    <w:rsid w:val="00C75BEA"/>
    <w:rsid w:val="00C76D22"/>
    <w:rsid w:val="00C8469D"/>
    <w:rsid w:val="00C87130"/>
    <w:rsid w:val="00C9393B"/>
    <w:rsid w:val="00C93C63"/>
    <w:rsid w:val="00C94CF7"/>
    <w:rsid w:val="00C964D5"/>
    <w:rsid w:val="00CA3FE7"/>
    <w:rsid w:val="00CB119E"/>
    <w:rsid w:val="00CB6983"/>
    <w:rsid w:val="00CB7797"/>
    <w:rsid w:val="00CC2A04"/>
    <w:rsid w:val="00CC3FD1"/>
    <w:rsid w:val="00CC439A"/>
    <w:rsid w:val="00CC7A6D"/>
    <w:rsid w:val="00CC7EA7"/>
    <w:rsid w:val="00CD1F91"/>
    <w:rsid w:val="00CD490D"/>
    <w:rsid w:val="00CD609C"/>
    <w:rsid w:val="00CD7721"/>
    <w:rsid w:val="00CD7D0D"/>
    <w:rsid w:val="00CE5BA9"/>
    <w:rsid w:val="00CF3175"/>
    <w:rsid w:val="00CF7337"/>
    <w:rsid w:val="00D07E28"/>
    <w:rsid w:val="00D11D41"/>
    <w:rsid w:val="00D1409E"/>
    <w:rsid w:val="00D1431F"/>
    <w:rsid w:val="00D157A3"/>
    <w:rsid w:val="00D30E81"/>
    <w:rsid w:val="00D334AC"/>
    <w:rsid w:val="00D35E28"/>
    <w:rsid w:val="00D379B9"/>
    <w:rsid w:val="00D4067C"/>
    <w:rsid w:val="00D4075C"/>
    <w:rsid w:val="00D40894"/>
    <w:rsid w:val="00D432AB"/>
    <w:rsid w:val="00D43DB1"/>
    <w:rsid w:val="00D4501B"/>
    <w:rsid w:val="00D53CA6"/>
    <w:rsid w:val="00D57437"/>
    <w:rsid w:val="00D61525"/>
    <w:rsid w:val="00D6186C"/>
    <w:rsid w:val="00D638D5"/>
    <w:rsid w:val="00D669F7"/>
    <w:rsid w:val="00D702A5"/>
    <w:rsid w:val="00D70EF7"/>
    <w:rsid w:val="00D75757"/>
    <w:rsid w:val="00D75CAF"/>
    <w:rsid w:val="00D80FFB"/>
    <w:rsid w:val="00D829CF"/>
    <w:rsid w:val="00D87E6C"/>
    <w:rsid w:val="00D92634"/>
    <w:rsid w:val="00DA1CD4"/>
    <w:rsid w:val="00DB2631"/>
    <w:rsid w:val="00DB6E80"/>
    <w:rsid w:val="00DC328D"/>
    <w:rsid w:val="00DD2FD8"/>
    <w:rsid w:val="00DE1AE1"/>
    <w:rsid w:val="00DF5BC9"/>
    <w:rsid w:val="00E01F05"/>
    <w:rsid w:val="00E26BC7"/>
    <w:rsid w:val="00E27640"/>
    <w:rsid w:val="00E27904"/>
    <w:rsid w:val="00E4406F"/>
    <w:rsid w:val="00E54551"/>
    <w:rsid w:val="00E54CFC"/>
    <w:rsid w:val="00E56053"/>
    <w:rsid w:val="00E62CFE"/>
    <w:rsid w:val="00E73981"/>
    <w:rsid w:val="00E76718"/>
    <w:rsid w:val="00E81729"/>
    <w:rsid w:val="00E92C4B"/>
    <w:rsid w:val="00E936CE"/>
    <w:rsid w:val="00E96297"/>
    <w:rsid w:val="00E965DC"/>
    <w:rsid w:val="00E967F7"/>
    <w:rsid w:val="00EA310F"/>
    <w:rsid w:val="00EA54A9"/>
    <w:rsid w:val="00EA636C"/>
    <w:rsid w:val="00EB6199"/>
    <w:rsid w:val="00EE152F"/>
    <w:rsid w:val="00EE4E8C"/>
    <w:rsid w:val="00EF1E40"/>
    <w:rsid w:val="00EF6912"/>
    <w:rsid w:val="00F03430"/>
    <w:rsid w:val="00F03613"/>
    <w:rsid w:val="00F05BBA"/>
    <w:rsid w:val="00F15233"/>
    <w:rsid w:val="00F1607D"/>
    <w:rsid w:val="00F25CFB"/>
    <w:rsid w:val="00F33D8D"/>
    <w:rsid w:val="00F34A35"/>
    <w:rsid w:val="00F3608B"/>
    <w:rsid w:val="00F36BDE"/>
    <w:rsid w:val="00F40EB3"/>
    <w:rsid w:val="00F46987"/>
    <w:rsid w:val="00F53A9D"/>
    <w:rsid w:val="00F56308"/>
    <w:rsid w:val="00F72700"/>
    <w:rsid w:val="00F7441F"/>
    <w:rsid w:val="00F91219"/>
    <w:rsid w:val="00F91618"/>
    <w:rsid w:val="00F92609"/>
    <w:rsid w:val="00F9482B"/>
    <w:rsid w:val="00F966DF"/>
    <w:rsid w:val="00F9672A"/>
    <w:rsid w:val="00FA03E5"/>
    <w:rsid w:val="00FA6AFC"/>
    <w:rsid w:val="00FB1433"/>
    <w:rsid w:val="00FB1575"/>
    <w:rsid w:val="00FB4416"/>
    <w:rsid w:val="00FB464B"/>
    <w:rsid w:val="00FC10F6"/>
    <w:rsid w:val="00FC17AD"/>
    <w:rsid w:val="00FC1B6A"/>
    <w:rsid w:val="00FD01A7"/>
    <w:rsid w:val="00FD27E3"/>
    <w:rsid w:val="00FD307F"/>
    <w:rsid w:val="00FD3F58"/>
    <w:rsid w:val="00FE1665"/>
    <w:rsid w:val="00FE1D95"/>
    <w:rsid w:val="00FE2CEC"/>
    <w:rsid w:val="00FE3298"/>
    <w:rsid w:val="00FE54B4"/>
    <w:rsid w:val="00FF0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9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C7207"/>
    <w:pPr>
      <w:tabs>
        <w:tab w:val="center" w:pos="4536"/>
        <w:tab w:val="right" w:pos="9072"/>
      </w:tabs>
      <w:spacing w:line="240" w:lineRule="auto"/>
    </w:pPr>
  </w:style>
  <w:style w:type="character" w:customStyle="1" w:styleId="HeaderChar">
    <w:name w:val="Header Char"/>
    <w:basedOn w:val="DefaultParagraphFont"/>
    <w:link w:val="Header"/>
    <w:uiPriority w:val="99"/>
    <w:rsid w:val="005C7207"/>
    <w:rPr>
      <w:rFonts w:ascii="Verdana" w:hAnsi="Verdana"/>
      <w:color w:val="000000"/>
      <w:sz w:val="18"/>
      <w:szCs w:val="18"/>
    </w:rPr>
  </w:style>
  <w:style w:type="paragraph" w:styleId="Footer">
    <w:name w:val="footer"/>
    <w:basedOn w:val="Normal"/>
    <w:link w:val="FooterChar"/>
    <w:uiPriority w:val="99"/>
    <w:unhideWhenUsed/>
    <w:rsid w:val="005C7207"/>
    <w:pPr>
      <w:tabs>
        <w:tab w:val="center" w:pos="4536"/>
        <w:tab w:val="right" w:pos="9072"/>
      </w:tabs>
      <w:spacing w:line="240" w:lineRule="auto"/>
    </w:pPr>
  </w:style>
  <w:style w:type="character" w:customStyle="1" w:styleId="FooterChar">
    <w:name w:val="Footer Char"/>
    <w:basedOn w:val="DefaultParagraphFont"/>
    <w:link w:val="Footer"/>
    <w:uiPriority w:val="99"/>
    <w:rsid w:val="005C7207"/>
    <w:rPr>
      <w:rFonts w:ascii="Verdana" w:hAnsi="Verdana"/>
      <w:color w:val="000000"/>
      <w:sz w:val="18"/>
      <w:szCs w:val="18"/>
    </w:rPr>
  </w:style>
  <w:style w:type="paragraph" w:styleId="FootnoteText">
    <w:name w:val="footnote text"/>
    <w:basedOn w:val="Normal"/>
    <w:link w:val="FootnoteTextChar"/>
    <w:uiPriority w:val="99"/>
    <w:semiHidden/>
    <w:unhideWhenUsed/>
    <w:rsid w:val="003A714C"/>
    <w:pPr>
      <w:spacing w:line="240" w:lineRule="auto"/>
    </w:pPr>
    <w:rPr>
      <w:sz w:val="20"/>
      <w:szCs w:val="20"/>
    </w:rPr>
  </w:style>
  <w:style w:type="character" w:customStyle="1" w:styleId="FootnoteTextChar">
    <w:name w:val="Footnote Text Char"/>
    <w:basedOn w:val="DefaultParagraphFont"/>
    <w:link w:val="FootnoteText"/>
    <w:uiPriority w:val="99"/>
    <w:semiHidden/>
    <w:rsid w:val="003A714C"/>
    <w:rPr>
      <w:rFonts w:ascii="Verdana" w:hAnsi="Verdana"/>
      <w:color w:val="000000"/>
    </w:rPr>
  </w:style>
  <w:style w:type="character" w:styleId="FootnoteReference">
    <w:name w:val="footnote reference"/>
    <w:basedOn w:val="DefaultParagraphFont"/>
    <w:uiPriority w:val="99"/>
    <w:semiHidden/>
    <w:unhideWhenUsed/>
    <w:rsid w:val="003A714C"/>
    <w:rPr>
      <w:vertAlign w:val="superscript"/>
    </w:rPr>
  </w:style>
  <w:style w:type="character" w:customStyle="1" w:styleId="UnresolvedMention">
    <w:name w:val="Unresolved Mention"/>
    <w:basedOn w:val="DefaultParagraphFont"/>
    <w:uiPriority w:val="99"/>
    <w:semiHidden/>
    <w:unhideWhenUsed/>
    <w:rsid w:val="009B7AB8"/>
    <w:rPr>
      <w:color w:val="605E5C"/>
      <w:shd w:val="clear" w:color="auto" w:fill="E1DFDD"/>
    </w:rPr>
  </w:style>
  <w:style w:type="character" w:styleId="CommentReference">
    <w:name w:val="annotation reference"/>
    <w:basedOn w:val="DefaultParagraphFont"/>
    <w:uiPriority w:val="99"/>
    <w:semiHidden/>
    <w:unhideWhenUsed/>
    <w:rsid w:val="00A47E3F"/>
    <w:rPr>
      <w:sz w:val="16"/>
      <w:szCs w:val="16"/>
    </w:rPr>
  </w:style>
  <w:style w:type="paragraph" w:styleId="CommentText">
    <w:name w:val="annotation text"/>
    <w:basedOn w:val="Normal"/>
    <w:link w:val="CommentTextChar"/>
    <w:uiPriority w:val="99"/>
    <w:unhideWhenUsed/>
    <w:rsid w:val="00A47E3F"/>
    <w:pPr>
      <w:spacing w:line="240" w:lineRule="auto"/>
    </w:pPr>
    <w:rPr>
      <w:sz w:val="20"/>
      <w:szCs w:val="20"/>
    </w:rPr>
  </w:style>
  <w:style w:type="character" w:customStyle="1" w:styleId="CommentTextChar">
    <w:name w:val="Comment Text Char"/>
    <w:basedOn w:val="DefaultParagraphFont"/>
    <w:link w:val="CommentText"/>
    <w:uiPriority w:val="99"/>
    <w:rsid w:val="00A47E3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47E3F"/>
    <w:rPr>
      <w:b/>
      <w:bCs/>
    </w:rPr>
  </w:style>
  <w:style w:type="character" w:customStyle="1" w:styleId="CommentSubjectChar">
    <w:name w:val="Comment Subject Char"/>
    <w:basedOn w:val="CommentTextChar"/>
    <w:link w:val="CommentSubject"/>
    <w:uiPriority w:val="99"/>
    <w:semiHidden/>
    <w:rsid w:val="00A47E3F"/>
    <w:rPr>
      <w:rFonts w:ascii="Verdana" w:hAnsi="Verdana"/>
      <w:b/>
      <w:bCs/>
      <w:color w:val="000000"/>
    </w:rPr>
  </w:style>
  <w:style w:type="paragraph" w:styleId="ListParagraph">
    <w:name w:val="List Paragraph"/>
    <w:basedOn w:val="Normal"/>
    <w:uiPriority w:val="34"/>
    <w:qFormat/>
    <w:rsid w:val="001E1C1D"/>
    <w:pPr>
      <w:ind w:left="720"/>
      <w:contextualSpacing/>
    </w:pPr>
  </w:style>
  <w:style w:type="paragraph" w:styleId="Revision">
    <w:name w:val="Revision"/>
    <w:hidden/>
    <w:uiPriority w:val="99"/>
    <w:semiHidden/>
    <w:rsid w:val="00F966D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8242">
      <w:bodyDiv w:val="1"/>
      <w:marLeft w:val="0"/>
      <w:marRight w:val="0"/>
      <w:marTop w:val="0"/>
      <w:marBottom w:val="0"/>
      <w:divBdr>
        <w:top w:val="none" w:sz="0" w:space="0" w:color="auto"/>
        <w:left w:val="none" w:sz="0" w:space="0" w:color="auto"/>
        <w:bottom w:val="none" w:sz="0" w:space="0" w:color="auto"/>
        <w:right w:val="none" w:sz="0" w:space="0" w:color="auto"/>
      </w:divBdr>
    </w:div>
    <w:div w:id="1094132309">
      <w:bodyDiv w:val="1"/>
      <w:marLeft w:val="0"/>
      <w:marRight w:val="0"/>
      <w:marTop w:val="0"/>
      <w:marBottom w:val="0"/>
      <w:divBdr>
        <w:top w:val="none" w:sz="0" w:space="0" w:color="auto"/>
        <w:left w:val="none" w:sz="0" w:space="0" w:color="auto"/>
        <w:bottom w:val="none" w:sz="0" w:space="0" w:color="auto"/>
        <w:right w:val="none" w:sz="0" w:space="0" w:color="auto"/>
      </w:divBdr>
    </w:div>
    <w:div w:id="1354498458">
      <w:bodyDiv w:val="1"/>
      <w:marLeft w:val="0"/>
      <w:marRight w:val="0"/>
      <w:marTop w:val="0"/>
      <w:marBottom w:val="0"/>
      <w:divBdr>
        <w:top w:val="none" w:sz="0" w:space="0" w:color="auto"/>
        <w:left w:val="none" w:sz="0" w:space="0" w:color="auto"/>
        <w:bottom w:val="none" w:sz="0" w:space="0" w:color="auto"/>
        <w:right w:val="none" w:sz="0" w:space="0" w:color="auto"/>
      </w:divBdr>
    </w:div>
    <w:div w:id="1474828143">
      <w:bodyDiv w:val="1"/>
      <w:marLeft w:val="0"/>
      <w:marRight w:val="0"/>
      <w:marTop w:val="0"/>
      <w:marBottom w:val="0"/>
      <w:divBdr>
        <w:top w:val="none" w:sz="0" w:space="0" w:color="auto"/>
        <w:left w:val="none" w:sz="0" w:space="0" w:color="auto"/>
        <w:bottom w:val="none" w:sz="0" w:space="0" w:color="auto"/>
        <w:right w:val="none" w:sz="0" w:space="0" w:color="auto"/>
      </w:divBdr>
    </w:div>
    <w:div w:id="1604917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2079</ap:Words>
  <ap:Characters>11853</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Parlement - Verkenning publieke mobiliteit</vt:lpstr>
    </vt:vector>
  </ap:TitlesOfParts>
  <ap:LinksUpToDate>false</ap:LinksUpToDate>
  <ap:CharactersWithSpaces>13905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2025-12-08T10:29:00.0000000Z</lastPrinted>
  <dcterms:created xsi:type="dcterms:W3CDTF">2025-12-19T10:23:00.0000000Z</dcterms:created>
  <dcterms:modified xsi:type="dcterms:W3CDTF">2025-12-19T10:23:00.0000000Z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Verkenning publieke mobiliteit</vt:lpwstr>
  </property>
  <property fmtid="{D5CDD505-2E9C-101B-9397-08002B2CF9AE}" pid="5" name="Publicatiedatum">
    <vt:lpwstr/>
  </property>
  <property fmtid="{D5CDD505-2E9C-101B-9397-08002B2CF9AE}" pid="6" name="Verantwoordelijke organisatie">
    <vt:lpwstr>Directie Mobiliteit en Gebieden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B.A. Bakermans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