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02522" w14:paraId="1D2C203E" w14:textId="77777777">
      <w:r w:rsidRPr="00022584">
        <w:t>Met deze brief informeer ik uw Kamer over de voortgang van het topinkomensbeleid van het kabinet in de (semi-)publieke sector. Bij deze brief is de WNT-jaarrapportage 202</w:t>
      </w:r>
      <w:r>
        <w:t>4</w:t>
      </w:r>
      <w:r w:rsidRPr="00022584">
        <w:t xml:space="preserve"> gevoegd, met een overzicht van overtredingen en handhavingsmaatregelen.</w:t>
      </w:r>
      <w:r>
        <w:rPr>
          <w:rStyle w:val="FootnoteReference"/>
        </w:rPr>
        <w:footnoteReference w:id="2"/>
      </w:r>
      <w:r w:rsidRPr="00022584">
        <w:t xml:space="preserve"> Ook geef ik een overzicht van ingediende en gehonoreerde uitzonderingsverzoeken in het kader van de WNT.</w:t>
      </w:r>
    </w:p>
    <w:p w:rsidR="00E02522" w14:paraId="40DDBED1" w14:textId="77777777"/>
    <w:p w:rsidRPr="00022584" w:rsidR="00022584" w14:paraId="15EE3F08" w14:textId="77777777">
      <w:pPr>
        <w:rPr>
          <w:b/>
          <w:bCs/>
        </w:rPr>
      </w:pPr>
      <w:r w:rsidRPr="00022584">
        <w:rPr>
          <w:b/>
          <w:bCs/>
        </w:rPr>
        <w:t>Toezicht en handhaving</w:t>
      </w:r>
    </w:p>
    <w:p w:rsidR="00022584" w14:paraId="6FF4C6FB" w14:textId="77777777">
      <w:r w:rsidRPr="00022584">
        <w:t xml:space="preserve">De WNT-jaarrapportage (bijlage 1) omvat nieuw gemelde overtredingen en een actualisatie van overtredingen uit eerdere WNT-rapportages die nog in behandeling zijn. Een deel van de overtredingen is gesignaleerd door de </w:t>
      </w:r>
      <w:r w:rsidRPr="00022584">
        <w:t>accountant</w:t>
      </w:r>
      <w:r w:rsidRPr="00022584">
        <w:t>, die de facto fungeert als eerstelijns toezichthouder. Het andere deel van de gemelde overtredingen in de WNT-jaarrapportage is afkomstig van de verschillende WNT-toezichthouders, door het uitoefenen van proactief toezicht of door te reageren op signalen die zij via andere wegen ontvangen</w:t>
      </w:r>
      <w:r w:rsidR="00611DCE">
        <w:t>.</w:t>
      </w:r>
    </w:p>
    <w:p w:rsidR="00022584" w14:paraId="1C828A6A" w14:textId="77777777"/>
    <w:p w:rsidR="00E02522" w14:paraId="5704C877" w14:textId="77777777">
      <w:r w:rsidRPr="00022584">
        <w:t>Ten opzichte van de WNT-jaarrapportage 202</w:t>
      </w:r>
      <w:r>
        <w:t>3</w:t>
      </w:r>
      <w:r w:rsidRPr="00022584">
        <w:t xml:space="preserve"> zijn er </w:t>
      </w:r>
      <w:r>
        <w:t xml:space="preserve">47 </w:t>
      </w:r>
      <w:r w:rsidRPr="00022584">
        <w:t xml:space="preserve">nieuwe meldingen. Hiervan betreffen </w:t>
      </w:r>
      <w:r w:rsidR="009120B6">
        <w:t>24</w:t>
      </w:r>
      <w:r>
        <w:t xml:space="preserve"> </w:t>
      </w:r>
      <w:r w:rsidRPr="00022584">
        <w:t xml:space="preserve">een overschrijding van het toepasselijke bezoldigingsmaximum, en </w:t>
      </w:r>
      <w:r w:rsidR="009120B6">
        <w:t>22</w:t>
      </w:r>
      <w:r w:rsidRPr="00022584">
        <w:t xml:space="preserve"> hebben betrekking op de openbaarmakingsplicht. Er </w:t>
      </w:r>
      <w:r w:rsidR="009120B6">
        <w:t>is één</w:t>
      </w:r>
      <w:r w:rsidRPr="00022584">
        <w:t xml:space="preserve"> nieuwe overtreding van de </w:t>
      </w:r>
      <w:r w:rsidR="00464744">
        <w:t>maximering</w:t>
      </w:r>
      <w:r w:rsidRPr="00022584" w:rsidR="00464744">
        <w:t xml:space="preserve"> </w:t>
      </w:r>
      <w:r w:rsidRPr="00022584">
        <w:t xml:space="preserve">van de ontslagvergoeding gemeld. Van de </w:t>
      </w:r>
      <w:r>
        <w:t>47</w:t>
      </w:r>
      <w:r w:rsidRPr="00022584">
        <w:t xml:space="preserve"> nieuwe meldingen zijn er</w:t>
      </w:r>
      <w:r>
        <w:t xml:space="preserve"> 1</w:t>
      </w:r>
      <w:r w:rsidR="00F05664">
        <w:t>2</w:t>
      </w:r>
      <w:r>
        <w:t xml:space="preserve"> </w:t>
      </w:r>
      <w:r w:rsidRPr="00022584">
        <w:t xml:space="preserve">nog in behandeling, de andere </w:t>
      </w:r>
      <w:r>
        <w:t>3</w:t>
      </w:r>
      <w:r w:rsidR="00F05664">
        <w:t>5</w:t>
      </w:r>
      <w:r>
        <w:t xml:space="preserve"> </w:t>
      </w:r>
      <w:r w:rsidRPr="00022584">
        <w:t>zijn afgehandeld (doorgaans is de overtreding ongedaan gemaakt zonder handhavingsmaatregelen).</w:t>
      </w:r>
    </w:p>
    <w:p w:rsidR="009120B6" w14:paraId="6D8B73C4" w14:textId="77777777"/>
    <w:p w:rsidRPr="009120B6" w:rsidR="009120B6" w14:paraId="19E50DAF" w14:textId="77777777">
      <w:pPr>
        <w:rPr>
          <w:b/>
          <w:bCs/>
        </w:rPr>
      </w:pPr>
      <w:r>
        <w:rPr>
          <w:b/>
          <w:bCs/>
        </w:rPr>
        <w:t>Meldingen bij intra-concern detachering</w:t>
      </w:r>
    </w:p>
    <w:p w:rsidR="009120B6" w14:paraId="034AA036" w14:textId="77777777">
      <w:r w:rsidRPr="00BD7921">
        <w:rPr>
          <w:color w:val="auto"/>
        </w:rPr>
        <w:t xml:space="preserve">Naast meldingen van overtredingen van de WNT zijn er dit jaar </w:t>
      </w:r>
      <w:r w:rsidRPr="00BD7921">
        <w:rPr>
          <w:color w:val="auto"/>
        </w:rPr>
        <w:t>circa</w:t>
      </w:r>
      <w:r w:rsidRPr="00BD7921">
        <w:rPr>
          <w:color w:val="auto"/>
        </w:rPr>
        <w:t xml:space="preserve"> </w:t>
      </w:r>
      <w:r w:rsidR="00375BAB">
        <w:rPr>
          <w:color w:val="auto"/>
        </w:rPr>
        <w:t>400</w:t>
      </w:r>
      <w:r w:rsidRPr="00BD7921" w:rsidR="00375BAB">
        <w:rPr>
          <w:color w:val="auto"/>
        </w:rPr>
        <w:t xml:space="preserve"> </w:t>
      </w:r>
      <w:r w:rsidRPr="00BD7921">
        <w:rPr>
          <w:color w:val="auto"/>
        </w:rPr>
        <w:t>meldingen binnengekomen van een oordeel met beperking of een oordeelsonthouding bij de controle van WNT-verantwoordingen</w:t>
      </w:r>
      <w:r>
        <w:rPr>
          <w:color w:val="auto"/>
        </w:rPr>
        <w:t xml:space="preserve"> over het kalenderjaar </w:t>
      </w:r>
      <w:r w:rsidRPr="00375BAB">
        <w:rPr>
          <w:color w:val="auto"/>
        </w:rPr>
        <w:t>202</w:t>
      </w:r>
      <w:r w:rsidRPr="00375BAB" w:rsidR="00375BAB">
        <w:rPr>
          <w:color w:val="auto"/>
        </w:rPr>
        <w:t>4</w:t>
      </w:r>
      <w:r w:rsidRPr="00375BAB">
        <w:rPr>
          <w:color w:val="auto"/>
        </w:rPr>
        <w:t>.</w:t>
      </w:r>
      <w:r>
        <w:rPr>
          <w:color w:val="auto"/>
        </w:rPr>
        <w:t xml:space="preserve"> De meldingen hebben betrekking op situaties</w:t>
      </w:r>
      <w:r w:rsidRPr="00BD7921">
        <w:rPr>
          <w:color w:val="auto"/>
        </w:rPr>
        <w:t xml:space="preserve"> waarbij sprake is van interne detachering van topfunctionarissen binnen groepen van rechtspersonen, waaronder een of meer WNT-instellingen (intra-concern detachering). </w:t>
      </w:r>
      <w:r>
        <w:rPr>
          <w:color w:val="auto"/>
        </w:rPr>
        <w:t>Bij deze meldingen heeft de accountant geen overtreding van de WNT gemeld, maar wordt hiermee aangegeven dat</w:t>
      </w:r>
      <w:r w:rsidRPr="00B05480">
        <w:rPr>
          <w:color w:val="auto"/>
        </w:rPr>
        <w:t xml:space="preserve"> </w:t>
      </w:r>
      <w:r>
        <w:rPr>
          <w:color w:val="auto"/>
        </w:rPr>
        <w:t>de accountant</w:t>
      </w:r>
      <w:r w:rsidRPr="00B05480">
        <w:rPr>
          <w:color w:val="auto"/>
        </w:rPr>
        <w:t xml:space="preserve"> </w:t>
      </w:r>
      <w:r>
        <w:rPr>
          <w:color w:val="auto"/>
        </w:rPr>
        <w:t xml:space="preserve">zich </w:t>
      </w:r>
      <w:r w:rsidRPr="00B05480">
        <w:rPr>
          <w:color w:val="auto"/>
        </w:rPr>
        <w:t>geen oordeel heeft kunnen vormen over de naleving van de WNT</w:t>
      </w:r>
      <w:r>
        <w:rPr>
          <w:color w:val="auto"/>
        </w:rPr>
        <w:t>.</w:t>
      </w:r>
    </w:p>
    <w:p w:rsidR="009120B6" w14:paraId="60F0DC7B" w14:textId="77777777"/>
    <w:p w:rsidRPr="009120B6" w:rsidR="00022584" w14:paraId="1347429D" w14:textId="77777777">
      <w:pPr>
        <w:rPr>
          <w:color w:val="auto"/>
        </w:rPr>
      </w:pPr>
      <w:r w:rsidRPr="00A85D25">
        <w:rPr>
          <w:color w:val="auto"/>
        </w:rPr>
        <w:t xml:space="preserve">Er </w:t>
      </w:r>
      <w:r>
        <w:rPr>
          <w:color w:val="auto"/>
        </w:rPr>
        <w:t>vindt thans overleg plaats met de NBA over</w:t>
      </w:r>
      <w:r w:rsidRPr="00A85D25">
        <w:rPr>
          <w:color w:val="auto"/>
        </w:rPr>
        <w:t xml:space="preserve"> </w:t>
      </w:r>
      <w:r>
        <w:rPr>
          <w:color w:val="auto"/>
        </w:rPr>
        <w:t xml:space="preserve">mogelijke </w:t>
      </w:r>
      <w:r w:rsidRPr="00A85D25">
        <w:rPr>
          <w:color w:val="auto"/>
        </w:rPr>
        <w:t xml:space="preserve">oplossingen </w:t>
      </w:r>
      <w:r>
        <w:rPr>
          <w:color w:val="auto"/>
        </w:rPr>
        <w:t>voor deze problematiek bij het verantwoorden en controleren van de WNT</w:t>
      </w:r>
      <w:r w:rsidRPr="00A85D25">
        <w:rPr>
          <w:color w:val="auto"/>
        </w:rPr>
        <w:t>.</w:t>
      </w:r>
      <w:r>
        <w:rPr>
          <w:color w:val="auto"/>
        </w:rPr>
        <w:t xml:space="preserve"> Zodra een oplossing is gevonden, zal uw Kamer hierover worden geïnformeerd. Tot die tijd </w:t>
      </w:r>
      <w:r>
        <w:rPr>
          <w:color w:val="auto"/>
        </w:rPr>
        <w:t xml:space="preserve">kunnen toezichthouders n.a.v. deze meldingen zelf een onderzoek instellen. </w:t>
      </w:r>
      <w:r w:rsidR="00464744">
        <w:rPr>
          <w:color w:val="auto"/>
        </w:rPr>
        <w:t xml:space="preserve">De toezichthouders zullen zelf afwegen in welke gevallen dat nodig is. </w:t>
      </w:r>
    </w:p>
    <w:p w:rsidR="00022584" w14:paraId="2FD3490B" w14:textId="77777777"/>
    <w:p w:rsidRPr="00022584" w:rsidR="00022584" w14:paraId="57A5F3D3" w14:textId="77777777">
      <w:pPr>
        <w:rPr>
          <w:b/>
          <w:bCs/>
        </w:rPr>
      </w:pPr>
      <w:r w:rsidRPr="00022584">
        <w:rPr>
          <w:b/>
          <w:bCs/>
        </w:rPr>
        <w:t xml:space="preserve">Uitzonderingsverzoeken </w:t>
      </w:r>
    </w:p>
    <w:p w:rsidR="00022584" w14:paraId="1487D4C6" w14:textId="77777777">
      <w:r w:rsidRPr="00022584">
        <w:t>In bijlage 2 wordt een overzicht gegeven van de ontvangen en gehonoreerde uitzonderingsverzoeken in het afgelopen jaar.</w:t>
      </w:r>
      <w:r>
        <w:rPr>
          <w:rStyle w:val="FootnoteReference"/>
        </w:rPr>
        <w:footnoteReference w:id="3"/>
      </w:r>
      <w:r w:rsidRPr="00022584">
        <w:t xml:space="preserve"> Sinds de vorige WNT</w:t>
      </w:r>
      <w:r>
        <w:t>-j</w:t>
      </w:r>
      <w:r w:rsidRPr="00022584">
        <w:t xml:space="preserve">aarrapportage </w:t>
      </w:r>
      <w:r w:rsidR="00F034C2">
        <w:t>is er</w:t>
      </w:r>
      <w:r w:rsidRPr="00022584" w:rsidR="00F034C2">
        <w:t xml:space="preserve"> </w:t>
      </w:r>
      <w:r w:rsidR="009120B6">
        <w:t>één</w:t>
      </w:r>
      <w:r w:rsidRPr="00022584">
        <w:t xml:space="preserve"> nieuw uitzonderingsverzoek op grond van artikel 2.4 van de WNT (algemeen WNT-maximum) gehonoreerd. Er zijn geen verzoeken op grond van artikel 2.7 van de WNT (klasse-indeling) gehonoreerd.</w:t>
      </w:r>
    </w:p>
    <w:p w:rsidR="009120B6" w14:paraId="39FA71B8" w14:textId="77777777"/>
    <w:p w:rsidR="009120B6" w:rsidP="009120B6" w14:paraId="57E965C0" w14:textId="77777777">
      <w:r w:rsidRPr="005B59CE">
        <w:rPr>
          <w:b/>
          <w:bCs/>
        </w:rPr>
        <w:t>Vaststelling WNT-normenkader 202</w:t>
      </w:r>
      <w:r w:rsidR="005E19C9">
        <w:rPr>
          <w:b/>
          <w:bCs/>
        </w:rPr>
        <w:t>6</w:t>
      </w:r>
      <w:r>
        <w:t xml:space="preserve"> </w:t>
      </w:r>
    </w:p>
    <w:p w:rsidR="009120B6" w:rsidP="009120B6" w14:paraId="2FF162A6" w14:textId="77777777">
      <w:r>
        <w:t xml:space="preserve">Ik maak van de gelegenheid gebruik om u te informeren over een aantal actuele ontwikkelingen met betrekking tot de WNT. </w:t>
      </w:r>
    </w:p>
    <w:p w:rsidR="009120B6" w14:paraId="5A62435C" w14:textId="77777777"/>
    <w:p w:rsidR="009120B6" w:rsidP="009120B6" w14:paraId="06BEFE16" w14:textId="77777777">
      <w:pPr>
        <w:rPr>
          <w:i/>
          <w:iCs/>
        </w:rPr>
      </w:pPr>
      <w:r w:rsidRPr="005B59CE">
        <w:rPr>
          <w:i/>
          <w:iCs/>
        </w:rPr>
        <w:t xml:space="preserve">Indexering bezoldigingsmaxima (Uitvoeringsbesluit WNT) </w:t>
      </w:r>
    </w:p>
    <w:p w:rsidR="009120B6" w:rsidP="009120B6" w14:paraId="6826476A" w14:textId="77777777">
      <w:r w:rsidRPr="005B59CE">
        <w:t xml:space="preserve">Het </w:t>
      </w:r>
      <w:r>
        <w:t>algemeen bezoldigingsmaximum voor 2026 is vastgesteld op € 262.000. Op grond van de WNT wordt het bezoldigingsmaximum jaarlijks geïndexeerd en vastgesteld op basis van het CBS-cijfer voor de contractloonstijging bij de overheid in het voorgaande jaar en afgerond naar boven op duizendtallen. Ook de overige maxima voor onder meer toezichthoudende topfunctionarissen en interim-topfunctionarissen zijn geïndexeerd.</w:t>
      </w:r>
      <w:r>
        <w:rPr>
          <w:rStyle w:val="FootnoteReference"/>
        </w:rPr>
        <w:footnoteReference w:id="4"/>
      </w:r>
    </w:p>
    <w:p w:rsidR="009120B6" w14:paraId="1F8E9AE8" w14:textId="77777777"/>
    <w:p w:rsidR="009120B6" w14:paraId="3CD97140" w14:textId="77777777">
      <w:r w:rsidRPr="009120B6">
        <w:rPr>
          <w:i/>
          <w:iCs/>
        </w:rPr>
        <w:t xml:space="preserve">Sectorregelingen </w:t>
      </w:r>
      <w:r>
        <w:br/>
      </w:r>
      <w:r w:rsidRPr="009120B6">
        <w:t xml:space="preserve">De sectorale regelingen voor de zorg, jeugdhulp en zorgverzekeraars, woningcorporaties, onderwijs, cultuur en de media en ontwikkelingshulp zijn in oktober en november opnieuw vastgesteld. De indexering van de bezoldigingsmaxima per bezoldigingsklasse van deze sectorale regelingen is vastgesteld. </w:t>
      </w:r>
      <w:r w:rsidR="00464744">
        <w:t xml:space="preserve">Daarnaast zijn enkele technische wijzigingen doorgevoerd. </w:t>
      </w:r>
      <w:r w:rsidRPr="009120B6">
        <w:t>De regelingen treden met ingang van 1 januari 202</w:t>
      </w:r>
      <w:r w:rsidR="006313F0">
        <w:t>6</w:t>
      </w:r>
      <w:r w:rsidRPr="009120B6">
        <w:t xml:space="preserve"> in werking.</w:t>
      </w:r>
    </w:p>
    <w:p w:rsidR="006313F0" w14:paraId="7CDA7C36" w14:textId="77777777"/>
    <w:p w:rsidRPr="00375BAB" w:rsidR="006313F0" w14:paraId="64DC2D42" w14:textId="77777777">
      <w:pPr>
        <w:rPr>
          <w:i/>
          <w:iCs/>
        </w:rPr>
      </w:pPr>
      <w:r w:rsidRPr="00375BAB">
        <w:rPr>
          <w:i/>
          <w:iCs/>
        </w:rPr>
        <w:t xml:space="preserve">Uitvoeringsregeling WNT </w:t>
      </w:r>
    </w:p>
    <w:p w:rsidR="006313F0" w14:paraId="6DC130BD" w14:textId="77777777">
      <w:r w:rsidRPr="006313F0">
        <w:t xml:space="preserve">De Uitvoeringsregeling WNT bevat nadere regels ter uitwerking of verduidelijking van een aantal onderwerpen. Vanuit praktijkervaringen en -signalen over de uitvoering, controle en handhaving van de WNT en naar aanleiding van rechterlijke uitspraken e.d. wordt deze regeling jaarlijks geactualiseerd. </w:t>
      </w:r>
    </w:p>
    <w:p w:rsidR="006313F0" w14:paraId="2777B4DA" w14:textId="77777777"/>
    <w:p w:rsidRPr="00B73D92" w:rsidR="00B73D92" w:rsidP="00B73D92" w14:paraId="3661E224" w14:textId="77777777">
      <w:r w:rsidRPr="006313F0">
        <w:t xml:space="preserve">Op </w:t>
      </w:r>
      <w:r>
        <w:t>3</w:t>
      </w:r>
      <w:r w:rsidRPr="006313F0">
        <w:t xml:space="preserve"> november 202</w:t>
      </w:r>
      <w:r>
        <w:t>5</w:t>
      </w:r>
      <w:r w:rsidRPr="006313F0">
        <w:t xml:space="preserve"> is de wijziging van de Uitvoeringsregeling WNT gepubliceerd en deze zal per </w:t>
      </w:r>
      <w:r>
        <w:t>1</w:t>
      </w:r>
      <w:r w:rsidRPr="006313F0">
        <w:t xml:space="preserve"> januari 202</w:t>
      </w:r>
      <w:r>
        <w:t>6</w:t>
      </w:r>
      <w:r w:rsidRPr="006313F0">
        <w:t xml:space="preserve"> in werking treden.</w:t>
      </w:r>
      <w:r>
        <w:rPr>
          <w:rStyle w:val="FootnoteReference"/>
        </w:rPr>
        <w:footnoteReference w:id="5"/>
      </w:r>
      <w:r w:rsidRPr="006313F0">
        <w:t xml:space="preserve"> Voor het kalenderjaar 202</w:t>
      </w:r>
      <w:r>
        <w:t>6</w:t>
      </w:r>
      <w:r w:rsidRPr="006313F0">
        <w:t xml:space="preserve"> </w:t>
      </w:r>
      <w:r>
        <w:t xml:space="preserve">betreft de eerste wijziging </w:t>
      </w:r>
      <w:r w:rsidRPr="00B73D92">
        <w:t xml:space="preserve">de wijze van berekening van de werkgeverspremie voor pensioen, ingeval van een collectieve pensioenregeling die na de inwerkingtreding van de Wet toekomst pensioenen gebaseerd is op een met de leeftijd oplopende ofwel progressieve premie. </w:t>
      </w:r>
    </w:p>
    <w:p w:rsidRPr="00B73D92" w:rsidR="00B73D92" w:rsidP="00B73D92" w14:paraId="642D5BD6" w14:textId="77777777"/>
    <w:p w:rsidRPr="00B73D92" w:rsidR="008E548F" w:rsidP="00B73D92" w14:paraId="3B291C00" w14:textId="77777777">
      <w:r w:rsidRPr="006313F0">
        <w:t xml:space="preserve">Ten tweede is er een tweetal wijzigingen doorgevoerd met betrekking </w:t>
      </w:r>
      <w:r w:rsidR="00F05664">
        <w:t xml:space="preserve">tot de </w:t>
      </w:r>
      <w:r w:rsidR="00B73D92">
        <w:t>openbaarmakingsverplichting</w:t>
      </w:r>
      <w:r w:rsidRPr="006313F0">
        <w:t xml:space="preserve">. </w:t>
      </w:r>
      <w:r w:rsidR="00B73D92">
        <w:t xml:space="preserve">Daarvan betreft de eerste wijziging </w:t>
      </w:r>
      <w:r w:rsidR="00464744">
        <w:t xml:space="preserve">de verplichting </w:t>
      </w:r>
      <w:r w:rsidR="00464744">
        <w:t>tot het online publiceren van het beroep op de vrijstelling van de openbaarmaking</w:t>
      </w:r>
      <w:r w:rsidR="00B73D92">
        <w:t>. De tweede wijziging betreft een n</w:t>
      </w:r>
      <w:r w:rsidRPr="00B73D92" w:rsidR="00B73D92">
        <w:t>ieuwe verplichting</w:t>
      </w:r>
      <w:r w:rsidR="008832FF">
        <w:t xml:space="preserve"> voor </w:t>
      </w:r>
      <w:r w:rsidR="00464744">
        <w:t>instellingen binnen het BZK-domein</w:t>
      </w:r>
      <w:r w:rsidRPr="00B73D92" w:rsidR="00B73D92">
        <w:t xml:space="preserve"> om </w:t>
      </w:r>
      <w:r>
        <w:t xml:space="preserve">vanaf 1 januari 2027 de WNT-verantwoording </w:t>
      </w:r>
      <w:r w:rsidRPr="00D47E0A">
        <w:t>online te publiceren op een website van de rijksoverheid in plaats van op</w:t>
      </w:r>
      <w:r>
        <w:t xml:space="preserve"> de</w:t>
      </w:r>
      <w:r w:rsidRPr="00D47E0A">
        <w:t xml:space="preserve"> eigen website</w:t>
      </w:r>
      <w:r>
        <w:t xml:space="preserve"> of een brancheorganisatie, en om de controleverklaring van de accountant langs elektronisch weg aan te leveren bij BZK.</w:t>
      </w:r>
      <w:r w:rsidRPr="00514C0B">
        <w:t xml:space="preserve"> De verplichting</w:t>
      </w:r>
      <w:r w:rsidR="008832FF">
        <w:t>en uit deze tweede wijziging</w:t>
      </w:r>
      <w:r w:rsidRPr="00514C0B">
        <w:t xml:space="preserve"> </w:t>
      </w:r>
      <w:r>
        <w:t>gaa</w:t>
      </w:r>
      <w:r w:rsidR="008832FF">
        <w:t>n</w:t>
      </w:r>
      <w:r>
        <w:t xml:space="preserve"> in per 1 januari 2027 </w:t>
      </w:r>
      <w:r w:rsidR="008832FF">
        <w:t>en gelden</w:t>
      </w:r>
      <w:r>
        <w:t xml:space="preserve"> voor de WNT-verantwoording over het kalenderjaar 2026 en volgende kalenderjaren.</w:t>
      </w:r>
    </w:p>
    <w:p w:rsidR="000157D4" w:rsidP="00B73D92" w14:paraId="3323FE1F" w14:textId="77777777"/>
    <w:p w:rsidRPr="00B73D92" w:rsidR="00B73D92" w:rsidP="00B73D92" w14:paraId="06D8C81A" w14:textId="77777777">
      <w:r w:rsidRPr="00B73D92">
        <w:t xml:space="preserve">Tot slot is het grensbedrag voor het beperken van de openbaarmaking van de WNT-gegevens tot de naam en de functie(s) van de topfunctionaris(sen) </w:t>
      </w:r>
      <w:r w:rsidRPr="00B73D92" w:rsidR="00723313">
        <w:t>met ingang van 1 januari 2026</w:t>
      </w:r>
      <w:r w:rsidR="00723313">
        <w:t xml:space="preserve"> </w:t>
      </w:r>
      <w:r w:rsidRPr="00B73D92">
        <w:t xml:space="preserve">verhoogd van € 2.100 naar € 2.200. </w:t>
      </w:r>
    </w:p>
    <w:p w:rsidR="006313F0" w14:paraId="458142F2" w14:textId="77777777"/>
    <w:p w:rsidRPr="006313F0" w:rsidR="006313F0" w14:paraId="0AF20BEB" w14:textId="77777777">
      <w:pPr>
        <w:rPr>
          <w:i/>
          <w:iCs/>
        </w:rPr>
      </w:pPr>
      <w:r w:rsidRPr="006313F0">
        <w:rPr>
          <w:i/>
          <w:iCs/>
        </w:rPr>
        <w:t xml:space="preserve">Controleprotocol WNT 2025 </w:t>
      </w:r>
    </w:p>
    <w:p w:rsidR="00E02522" w14:paraId="02BFED39" w14:textId="77777777">
      <w:r w:rsidRPr="006313F0">
        <w:t>Per 1 juli 202</w:t>
      </w:r>
      <w:r>
        <w:t>5</w:t>
      </w:r>
      <w:r w:rsidRPr="006313F0">
        <w:t xml:space="preserve"> is de Regeling Controleprotocol WNT 202</w:t>
      </w:r>
      <w:r>
        <w:t>5</w:t>
      </w:r>
      <w:r w:rsidRPr="006313F0">
        <w:t xml:space="preserve"> in werking getreden.</w:t>
      </w:r>
      <w:r>
        <w:rPr>
          <w:rStyle w:val="FootnoteReference"/>
        </w:rPr>
        <w:footnoteReference w:id="6"/>
      </w:r>
      <w:r w:rsidRPr="006313F0">
        <w:t xml:space="preserve"> In dit protocol wordt de wijze beschreven waarop de accountantscontrole op de naleving van de WNT over het kalenderjaar 202</w:t>
      </w:r>
      <w:r>
        <w:t>5</w:t>
      </w:r>
      <w:r w:rsidRPr="006313F0">
        <w:t xml:space="preserve"> dient plaats te vinden. Dit controleprotocol is minimaal gewijzigd ten opzichte van het vorige controleprotocol.</w:t>
      </w:r>
    </w:p>
    <w:p w:rsidR="009120B6" w14:paraId="17FC55B0" w14:textId="77777777"/>
    <w:p w:rsidRPr="009120B6" w:rsidR="009120B6" w14:paraId="466FFA56" w14:textId="77777777">
      <w:pPr>
        <w:rPr>
          <w:b/>
          <w:bCs/>
        </w:rPr>
      </w:pPr>
      <w:r w:rsidRPr="009120B6">
        <w:rPr>
          <w:b/>
          <w:bCs/>
        </w:rPr>
        <w:t>Wetgeving</w:t>
      </w:r>
    </w:p>
    <w:p w:rsidRPr="006874A3" w:rsidR="006874A3" w:rsidP="006874A3" w14:paraId="50E384F7" w14:textId="77777777">
      <w:pPr>
        <w:pStyle w:val="WitregelW1bodytekst"/>
        <w:rPr>
          <w:b/>
          <w:bCs/>
        </w:rPr>
      </w:pPr>
      <w:r w:rsidRPr="006874A3">
        <w:t>Eind 2022 is n.a.v. de evaluatie over de WNT in 2020 een wetswijziging aangekondigd om de doelmatigheid van de WNT te vergroten.</w:t>
      </w:r>
      <w:r>
        <w:rPr>
          <w:rStyle w:val="FootnoteReference"/>
        </w:rPr>
        <w:footnoteReference w:id="7"/>
      </w:r>
      <w:r w:rsidRPr="006874A3">
        <w:t xml:space="preserve"> </w:t>
      </w:r>
      <w:r w:rsidR="00A31E82">
        <w:t xml:space="preserve">Ik streef </w:t>
      </w:r>
      <w:r w:rsidR="00A31E82">
        <w:t>er naar</w:t>
      </w:r>
      <w:r w:rsidRPr="00A31E82" w:rsidR="00A31E82">
        <w:t xml:space="preserve"> om dit wetsvoorstel </w:t>
      </w:r>
      <w:r w:rsidR="00A31E82">
        <w:t xml:space="preserve">in </w:t>
      </w:r>
      <w:r w:rsidRPr="00A31E82" w:rsidR="00A31E82">
        <w:t xml:space="preserve">Q2 van 2026 bij uw Kamer in te </w:t>
      </w:r>
      <w:r w:rsidR="00A31E82">
        <w:t xml:space="preserve">laten </w:t>
      </w:r>
      <w:r w:rsidRPr="00A31E82" w:rsidR="00A31E82">
        <w:t xml:space="preserve">dienen. </w:t>
      </w:r>
      <w:r w:rsidRPr="006874A3">
        <w:t>Daarnaast is er een ander wetsvoorstel in voorbereiding waarin een oplossing wordt gepresenteerd voor de knelpunten in de uitvoering en de controle van de WNT-verantwoording bij intra-concern-detachering.</w:t>
      </w:r>
    </w:p>
    <w:p w:rsidR="00E02522" w14:paraId="4370DBC3" w14:textId="77777777">
      <w:pPr>
        <w:pStyle w:val="WitregelW1bodytekst"/>
      </w:pPr>
    </w:p>
    <w:p w:rsidR="00E02522" w14:paraId="5BAB8E1F" w14:textId="77777777"/>
    <w:p w:rsidR="00E02522" w14:paraId="5F7823A3" w14:textId="77777777">
      <w:r>
        <w:t xml:space="preserve">De </w:t>
      </w:r>
      <w:r w:rsidR="00D00554">
        <w:t>m</w:t>
      </w:r>
      <w:r>
        <w:t>inister van Binnenlandse Zaken en Koninkrijksrelaties</w:t>
      </w:r>
      <w:r>
        <w:rPr>
          <w:i/>
        </w:rPr>
        <w:t>,</w:t>
      </w:r>
    </w:p>
    <w:p w:rsidR="00E02522" w14:paraId="1EFBFF08" w14:textId="77777777"/>
    <w:p w:rsidR="00E02522" w14:paraId="44738F14" w14:textId="77777777"/>
    <w:p w:rsidR="00E02522" w14:paraId="2044BC72" w14:textId="77777777"/>
    <w:p w:rsidR="00D00554" w14:paraId="07FE3483" w14:textId="77777777"/>
    <w:p w:rsidR="00E02522" w14:paraId="3E3149ED" w14:textId="77777777"/>
    <w:p w:rsidR="00E02522" w14:paraId="03EDD5C1" w14:textId="77777777">
      <w:r>
        <w:t>F</w:t>
      </w:r>
      <w:r w:rsidR="009120B6">
        <w:t>.</w:t>
      </w:r>
      <w:r>
        <w:t xml:space="preserve"> Rijkaart</w:t>
      </w:r>
    </w:p>
    <w:p w:rsidR="00E02522" w14:paraId="562DF99F"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522" w14:paraId="5B39332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CC4" w14:paraId="36A99C65" w14:textId="77777777">
      <w:pPr>
        <w:spacing w:line="240" w:lineRule="auto"/>
      </w:pPr>
      <w:r>
        <w:separator/>
      </w:r>
    </w:p>
  </w:footnote>
  <w:footnote w:type="continuationSeparator" w:id="1">
    <w:p w:rsidR="00E84CC4" w14:paraId="1FE65F4B" w14:textId="77777777">
      <w:pPr>
        <w:spacing w:line="240" w:lineRule="auto"/>
      </w:pPr>
      <w:r>
        <w:continuationSeparator/>
      </w:r>
    </w:p>
  </w:footnote>
  <w:footnote w:id="2">
    <w:p w:rsidR="00022584" w14:paraId="0135C1CB" w14:textId="77777777">
      <w:pPr>
        <w:pStyle w:val="FootnoteText"/>
      </w:pPr>
      <w:r>
        <w:rPr>
          <w:rStyle w:val="FootnoteReference"/>
        </w:rPr>
        <w:footnoteRef/>
      </w:r>
      <w:r>
        <w:t xml:space="preserve"> </w:t>
      </w:r>
      <w:r w:rsidRPr="00022584">
        <w:rPr>
          <w:i/>
          <w:iCs/>
          <w:sz w:val="14"/>
          <w:szCs w:val="14"/>
        </w:rPr>
        <w:t>Conform</w:t>
      </w:r>
      <w:r w:rsidRPr="00022584">
        <w:rPr>
          <w:i/>
          <w:iCs/>
          <w:sz w:val="14"/>
          <w:szCs w:val="14"/>
        </w:rPr>
        <w:t xml:space="preserve"> artikel 7.1 van de Wet Normering Topinkomens</w:t>
      </w:r>
    </w:p>
  </w:footnote>
  <w:footnote w:id="3">
    <w:p w:rsidR="00022584" w:rsidRPr="00E95EA4" w14:paraId="0658339C" w14:textId="77777777">
      <w:pPr>
        <w:pStyle w:val="FootnoteText"/>
        <w:rPr>
          <w:lang w:val="de-DE"/>
        </w:rPr>
      </w:pPr>
      <w:r>
        <w:rPr>
          <w:rStyle w:val="FootnoteReference"/>
        </w:rPr>
        <w:footnoteRef/>
      </w:r>
      <w:r w:rsidRPr="00E95EA4">
        <w:rPr>
          <w:lang w:val="de-DE"/>
        </w:rPr>
        <w:t xml:space="preserve"> </w:t>
      </w:r>
      <w:r w:rsidRPr="00E95EA4">
        <w:rPr>
          <w:i/>
          <w:iCs/>
          <w:sz w:val="14"/>
          <w:szCs w:val="14"/>
          <w:lang w:val="de-DE"/>
        </w:rPr>
        <w:t xml:space="preserve">Peildatum 15 </w:t>
      </w:r>
      <w:r w:rsidRPr="00E95EA4">
        <w:rPr>
          <w:i/>
          <w:iCs/>
          <w:sz w:val="14"/>
          <w:szCs w:val="14"/>
          <w:lang w:val="de-DE"/>
        </w:rPr>
        <w:t>oktober</w:t>
      </w:r>
      <w:r w:rsidRPr="00E95EA4">
        <w:rPr>
          <w:i/>
          <w:iCs/>
          <w:sz w:val="14"/>
          <w:szCs w:val="14"/>
          <w:lang w:val="de-DE"/>
        </w:rPr>
        <w:t xml:space="preserve"> 202</w:t>
      </w:r>
      <w:r w:rsidRPr="00E95EA4" w:rsidR="00F05664">
        <w:rPr>
          <w:i/>
          <w:iCs/>
          <w:sz w:val="14"/>
          <w:szCs w:val="14"/>
          <w:lang w:val="de-DE"/>
        </w:rPr>
        <w:t>5</w:t>
      </w:r>
    </w:p>
  </w:footnote>
  <w:footnote w:id="4">
    <w:p w:rsidR="009120B6" w:rsidRPr="00E95EA4" w:rsidP="009120B6" w14:paraId="00C09742" w14:textId="77777777">
      <w:pPr>
        <w:pStyle w:val="FootnoteText"/>
        <w:rPr>
          <w:lang w:val="de-DE"/>
        </w:rPr>
      </w:pPr>
      <w:r>
        <w:rPr>
          <w:rStyle w:val="FootnoteReference"/>
        </w:rPr>
        <w:footnoteRef/>
      </w:r>
      <w:r w:rsidRPr="00E95EA4">
        <w:rPr>
          <w:lang w:val="de-DE"/>
        </w:rPr>
        <w:t xml:space="preserve"> </w:t>
      </w:r>
      <w:r w:rsidRPr="00E95EA4">
        <w:rPr>
          <w:sz w:val="14"/>
          <w:szCs w:val="14"/>
          <w:lang w:val="de-DE"/>
        </w:rPr>
        <w:t>Stcrt</w:t>
      </w:r>
      <w:r w:rsidRPr="00E95EA4">
        <w:rPr>
          <w:sz w:val="14"/>
          <w:szCs w:val="14"/>
          <w:lang w:val="de-DE"/>
        </w:rPr>
        <w:t>. 2025, 27439</w:t>
      </w:r>
    </w:p>
  </w:footnote>
  <w:footnote w:id="5">
    <w:p w:rsidR="006313F0" w:rsidRPr="00E95EA4" w14:paraId="777764B2" w14:textId="77777777">
      <w:pPr>
        <w:pStyle w:val="FootnoteText"/>
        <w:rPr>
          <w:lang w:val="de-DE"/>
        </w:rPr>
      </w:pPr>
      <w:r>
        <w:rPr>
          <w:rStyle w:val="FootnoteReference"/>
        </w:rPr>
        <w:footnoteRef/>
      </w:r>
      <w:r w:rsidRPr="00E95EA4">
        <w:rPr>
          <w:lang w:val="de-DE"/>
        </w:rPr>
        <w:t xml:space="preserve"> </w:t>
      </w:r>
      <w:r w:rsidRPr="00E95EA4">
        <w:rPr>
          <w:sz w:val="14"/>
          <w:szCs w:val="14"/>
          <w:lang w:val="de-DE"/>
        </w:rPr>
        <w:t>Stcrt</w:t>
      </w:r>
      <w:r w:rsidRPr="00E95EA4">
        <w:rPr>
          <w:sz w:val="14"/>
          <w:szCs w:val="14"/>
          <w:lang w:val="de-DE"/>
        </w:rPr>
        <w:t>. 2025, 36780</w:t>
      </w:r>
    </w:p>
  </w:footnote>
  <w:footnote w:id="6">
    <w:p w:rsidR="005D60A1" w14:paraId="3A5EF78E" w14:textId="77777777">
      <w:pPr>
        <w:pStyle w:val="FootnoteText"/>
      </w:pPr>
      <w:r>
        <w:rPr>
          <w:rStyle w:val="FootnoteReference"/>
        </w:rPr>
        <w:footnoteRef/>
      </w:r>
      <w:r w:rsidRPr="00E95EA4">
        <w:rPr>
          <w:lang w:val="de-DE"/>
        </w:rPr>
        <w:t xml:space="preserve"> </w:t>
      </w:r>
      <w:r w:rsidRPr="00E95EA4">
        <w:rPr>
          <w:color w:val="auto"/>
          <w:sz w:val="14"/>
          <w:szCs w:val="14"/>
          <w:lang w:val="de-DE"/>
        </w:rPr>
        <w:t>Stcrt</w:t>
      </w:r>
      <w:r w:rsidRPr="00E95EA4">
        <w:rPr>
          <w:color w:val="auto"/>
          <w:sz w:val="14"/>
          <w:szCs w:val="14"/>
          <w:lang w:val="de-DE"/>
        </w:rPr>
        <w:t xml:space="preserve">. </w:t>
      </w:r>
      <w:r w:rsidRPr="005D60A1">
        <w:rPr>
          <w:color w:val="auto"/>
          <w:sz w:val="14"/>
          <w:szCs w:val="14"/>
        </w:rPr>
        <w:t>2025, 19490</w:t>
      </w:r>
    </w:p>
  </w:footnote>
  <w:footnote w:id="7">
    <w:p w:rsidR="00842295" w14:paraId="684BCBF0" w14:textId="77777777">
      <w:pPr>
        <w:pStyle w:val="FootnoteText"/>
      </w:pPr>
      <w:r>
        <w:rPr>
          <w:rStyle w:val="FootnoteReference"/>
        </w:rPr>
        <w:footnoteRef/>
      </w:r>
      <w:r>
        <w:t xml:space="preserve"> </w:t>
      </w:r>
      <w:r w:rsidRPr="00842295">
        <w:rPr>
          <w:i/>
          <w:iCs/>
          <w:sz w:val="14"/>
          <w:szCs w:val="14"/>
        </w:rPr>
        <w:t>Kamerstukken II 2021/2022, 30111, nr.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522" w14:paraId="420CCE7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034C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034C2" w14:paraId="0CF1178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2522" w14:textId="77777777">
                          <w:pPr>
                            <w:pStyle w:val="Referentiegegevensbold"/>
                          </w:pPr>
                          <w:r>
                            <w:t>DG Digitalisering &amp; Overheidsorganisatie</w:t>
                          </w:r>
                        </w:p>
                        <w:p w:rsidR="00E02522" w14:textId="77777777">
                          <w:pPr>
                            <w:pStyle w:val="Referentiegegevens"/>
                          </w:pPr>
                          <w:r>
                            <w:t>DGDOO-A&amp;P-Topinkomens &amp; Economische Adv.</w:t>
                          </w:r>
                        </w:p>
                        <w:p w:rsidR="00E02522" w14:textId="77777777">
                          <w:pPr>
                            <w:pStyle w:val="WitregelW2"/>
                          </w:pPr>
                        </w:p>
                        <w:p w:rsidR="00E02522" w14:textId="77777777">
                          <w:pPr>
                            <w:pStyle w:val="Referentiegegevensbold"/>
                          </w:pPr>
                          <w:r>
                            <w:t>Datum</w:t>
                          </w:r>
                        </w:p>
                        <w:p w:rsidR="00E02522" w14:textId="70CA1A34">
                          <w:pPr>
                            <w:pStyle w:val="Referentiegegevens"/>
                          </w:pPr>
                        </w:p>
                        <w:p w:rsidR="00E02522" w14:textId="77777777">
                          <w:pPr>
                            <w:pStyle w:val="WitregelW1"/>
                          </w:pPr>
                        </w:p>
                        <w:p w:rsidR="00E02522" w14:textId="77777777">
                          <w:pPr>
                            <w:pStyle w:val="Referentiegegevensbold"/>
                          </w:pPr>
                          <w:r>
                            <w:t>Onze referentie</w:t>
                          </w:r>
                        </w:p>
                        <w:p w:rsidR="00B94C1B" w14:textId="77777777">
                          <w:pPr>
                            <w:pStyle w:val="Referentiegegevens"/>
                          </w:pPr>
                          <w:r>
                            <w:fldChar w:fldCharType="begin"/>
                          </w:r>
                          <w:r>
                            <w:instrText xml:space="preserve"> DOCPROPERTY  "Kenmerk"  \* MERGEFORMAT </w:instrText>
                          </w:r>
                          <w:r>
                            <w:fldChar w:fldCharType="separate"/>
                          </w:r>
                          <w:r w:rsidR="00BA488A">
                            <w:t>2025-0000677946</w:t>
                          </w:r>
                          <w:r w:rsidR="00BA488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02522" w14:paraId="15DA0983" w14:textId="77777777">
                    <w:pPr>
                      <w:pStyle w:val="Referentiegegevensbold"/>
                    </w:pPr>
                    <w:r>
                      <w:t>DG Digitalisering &amp; Overheidsorganisatie</w:t>
                    </w:r>
                  </w:p>
                  <w:p w:rsidR="00E02522" w14:paraId="68AB927F" w14:textId="77777777">
                    <w:pPr>
                      <w:pStyle w:val="Referentiegegevens"/>
                    </w:pPr>
                    <w:r>
                      <w:t>DGDOO-A&amp;P-Topinkomens &amp; Economische Adv.</w:t>
                    </w:r>
                  </w:p>
                  <w:p w:rsidR="00E02522" w14:paraId="191FFCEA" w14:textId="77777777">
                    <w:pPr>
                      <w:pStyle w:val="WitregelW2"/>
                    </w:pPr>
                  </w:p>
                  <w:p w:rsidR="00E02522" w14:paraId="7B364A43" w14:textId="77777777">
                    <w:pPr>
                      <w:pStyle w:val="Referentiegegevensbold"/>
                    </w:pPr>
                    <w:r>
                      <w:t>Datum</w:t>
                    </w:r>
                  </w:p>
                  <w:p w:rsidR="00E02522" w14:paraId="6CCBE173" w14:textId="70CA1A34">
                    <w:pPr>
                      <w:pStyle w:val="Referentiegegevens"/>
                    </w:pPr>
                  </w:p>
                  <w:p w:rsidR="00E02522" w14:paraId="6494F562" w14:textId="77777777">
                    <w:pPr>
                      <w:pStyle w:val="WitregelW1"/>
                    </w:pPr>
                  </w:p>
                  <w:p w:rsidR="00E02522" w14:paraId="41968D23" w14:textId="77777777">
                    <w:pPr>
                      <w:pStyle w:val="Referentiegegevensbold"/>
                    </w:pPr>
                    <w:r>
                      <w:t>Onze referentie</w:t>
                    </w:r>
                  </w:p>
                  <w:p w:rsidR="00B94C1B" w14:paraId="47B15E11" w14:textId="77777777">
                    <w:pPr>
                      <w:pStyle w:val="Referentiegegevens"/>
                    </w:pPr>
                    <w:r>
                      <w:fldChar w:fldCharType="begin"/>
                    </w:r>
                    <w:r>
                      <w:instrText xml:space="preserve"> DOCPROPERTY  "Kenmerk"  \* MERGEFORMAT </w:instrText>
                    </w:r>
                    <w:r>
                      <w:fldChar w:fldCharType="separate"/>
                    </w:r>
                    <w:r w:rsidR="00BA488A">
                      <w:t>2025-0000677946</w:t>
                    </w:r>
                    <w:r w:rsidR="00BA488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34C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034C2" w14:paraId="18247F1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4C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94C1B" w14:paraId="1B9484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522" w14:paraId="2659BCC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02522" w14:textId="77777777">
                          <w:pPr>
                            <w:spacing w:line="240" w:lineRule="auto"/>
                          </w:pPr>
                          <w:r>
                            <w:rPr>
                              <w:noProof/>
                            </w:rPr>
                            <w:drawing>
                              <wp:inline distT="0" distB="0" distL="0" distR="0">
                                <wp:extent cx="467995" cy="1583865"/>
                                <wp:effectExtent l="0" t="0" r="0" b="0"/>
                                <wp:docPr id="17251040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251040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02522" w14:paraId="0FB6B8E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2522" w14:textId="77777777">
                          <w:pPr>
                            <w:spacing w:line="240" w:lineRule="auto"/>
                          </w:pPr>
                          <w:r>
                            <w:rPr>
                              <w:noProof/>
                            </w:rPr>
                            <w:drawing>
                              <wp:inline distT="0" distB="0" distL="0" distR="0">
                                <wp:extent cx="2339975" cy="1582834"/>
                                <wp:effectExtent l="0" t="0" r="0" b="0"/>
                                <wp:docPr id="101380210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1380210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02522" w14:paraId="1256C6F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252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02522" w14:paraId="159C57D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02522" w14:textId="77777777">
                          <w:r>
                            <w:t>Aan de voorzitter van de Tweede Kamer der Staten Generaal</w:t>
                          </w:r>
                        </w:p>
                        <w:p w:rsidR="00E02522" w14:textId="77777777">
                          <w:r>
                            <w:t>Postbus 20018</w:t>
                          </w:r>
                        </w:p>
                        <w:p w:rsidR="00E0252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02522" w14:paraId="00B6EE02" w14:textId="77777777">
                    <w:r>
                      <w:t>Aan de voorzitter van de Tweede Kamer der Staten Generaal</w:t>
                    </w:r>
                  </w:p>
                  <w:p w:rsidR="00E02522" w14:paraId="04D580B2" w14:textId="77777777">
                    <w:r>
                      <w:t>Postbus 20018</w:t>
                    </w:r>
                  </w:p>
                  <w:p w:rsidR="00E02522" w14:paraId="0DB6E87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0863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8635"/>
                      </a:xfrm>
                      <a:prstGeom prst="rect">
                        <a:avLst/>
                      </a:prstGeom>
                      <a:noFill/>
                    </wps:spPr>
                    <wps:txbx>
                      <w:txbxContent>
                        <w:tbl>
                          <w:tblPr>
                            <w:tblW w:w="0" w:type="auto"/>
                            <w:tblInd w:w="-120" w:type="dxa"/>
                            <w:tblLayout w:type="fixed"/>
                            <w:tblLook w:val="07E0"/>
                          </w:tblPr>
                          <w:tblGrid>
                            <w:gridCol w:w="1140"/>
                            <w:gridCol w:w="5918"/>
                          </w:tblGrid>
                          <w:tr w14:paraId="15FF9AC0" w14:textId="77777777">
                            <w:tblPrEx>
                              <w:tblW w:w="0" w:type="auto"/>
                              <w:tblInd w:w="-120" w:type="dxa"/>
                              <w:tblLayout w:type="fixed"/>
                              <w:tblLook w:val="07E0"/>
                            </w:tblPrEx>
                            <w:trPr>
                              <w:trHeight w:val="240"/>
                            </w:trPr>
                            <w:tc>
                              <w:tcPr>
                                <w:tcW w:w="1140" w:type="dxa"/>
                              </w:tcPr>
                              <w:p w:rsidR="00E02522" w14:textId="77777777">
                                <w:r>
                                  <w:t>Datum</w:t>
                                </w:r>
                              </w:p>
                            </w:tc>
                            <w:tc>
                              <w:tcPr>
                                <w:tcW w:w="5918" w:type="dxa"/>
                              </w:tcPr>
                              <w:p w:rsidR="00E02522" w14:textId="7DB3C7C7">
                                <w:r>
                                  <w:t>19 december 2025</w:t>
                                </w:r>
                              </w:p>
                            </w:tc>
                          </w:tr>
                          <w:tr w14:paraId="749C9670" w14:textId="77777777">
                            <w:tblPrEx>
                              <w:tblW w:w="0" w:type="auto"/>
                              <w:tblInd w:w="-120" w:type="dxa"/>
                              <w:tblLayout w:type="fixed"/>
                              <w:tblLook w:val="07E0"/>
                            </w:tblPrEx>
                            <w:trPr>
                              <w:trHeight w:val="240"/>
                            </w:trPr>
                            <w:tc>
                              <w:tcPr>
                                <w:tcW w:w="1140" w:type="dxa"/>
                              </w:tcPr>
                              <w:p w:rsidR="00E02522" w14:textId="77777777">
                                <w:r>
                                  <w:t>Betreft</w:t>
                                </w:r>
                              </w:p>
                            </w:tc>
                            <w:tc>
                              <w:tcPr>
                                <w:tcW w:w="5918" w:type="dxa"/>
                              </w:tcPr>
                              <w:p w:rsidR="00E02522" w14:textId="77777777">
                                <w:bookmarkStart w:id="0" w:name="_Hlk217034594"/>
                                <w:r>
                                  <w:t>Voortgang normering topinkomens (semi) publieke sector en WNT-jaarrapportage 2024</w:t>
                                </w:r>
                                <w:bookmarkEnd w:id="0"/>
                              </w:p>
                            </w:tc>
                          </w:tr>
                        </w:tbl>
                        <w:p w:rsidR="00F034C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0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5FF9ABF" w14:textId="77777777">
                      <w:tblPrEx>
                        <w:tblW w:w="0" w:type="auto"/>
                        <w:tblInd w:w="-120" w:type="dxa"/>
                        <w:tblLayout w:type="fixed"/>
                        <w:tblLook w:val="07E0"/>
                      </w:tblPrEx>
                      <w:trPr>
                        <w:trHeight w:val="240"/>
                      </w:trPr>
                      <w:tc>
                        <w:tcPr>
                          <w:tcW w:w="1140" w:type="dxa"/>
                        </w:tcPr>
                        <w:p w:rsidR="00E02522" w14:paraId="5F02152A" w14:textId="77777777">
                          <w:r>
                            <w:t>Datum</w:t>
                          </w:r>
                        </w:p>
                      </w:tc>
                      <w:tc>
                        <w:tcPr>
                          <w:tcW w:w="5918" w:type="dxa"/>
                        </w:tcPr>
                        <w:p w:rsidR="00E02522" w14:paraId="6DF2C86B" w14:textId="7DB3C7C7">
                          <w:r>
                            <w:t>19 december 2025</w:t>
                          </w:r>
                        </w:p>
                      </w:tc>
                    </w:tr>
                    <w:tr w14:paraId="749C966F" w14:textId="77777777">
                      <w:tblPrEx>
                        <w:tblW w:w="0" w:type="auto"/>
                        <w:tblInd w:w="-120" w:type="dxa"/>
                        <w:tblLayout w:type="fixed"/>
                        <w:tblLook w:val="07E0"/>
                      </w:tblPrEx>
                      <w:trPr>
                        <w:trHeight w:val="240"/>
                      </w:trPr>
                      <w:tc>
                        <w:tcPr>
                          <w:tcW w:w="1140" w:type="dxa"/>
                        </w:tcPr>
                        <w:p w:rsidR="00E02522" w14:paraId="09E05E31" w14:textId="77777777">
                          <w:r>
                            <w:t>Betreft</w:t>
                          </w:r>
                        </w:p>
                      </w:tc>
                      <w:tc>
                        <w:tcPr>
                          <w:tcW w:w="5918" w:type="dxa"/>
                        </w:tcPr>
                        <w:p w:rsidR="00E02522" w14:paraId="7F8A383E" w14:textId="77777777">
                          <w:bookmarkStart w:id="0" w:name="_Hlk217034594"/>
                          <w:r>
                            <w:t>Voortgang normering topinkomens (semi) publieke sector en WNT-jaarrapportage 2024</w:t>
                          </w:r>
                          <w:bookmarkEnd w:id="0"/>
                        </w:p>
                      </w:tc>
                    </w:tr>
                  </w:tbl>
                  <w:p w:rsidR="00F034C2" w14:paraId="3644208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2522" w14:textId="77777777">
                          <w:pPr>
                            <w:pStyle w:val="Referentiegegevensbold"/>
                          </w:pPr>
                          <w:r>
                            <w:t>DG Digitalisering &amp; Overheidsorganisatie</w:t>
                          </w:r>
                        </w:p>
                        <w:p w:rsidR="00E02522" w14:textId="77777777">
                          <w:pPr>
                            <w:pStyle w:val="Referentiegegevens"/>
                          </w:pPr>
                          <w:r>
                            <w:t>DGDOO-A&amp;P-Topinkomens &amp; Economische Adv.</w:t>
                          </w:r>
                        </w:p>
                        <w:p w:rsidR="00E02522" w14:textId="77777777">
                          <w:pPr>
                            <w:pStyle w:val="WitregelW1"/>
                          </w:pPr>
                        </w:p>
                        <w:p w:rsidR="00E02522" w:rsidRPr="00022584" w14:textId="77777777">
                          <w:pPr>
                            <w:pStyle w:val="Referentiegegevens"/>
                            <w:rPr>
                              <w:lang w:val="de-DE"/>
                            </w:rPr>
                          </w:pPr>
                          <w:r w:rsidRPr="00022584">
                            <w:rPr>
                              <w:lang w:val="de-DE"/>
                            </w:rPr>
                            <w:t>Turfmarkt</w:t>
                          </w:r>
                          <w:r w:rsidRPr="00022584">
                            <w:rPr>
                              <w:lang w:val="de-DE"/>
                            </w:rPr>
                            <w:t xml:space="preserve"> 147</w:t>
                          </w:r>
                        </w:p>
                        <w:p w:rsidR="00E02522" w:rsidRPr="00022584" w14:textId="77777777">
                          <w:pPr>
                            <w:pStyle w:val="Referentiegegevens"/>
                            <w:rPr>
                              <w:lang w:val="de-DE"/>
                            </w:rPr>
                          </w:pPr>
                          <w:r w:rsidRPr="00022584">
                            <w:rPr>
                              <w:lang w:val="de-DE"/>
                            </w:rPr>
                            <w:t>2511 DP Den Haag</w:t>
                          </w:r>
                        </w:p>
                        <w:p w:rsidR="00E02522" w:rsidRPr="00022584" w14:textId="77777777">
                          <w:pPr>
                            <w:pStyle w:val="Referentiegegevens"/>
                            <w:rPr>
                              <w:lang w:val="de-DE"/>
                            </w:rPr>
                          </w:pPr>
                          <w:r w:rsidRPr="00022584">
                            <w:rPr>
                              <w:lang w:val="de-DE"/>
                            </w:rPr>
                            <w:t>Postbus 20011</w:t>
                          </w:r>
                        </w:p>
                        <w:p w:rsidR="00E02522" w14:textId="77777777">
                          <w:pPr>
                            <w:pStyle w:val="Referentiegegevens"/>
                          </w:pPr>
                          <w:r>
                            <w:t>2500 EA  Den Haag</w:t>
                          </w:r>
                        </w:p>
                        <w:p w:rsidR="00E02522" w:rsidRPr="005E19C9" w14:textId="77777777">
                          <w:pPr>
                            <w:pStyle w:val="WitregelW2"/>
                          </w:pPr>
                        </w:p>
                        <w:p w:rsidR="00E02522" w14:textId="77777777">
                          <w:pPr>
                            <w:pStyle w:val="Referentiegegevensbold"/>
                          </w:pPr>
                          <w:r>
                            <w:t>Onze referentie</w:t>
                          </w:r>
                        </w:p>
                        <w:bookmarkStart w:id="1" w:name="_Hlk217034612"/>
                        <w:p w:rsidR="00B94C1B" w14:textId="77777777">
                          <w:pPr>
                            <w:pStyle w:val="Referentiegegevens"/>
                          </w:pPr>
                          <w:r>
                            <w:fldChar w:fldCharType="begin"/>
                          </w:r>
                          <w:r>
                            <w:instrText xml:space="preserve"> DOCPROPERTY  "Kenmerk"  \* MERGEFORMAT </w:instrText>
                          </w:r>
                          <w:r>
                            <w:fldChar w:fldCharType="separate"/>
                          </w:r>
                          <w:r w:rsidR="00BA488A">
                            <w:t>2025-0000677946</w:t>
                          </w:r>
                          <w:r>
                            <w:fldChar w:fldCharType="end"/>
                          </w:r>
                        </w:p>
                        <w:bookmarkEnd w:id="1"/>
                        <w:p w:rsidR="00E02522" w14:textId="77777777">
                          <w:pPr>
                            <w:pStyle w:val="WitregelW1"/>
                          </w:pPr>
                        </w:p>
                        <w:p w:rsidR="00E02522" w14:textId="77777777">
                          <w:pPr>
                            <w:pStyle w:val="Referentiegegevensbold"/>
                          </w:pPr>
                          <w:r>
                            <w:t>Bijlage(n)</w:t>
                          </w:r>
                        </w:p>
                        <w:p w:rsidR="00E02522" w14:textId="77777777">
                          <w:pPr>
                            <w:pStyle w:val="Referentiegegevens"/>
                          </w:pPr>
                          <w:r>
                            <w:t>2</w:t>
                          </w:r>
                        </w:p>
                        <w:p w:rsidR="00E02522" w14:textId="77777777">
                          <w:pPr>
                            <w:pStyle w:val="WitregelW2"/>
                          </w:pPr>
                        </w:p>
                        <w:p w:rsidR="00E0252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02522" w14:paraId="2511A1BE" w14:textId="77777777">
                    <w:pPr>
                      <w:pStyle w:val="Referentiegegevensbold"/>
                    </w:pPr>
                    <w:r>
                      <w:t>DG Digitalisering &amp; Overheidsorganisatie</w:t>
                    </w:r>
                  </w:p>
                  <w:p w:rsidR="00E02522" w14:paraId="3076C047" w14:textId="77777777">
                    <w:pPr>
                      <w:pStyle w:val="Referentiegegevens"/>
                    </w:pPr>
                    <w:r>
                      <w:t>DGDOO-A&amp;P-Topinkomens &amp; Economische Adv.</w:t>
                    </w:r>
                  </w:p>
                  <w:p w:rsidR="00E02522" w14:paraId="56BB3DDB" w14:textId="77777777">
                    <w:pPr>
                      <w:pStyle w:val="WitregelW1"/>
                    </w:pPr>
                  </w:p>
                  <w:p w:rsidR="00E02522" w:rsidRPr="00022584" w14:paraId="6840E122" w14:textId="77777777">
                    <w:pPr>
                      <w:pStyle w:val="Referentiegegevens"/>
                      <w:rPr>
                        <w:lang w:val="de-DE"/>
                      </w:rPr>
                    </w:pPr>
                    <w:r w:rsidRPr="00022584">
                      <w:rPr>
                        <w:lang w:val="de-DE"/>
                      </w:rPr>
                      <w:t>Turfmarkt</w:t>
                    </w:r>
                    <w:r w:rsidRPr="00022584">
                      <w:rPr>
                        <w:lang w:val="de-DE"/>
                      </w:rPr>
                      <w:t xml:space="preserve"> 147</w:t>
                    </w:r>
                  </w:p>
                  <w:p w:rsidR="00E02522" w:rsidRPr="00022584" w14:paraId="1C09C8BE" w14:textId="77777777">
                    <w:pPr>
                      <w:pStyle w:val="Referentiegegevens"/>
                      <w:rPr>
                        <w:lang w:val="de-DE"/>
                      </w:rPr>
                    </w:pPr>
                    <w:r w:rsidRPr="00022584">
                      <w:rPr>
                        <w:lang w:val="de-DE"/>
                      </w:rPr>
                      <w:t>2511 DP Den Haag</w:t>
                    </w:r>
                  </w:p>
                  <w:p w:rsidR="00E02522" w:rsidRPr="00022584" w14:paraId="3E66F05F" w14:textId="77777777">
                    <w:pPr>
                      <w:pStyle w:val="Referentiegegevens"/>
                      <w:rPr>
                        <w:lang w:val="de-DE"/>
                      </w:rPr>
                    </w:pPr>
                    <w:r w:rsidRPr="00022584">
                      <w:rPr>
                        <w:lang w:val="de-DE"/>
                      </w:rPr>
                      <w:t>Postbus 20011</w:t>
                    </w:r>
                  </w:p>
                  <w:p w:rsidR="00E02522" w14:paraId="0E205411" w14:textId="77777777">
                    <w:pPr>
                      <w:pStyle w:val="Referentiegegevens"/>
                    </w:pPr>
                    <w:r>
                      <w:t>2500 EA  Den Haag</w:t>
                    </w:r>
                  </w:p>
                  <w:p w:rsidR="00E02522" w:rsidRPr="005E19C9" w14:paraId="0945C4B4" w14:textId="77777777">
                    <w:pPr>
                      <w:pStyle w:val="WitregelW2"/>
                    </w:pPr>
                  </w:p>
                  <w:p w:rsidR="00E02522" w14:paraId="5497ED87" w14:textId="77777777">
                    <w:pPr>
                      <w:pStyle w:val="Referentiegegevensbold"/>
                    </w:pPr>
                    <w:r>
                      <w:t>Onze referentie</w:t>
                    </w:r>
                  </w:p>
                  <w:bookmarkStart w:id="1" w:name="_Hlk217034612"/>
                  <w:p w:rsidR="00B94C1B" w14:paraId="63804076" w14:textId="77777777">
                    <w:pPr>
                      <w:pStyle w:val="Referentiegegevens"/>
                    </w:pPr>
                    <w:r>
                      <w:fldChar w:fldCharType="begin"/>
                    </w:r>
                    <w:r>
                      <w:instrText xml:space="preserve"> DOCPROPERTY  "Kenmerk"  \* MERGEFORMAT </w:instrText>
                    </w:r>
                    <w:r>
                      <w:fldChar w:fldCharType="separate"/>
                    </w:r>
                    <w:r w:rsidR="00BA488A">
                      <w:t>2025-0000677946</w:t>
                    </w:r>
                    <w:r>
                      <w:fldChar w:fldCharType="end"/>
                    </w:r>
                  </w:p>
                  <w:bookmarkEnd w:id="1"/>
                  <w:p w:rsidR="00E02522" w14:paraId="4A35E8B3" w14:textId="77777777">
                    <w:pPr>
                      <w:pStyle w:val="WitregelW1"/>
                    </w:pPr>
                  </w:p>
                  <w:p w:rsidR="00E02522" w14:paraId="112D0235" w14:textId="77777777">
                    <w:pPr>
                      <w:pStyle w:val="Referentiegegevensbold"/>
                    </w:pPr>
                    <w:r>
                      <w:t>Bijlage(n)</w:t>
                    </w:r>
                  </w:p>
                  <w:p w:rsidR="00E02522" w14:paraId="06BA634E" w14:textId="77777777">
                    <w:pPr>
                      <w:pStyle w:val="Referentiegegevens"/>
                    </w:pPr>
                    <w:r>
                      <w:t>2</w:t>
                    </w:r>
                  </w:p>
                  <w:p w:rsidR="00E02522" w14:paraId="378055B8" w14:textId="77777777">
                    <w:pPr>
                      <w:pStyle w:val="WitregelW2"/>
                    </w:pPr>
                  </w:p>
                  <w:p w:rsidR="00E02522" w14:paraId="5165380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4C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94C1B" w14:paraId="6BCC33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34C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034C2" w14:paraId="5017020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FD0FAA"/>
    <w:multiLevelType w:val="multilevel"/>
    <w:tmpl w:val="1A5D1A7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2E453CD"/>
    <w:multiLevelType w:val="multilevel"/>
    <w:tmpl w:val="DA3DC24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62885D0"/>
    <w:multiLevelType w:val="multilevel"/>
    <w:tmpl w:val="C7ECB3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A0B281E"/>
    <w:multiLevelType w:val="multilevel"/>
    <w:tmpl w:val="090E4F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89987833">
    <w:abstractNumId w:val="2"/>
  </w:num>
  <w:num w:numId="2" w16cid:durableId="1722749803">
    <w:abstractNumId w:val="3"/>
  </w:num>
  <w:num w:numId="3" w16cid:durableId="718632747">
    <w:abstractNumId w:val="1"/>
  </w:num>
  <w:num w:numId="4" w16cid:durableId="3512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22"/>
    <w:rsid w:val="000157D4"/>
    <w:rsid w:val="00022584"/>
    <w:rsid w:val="00035F14"/>
    <w:rsid w:val="00036E7D"/>
    <w:rsid w:val="0008441D"/>
    <w:rsid w:val="000E194B"/>
    <w:rsid w:val="00194F3B"/>
    <w:rsid w:val="001B2F7A"/>
    <w:rsid w:val="001C4C38"/>
    <w:rsid w:val="001F3E2D"/>
    <w:rsid w:val="00206F26"/>
    <w:rsid w:val="00214AC3"/>
    <w:rsid w:val="00375BAB"/>
    <w:rsid w:val="003A263A"/>
    <w:rsid w:val="00464744"/>
    <w:rsid w:val="00514C0B"/>
    <w:rsid w:val="00553178"/>
    <w:rsid w:val="005629D1"/>
    <w:rsid w:val="005B59CE"/>
    <w:rsid w:val="005C2D6E"/>
    <w:rsid w:val="005D60A1"/>
    <w:rsid w:val="005E19C9"/>
    <w:rsid w:val="00611DCE"/>
    <w:rsid w:val="006313F0"/>
    <w:rsid w:val="006874A3"/>
    <w:rsid w:val="00723313"/>
    <w:rsid w:val="00736011"/>
    <w:rsid w:val="00755ABB"/>
    <w:rsid w:val="00763CEC"/>
    <w:rsid w:val="00842295"/>
    <w:rsid w:val="00876728"/>
    <w:rsid w:val="008832FF"/>
    <w:rsid w:val="008A275E"/>
    <w:rsid w:val="008A3AF1"/>
    <w:rsid w:val="008E548F"/>
    <w:rsid w:val="009120B6"/>
    <w:rsid w:val="0096399F"/>
    <w:rsid w:val="009A7F28"/>
    <w:rsid w:val="00A30CB7"/>
    <w:rsid w:val="00A31E82"/>
    <w:rsid w:val="00A85D25"/>
    <w:rsid w:val="00A95FC1"/>
    <w:rsid w:val="00AB69BF"/>
    <w:rsid w:val="00B05480"/>
    <w:rsid w:val="00B73D92"/>
    <w:rsid w:val="00B746CD"/>
    <w:rsid w:val="00B94C1B"/>
    <w:rsid w:val="00BA488A"/>
    <w:rsid w:val="00BC3FBF"/>
    <w:rsid w:val="00BD7921"/>
    <w:rsid w:val="00CA1646"/>
    <w:rsid w:val="00D00554"/>
    <w:rsid w:val="00D077B2"/>
    <w:rsid w:val="00D47E0A"/>
    <w:rsid w:val="00E02522"/>
    <w:rsid w:val="00E81AD0"/>
    <w:rsid w:val="00E84CC4"/>
    <w:rsid w:val="00E95EA4"/>
    <w:rsid w:val="00F034C2"/>
    <w:rsid w:val="00F05664"/>
    <w:rsid w:val="00F76CBC"/>
    <w:rsid w:val="00F97EE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6A0FA1"/>
  <w15:docId w15:val="{9486F620-4FB2-46CD-991A-7C83BE7D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22584"/>
    <w:pPr>
      <w:tabs>
        <w:tab w:val="center" w:pos="4536"/>
        <w:tab w:val="right" w:pos="9072"/>
      </w:tabs>
      <w:spacing w:line="240" w:lineRule="auto"/>
    </w:pPr>
  </w:style>
  <w:style w:type="character" w:customStyle="1" w:styleId="KoptekstChar">
    <w:name w:val="Koptekst Char"/>
    <w:basedOn w:val="DefaultParagraphFont"/>
    <w:link w:val="Header"/>
    <w:uiPriority w:val="99"/>
    <w:rsid w:val="00022584"/>
    <w:rPr>
      <w:rFonts w:ascii="Verdana" w:hAnsi="Verdana"/>
      <w:color w:val="000000"/>
      <w:sz w:val="18"/>
      <w:szCs w:val="18"/>
    </w:rPr>
  </w:style>
  <w:style w:type="paragraph" w:styleId="Footer">
    <w:name w:val="footer"/>
    <w:basedOn w:val="Normal"/>
    <w:link w:val="VoettekstChar"/>
    <w:uiPriority w:val="99"/>
    <w:unhideWhenUsed/>
    <w:rsid w:val="00022584"/>
    <w:pPr>
      <w:tabs>
        <w:tab w:val="center" w:pos="4536"/>
        <w:tab w:val="right" w:pos="9072"/>
      </w:tabs>
      <w:spacing w:line="240" w:lineRule="auto"/>
    </w:pPr>
  </w:style>
  <w:style w:type="character" w:customStyle="1" w:styleId="VoettekstChar">
    <w:name w:val="Voettekst Char"/>
    <w:basedOn w:val="DefaultParagraphFont"/>
    <w:link w:val="Footer"/>
    <w:uiPriority w:val="99"/>
    <w:rsid w:val="00022584"/>
    <w:rPr>
      <w:rFonts w:ascii="Verdana" w:hAnsi="Verdana"/>
      <w:color w:val="000000"/>
      <w:sz w:val="18"/>
      <w:szCs w:val="18"/>
    </w:rPr>
  </w:style>
  <w:style w:type="paragraph" w:styleId="FootnoteText">
    <w:name w:val="footnote text"/>
    <w:basedOn w:val="Normal"/>
    <w:link w:val="VoetnoottekstChar"/>
    <w:uiPriority w:val="99"/>
    <w:semiHidden/>
    <w:unhideWhenUsed/>
    <w:rsid w:val="00022584"/>
    <w:pPr>
      <w:spacing w:line="240" w:lineRule="auto"/>
    </w:pPr>
    <w:rPr>
      <w:sz w:val="20"/>
      <w:szCs w:val="20"/>
    </w:rPr>
  </w:style>
  <w:style w:type="character" w:customStyle="1" w:styleId="VoetnoottekstChar">
    <w:name w:val="Voetnoottekst Char"/>
    <w:basedOn w:val="DefaultParagraphFont"/>
    <w:link w:val="FootnoteText"/>
    <w:uiPriority w:val="99"/>
    <w:semiHidden/>
    <w:rsid w:val="00022584"/>
    <w:rPr>
      <w:rFonts w:ascii="Verdana" w:hAnsi="Verdana"/>
      <w:color w:val="000000"/>
    </w:rPr>
  </w:style>
  <w:style w:type="character" w:styleId="FootnoteReference">
    <w:name w:val="footnote reference"/>
    <w:basedOn w:val="DefaultParagraphFont"/>
    <w:uiPriority w:val="99"/>
    <w:semiHidden/>
    <w:unhideWhenUsed/>
    <w:rsid w:val="00022584"/>
    <w:rPr>
      <w:vertAlign w:val="superscript"/>
    </w:rPr>
  </w:style>
  <w:style w:type="paragraph" w:styleId="Revision">
    <w:name w:val="Revision"/>
    <w:hidden/>
    <w:uiPriority w:val="99"/>
    <w:semiHidden/>
    <w:rsid w:val="009120B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629D1"/>
    <w:rPr>
      <w:sz w:val="16"/>
      <w:szCs w:val="16"/>
    </w:rPr>
  </w:style>
  <w:style w:type="paragraph" w:styleId="CommentText">
    <w:name w:val="annotation text"/>
    <w:basedOn w:val="Normal"/>
    <w:link w:val="TekstopmerkingChar"/>
    <w:uiPriority w:val="99"/>
    <w:unhideWhenUsed/>
    <w:rsid w:val="005629D1"/>
    <w:pPr>
      <w:spacing w:line="240" w:lineRule="auto"/>
    </w:pPr>
    <w:rPr>
      <w:sz w:val="20"/>
      <w:szCs w:val="20"/>
    </w:rPr>
  </w:style>
  <w:style w:type="character" w:customStyle="1" w:styleId="TekstopmerkingChar">
    <w:name w:val="Tekst opmerking Char"/>
    <w:basedOn w:val="DefaultParagraphFont"/>
    <w:link w:val="CommentText"/>
    <w:uiPriority w:val="99"/>
    <w:rsid w:val="005629D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629D1"/>
    <w:rPr>
      <w:b/>
      <w:bCs/>
    </w:rPr>
  </w:style>
  <w:style w:type="character" w:customStyle="1" w:styleId="OnderwerpvanopmerkingChar">
    <w:name w:val="Onderwerp van opmerking Char"/>
    <w:basedOn w:val="TekstopmerkingChar"/>
    <w:link w:val="CommentSubject"/>
    <w:uiPriority w:val="99"/>
    <w:semiHidden/>
    <w:rsid w:val="005629D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986</ap:Words>
  <ap:Characters>5427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Voortgang normering topinkomens (semi) publieke sector en WNT-jaarrapportage 2024</vt:lpstr>
    </vt:vector>
  </ap:TitlesOfParts>
  <ap:LinksUpToDate>false</ap:LinksUpToDate>
  <ap:CharactersWithSpaces>6401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2025-12-19T10:04:00.0000000Z</dcterms:created>
  <dcterms:modified xsi:type="dcterms:W3CDTF">2025-12-19T10:04:00.0000000Z</dcterms:modified>
  <dc:creator/>
  <lastModifiedBy/>
  <dc:description>------------------------</dc:description>
  <dc:subject/>
  <keywords/>
  <version/>
  <category/>
</coreProperties>
</file>