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2025Z22657</w:t>
        <w:br/>
      </w:r>
      <w:proofErr w:type="spellEnd"/>
    </w:p>
    <w:p>
      <w:pPr>
        <w:pStyle w:val="Normal"/>
        <w:rPr>
          <w:b w:val="1"/>
          <w:bCs w:val="1"/>
        </w:rPr>
      </w:pPr>
      <w:r w:rsidR="250AE766">
        <w:rPr>
          <w:b w:val="0"/>
          <w:bCs w:val="0"/>
        </w:rPr>
        <w:t>(ingezonden 22 december 2025)</w:t>
        <w:br/>
      </w:r>
    </w:p>
    <w:p>
      <w:r>
        <w:t xml:space="preserve">Vragen van de leden Van Lanschot en Inge van Dijk (beiden CDA) aan de minister van Economische Zaken en de staatssecretaris van Financiën over de nieuwe fiscale regeling om medewerkersparticipatie voor startups en scale-ups te stimuleren.</w:t>
      </w:r>
      <w:r>
        <w:br/>
      </w:r>
    </w:p>
    <w:p>
      <w:r>
        <w:t xml:space="preserve"> </w:t>
      </w:r>
      <w:r>
        <w:br/>
      </w:r>
    </w:p>
    <w:p>
      <w:r>
        <w:t xml:space="preserve">1. Klopt het dat in de beoogde regeling bij een IPO met lock-up voorwaarden er pas na afloop van de lock-up periode fiscaal afgerekend hoeft te worden (Kamerstuk 32140, nr. 285)? </w:t>
      </w:r>
      <w:r>
        <w:br/>
      </w:r>
    </w:p>
    <w:p>
      <w:r>
        <w:t xml:space="preserve">2. Hoe geldt dit voor een reguliere bedrijfsverkoop die non-cash is (bijvoorbeeld een aandelenruil) of op een earn-out regeling gebaseerd is?  </w:t>
      </w:r>
      <w:r>
        <w:br/>
      </w:r>
    </w:p>
    <w:p>
      <w:r>
        <w:t xml:space="preserve">3. Hoe voorkomt het kabinet dat de aanbiedingsplicht van een individuele werknemer een blokkade wordt bij een beoogde overname van alle aandelen in de start / scale-up door een derde partij? </w:t>
      </w:r>
      <w:r>
        <w:br/>
      </w:r>
    </w:p>
    <w:p>
      <w:r>
        <w:t xml:space="preserve">4. Bij verlopen van de status wordt teruggevallen op de bestaande regeling, waarin belastingheffing uiterlijk plaatsvindt bij verhandelbaarheid van aandelen, valt een beperkte interne verkoop-ronde ook onder de definitie van deze regeling? </w:t>
      </w:r>
      <w:r>
        <w:br/>
      </w:r>
    </w:p>
    <w:p>
      <w:r>
        <w:t xml:space="preserve">5. Hoe mitigeert het kabinet het liquiditeitsrisico voor medewerkers bij het verlopen van de status (met bijvoorbeeld een betalingsregeling)?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