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15B" w:rsidP="0030615B" w:rsidRDefault="0030615B" w14:paraId="1E4EA9B2" w14:textId="2E5C0F02">
      <w:pPr>
        <w:pStyle w:val="WitregelW1bodytekst"/>
        <w:rPr>
          <w:b/>
          <w:bCs/>
        </w:rPr>
      </w:pPr>
      <w:r>
        <w:rPr>
          <w:b/>
          <w:bCs/>
        </w:rPr>
        <w:t>AH 769</w:t>
      </w:r>
    </w:p>
    <w:p w:rsidRPr="0030615B" w:rsidR="0030615B" w:rsidP="0030615B" w:rsidRDefault="0030615B" w14:paraId="681989F7" w14:textId="77777777">
      <w:pPr>
        <w:rPr>
          <w:lang w:eastAsia="nl-NL"/>
        </w:rPr>
      </w:pPr>
    </w:p>
    <w:p w:rsidR="0030615B" w:rsidP="0030615B" w:rsidRDefault="0030615B" w14:paraId="714F9CB0" w14:textId="044D0D88">
      <w:pPr>
        <w:rPr>
          <w:lang w:eastAsia="nl-NL"/>
        </w:rPr>
      </w:pPr>
      <w:r>
        <w:rPr>
          <w:lang w:eastAsia="nl-NL"/>
        </w:rPr>
        <w:t>2025Z19688</w:t>
      </w:r>
    </w:p>
    <w:p w:rsidRPr="0030615B" w:rsidR="0030615B" w:rsidP="0030615B" w:rsidRDefault="0030615B" w14:paraId="550C96BA" w14:textId="56962A3D">
      <w:pPr>
        <w:rPr>
          <w:rFonts w:ascii="Arial" w:hAnsi="Arial" w:cs="Arial"/>
          <w:color w:val="000000"/>
          <w:sz w:val="24"/>
          <w:szCs w:val="24"/>
        </w:rPr>
      </w:pPr>
      <w:r w:rsidRPr="008257E5">
        <w:rPr>
          <w:sz w:val="24"/>
          <w:szCs w:val="24"/>
        </w:rPr>
        <w:t xml:space="preserve">Antwoord van staatssecretaris Aartsen (Infrastructuur en Waterstaat) </w:t>
      </w:r>
      <w:r>
        <w:rPr>
          <w:sz w:val="24"/>
          <w:szCs w:val="24"/>
        </w:rPr>
        <w:t xml:space="preserve">en de </w:t>
      </w:r>
      <w:r w:rsidRPr="007D78AD">
        <w:rPr>
          <w:rFonts w:ascii="Times New Roman" w:hAnsi="Times New Roman"/>
          <w:sz w:val="24"/>
        </w:rPr>
        <w:t>minister van Justitie en Veiligheid</w:t>
      </w:r>
      <w:r>
        <w:rPr>
          <w:rFonts w:ascii="Arial" w:hAnsi="Arial" w:cs="Arial"/>
          <w:color w:val="000000"/>
          <w:sz w:val="24"/>
          <w:szCs w:val="24"/>
        </w:rPr>
        <w:t xml:space="preserve"> </w:t>
      </w:r>
      <w:r w:rsidRPr="008257E5">
        <w:rPr>
          <w:sz w:val="24"/>
          <w:szCs w:val="24"/>
        </w:rPr>
        <w:t>(ontvangen</w:t>
      </w:r>
      <w:r>
        <w:rPr>
          <w:sz w:val="24"/>
          <w:szCs w:val="24"/>
        </w:rPr>
        <w:t xml:space="preserve"> 22 december 2025)</w:t>
      </w:r>
    </w:p>
    <w:p w:rsidR="0030615B" w:rsidP="0030615B" w:rsidRDefault="0030615B" w14:paraId="45D273C0" w14:textId="77777777">
      <w:pPr>
        <w:rPr>
          <w:lang w:eastAsia="nl-NL"/>
        </w:rPr>
      </w:pPr>
    </w:p>
    <w:p w:rsidRPr="0030615B" w:rsidR="0030615B" w:rsidP="0030615B" w:rsidRDefault="0030615B" w14:paraId="243369B6" w14:textId="58003C8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545</w:t>
      </w:r>
    </w:p>
    <w:p w:rsidRPr="0030615B" w:rsidR="0030615B" w:rsidP="0030615B" w:rsidRDefault="0030615B" w14:paraId="230AF628" w14:textId="77777777">
      <w:pPr>
        <w:rPr>
          <w:lang w:eastAsia="nl-NL"/>
        </w:rPr>
      </w:pPr>
    </w:p>
    <w:p w:rsidR="0030615B" w:rsidP="0030615B" w:rsidRDefault="0030615B" w14:paraId="4AD0E13D" w14:textId="77777777">
      <w:r w:rsidRPr="0031251D">
        <w:t> </w:t>
      </w:r>
      <w:r w:rsidRPr="0031251D">
        <w:t> </w:t>
      </w:r>
      <w:r w:rsidRPr="0031251D">
        <w:t> </w:t>
      </w:r>
      <w:r w:rsidRPr="0031251D">
        <w:t> </w:t>
      </w:r>
      <w:r w:rsidRPr="0031251D">
        <w:t> </w:t>
      </w:r>
      <w:r w:rsidRPr="0031251D">
        <w:t> </w:t>
      </w:r>
      <w:r w:rsidRPr="0031251D">
        <w:t>1.</w:t>
      </w:r>
      <w:r w:rsidRPr="0031251D">
        <w:t> </w:t>
      </w:r>
      <w:r w:rsidRPr="0031251D">
        <w:t> </w:t>
      </w:r>
      <w:r w:rsidRPr="0031251D">
        <w:t> </w:t>
      </w:r>
      <w:r w:rsidRPr="0031251D">
        <w:t> </w:t>
      </w:r>
      <w:r w:rsidRPr="0031251D">
        <w:t xml:space="preserve">Heeft de </w:t>
      </w:r>
      <w:proofErr w:type="spellStart"/>
      <w:r w:rsidRPr="0031251D">
        <w:t>Onderzoeksraad</w:t>
      </w:r>
      <w:proofErr w:type="spellEnd"/>
      <w:r w:rsidRPr="0031251D">
        <w:t xml:space="preserve"> voor Veiligheid (OVV) ooit onderzoek gedaan naar brand- en veiligheidsrisico’s van windturbines op land?</w:t>
      </w:r>
    </w:p>
    <w:p w:rsidR="0030615B" w:rsidP="0030615B" w:rsidRDefault="0030615B" w14:paraId="4A5DB741" w14:textId="77777777"/>
    <w:p w:rsidR="0030615B" w:rsidP="0030615B" w:rsidRDefault="0030615B" w14:paraId="084C0724" w14:textId="77777777">
      <w:r>
        <w:t xml:space="preserve">Windturbines kunnen door de </w:t>
      </w:r>
      <w:proofErr w:type="spellStart"/>
      <w:r>
        <w:t>Onderzoeksraad</w:t>
      </w:r>
      <w:proofErr w:type="spellEnd"/>
      <w:r>
        <w:t xml:space="preserve"> voor Veiligheid worden onderzocht als zij daartoe beslissen vanuit hun bevoegdheid als zelfstandig bestuursorgaan. Tot op heden heeft de </w:t>
      </w:r>
      <w:proofErr w:type="spellStart"/>
      <w:r>
        <w:t>Onderzoeksraad</w:t>
      </w:r>
      <w:proofErr w:type="spellEnd"/>
      <w:r>
        <w:t xml:space="preserve"> geen onderzoeken gedaan naar veiligheidsrisico’s van windturbines op land. Wel is het onderwerp windturbines eenmaal genoemd in een kwartaalrapportage, maar hier was geen sprake van significante veiligheidsrisico’s</w:t>
      </w:r>
      <w:r>
        <w:rPr>
          <w:rStyle w:val="Voetnootmarkering"/>
        </w:rPr>
        <w:footnoteReference w:id="1"/>
      </w:r>
      <w:r>
        <w:t>.</w:t>
      </w:r>
    </w:p>
    <w:p w:rsidR="0030615B" w:rsidP="0030615B" w:rsidRDefault="0030615B" w14:paraId="67BAB157" w14:textId="77777777"/>
    <w:p w:rsidR="0030615B" w:rsidP="0030615B" w:rsidRDefault="0030615B" w14:paraId="00323877" w14:textId="77777777">
      <w:r w:rsidRPr="0031251D">
        <w:t> </w:t>
      </w:r>
      <w:r w:rsidRPr="0031251D">
        <w:t> </w:t>
      </w:r>
      <w:r w:rsidRPr="0031251D">
        <w:t> </w:t>
      </w:r>
      <w:r w:rsidRPr="0031251D">
        <w:t> </w:t>
      </w:r>
      <w:r w:rsidRPr="0031251D">
        <w:t> </w:t>
      </w:r>
      <w:r w:rsidRPr="0031251D">
        <w:t> </w:t>
      </w:r>
      <w:r w:rsidRPr="0031251D">
        <w:t>2.</w:t>
      </w:r>
      <w:r w:rsidRPr="0031251D">
        <w:t> </w:t>
      </w:r>
      <w:r w:rsidRPr="0031251D">
        <w:t> </w:t>
      </w:r>
      <w:r w:rsidRPr="0031251D">
        <w:t> </w:t>
      </w:r>
      <w:r w:rsidRPr="0031251D">
        <w:t> </w:t>
      </w:r>
      <w:r w:rsidRPr="0031251D">
        <w:t>Zo ja, kan dat onderzoek met de Kamer worden gedeeld? Zo nee, wilt u de OVV verzoeken dit alsnog te doen?</w:t>
      </w:r>
      <w:r>
        <w:t xml:space="preserve"> </w:t>
      </w:r>
    </w:p>
    <w:p w:rsidR="0030615B" w:rsidP="0030615B" w:rsidRDefault="0030615B" w14:paraId="21ACE940" w14:textId="77777777"/>
    <w:p w:rsidR="0030615B" w:rsidP="0030615B" w:rsidRDefault="0030615B" w14:paraId="017D02B0" w14:textId="77777777">
      <w:r>
        <w:t xml:space="preserve">Nee, een dergelijk verzoek gebeurt alleen in uitzonderlijke gevallen. De </w:t>
      </w:r>
      <w:proofErr w:type="spellStart"/>
      <w:r>
        <w:t>Onderzoeksraad</w:t>
      </w:r>
      <w:proofErr w:type="spellEnd"/>
      <w:r>
        <w:t xml:space="preserve"> beslist als zelfstandig bestuursorgaan </w:t>
      </w:r>
      <w:r w:rsidRPr="00156E8C">
        <w:t>zelf welke voorvallen en onderwerpen worden onderzocht, en richt zich vooral op situaties waarin burgers voor hun veiligheid afhankelijk zijn van partijen als de overheid, bedrijven of instellingen</w:t>
      </w:r>
      <w:r>
        <w:t xml:space="preserve">. </w:t>
      </w:r>
    </w:p>
    <w:p w:rsidRPr="00614354" w:rsidR="0030615B" w:rsidP="0030615B" w:rsidRDefault="0030615B" w14:paraId="33DCD1E9" w14:textId="77777777"/>
    <w:p w:rsidR="0030615B" w:rsidP="0030615B" w:rsidRDefault="0030615B" w14:paraId="396DA56C" w14:textId="77777777">
      <w:r w:rsidRPr="0031251D">
        <w:t> </w:t>
      </w:r>
      <w:r w:rsidRPr="0031251D">
        <w:t> </w:t>
      </w:r>
      <w:r w:rsidRPr="0031251D">
        <w:t> </w:t>
      </w:r>
      <w:r w:rsidRPr="0031251D">
        <w:t> </w:t>
      </w:r>
      <w:r w:rsidRPr="0031251D">
        <w:t> </w:t>
      </w:r>
      <w:r w:rsidRPr="0031251D">
        <w:t> </w:t>
      </w:r>
      <w:r w:rsidRPr="0031251D">
        <w:t>3.</w:t>
      </w:r>
      <w:r w:rsidRPr="0031251D">
        <w:t> </w:t>
      </w:r>
      <w:r w:rsidRPr="0031251D">
        <w:t> </w:t>
      </w:r>
      <w:r w:rsidRPr="0031251D">
        <w:t> </w:t>
      </w:r>
      <w:r w:rsidRPr="0031251D">
        <w:t> </w:t>
      </w:r>
      <w:r w:rsidRPr="0031251D">
        <w:t>Hoe wordt geborgd dat windturbines van 130 meter en hoger voldoen aan eisen voor externe veiligheid, blusbaarheid en rampenbestrijding?</w:t>
      </w:r>
      <w:r>
        <w:t xml:space="preserve"> </w:t>
      </w:r>
    </w:p>
    <w:p w:rsidR="0030615B" w:rsidP="0030615B" w:rsidRDefault="0030615B" w14:paraId="3E6FF40B" w14:textId="77777777"/>
    <w:p w:rsidRPr="00946241" w:rsidR="0030615B" w:rsidP="0030615B" w:rsidRDefault="0030615B" w14:paraId="67F21705" w14:textId="77777777">
      <w:r>
        <w:lastRenderedPageBreak/>
        <w:t>Deze b</w:t>
      </w:r>
      <w:r w:rsidRPr="00946241">
        <w:t xml:space="preserve">orging vindt plaats door middel van regelgeving. Voor </w:t>
      </w:r>
      <w:r>
        <w:t>een</w:t>
      </w:r>
      <w:r w:rsidRPr="00946241">
        <w:t xml:space="preserve"> of </w:t>
      </w:r>
      <w:r>
        <w:t>twee</w:t>
      </w:r>
      <w:r w:rsidRPr="00946241">
        <w:t xml:space="preserve"> windturbines gelden de direct werkende gebruiksregels voor windturbines</w:t>
      </w:r>
      <w:r>
        <w:t>,</w:t>
      </w:r>
      <w:r w:rsidRPr="00946241">
        <w:t xml:space="preserve"> zoals vermeld in het Besluit activiteiten leefomgeving (Bal)</w:t>
      </w:r>
      <w:r>
        <w:t xml:space="preserve"> en afstandsnormen (</w:t>
      </w:r>
      <w:proofErr w:type="spellStart"/>
      <w:r>
        <w:t>Bkl</w:t>
      </w:r>
      <w:proofErr w:type="spellEnd"/>
      <w:r>
        <w:t>)</w:t>
      </w:r>
      <w:r w:rsidRPr="00946241">
        <w:t xml:space="preserve">. Voor projecten met </w:t>
      </w:r>
      <w:r>
        <w:t>drie</w:t>
      </w:r>
      <w:r w:rsidRPr="00946241">
        <w:t xml:space="preserve"> of meer windturbines geldt een vergunningsplicht onder de Omgevingswet (B</w:t>
      </w:r>
      <w:r>
        <w:t>a</w:t>
      </w:r>
      <w:r w:rsidRPr="00946241">
        <w:t xml:space="preserve">l). </w:t>
      </w:r>
    </w:p>
    <w:p w:rsidR="0030615B" w:rsidP="0030615B" w:rsidRDefault="0030615B" w14:paraId="4D6A1087" w14:textId="77777777"/>
    <w:p w:rsidR="0030615B" w:rsidP="0030615B" w:rsidRDefault="0030615B" w14:paraId="7908F297" w14:textId="77777777">
      <w:r>
        <w:t xml:space="preserve">De gebruiksregels in het Bal stellen dat jaarlijks een inspectie dient plaats te vinden </w:t>
      </w:r>
      <w:r w:rsidRPr="002742B6">
        <w:t>vanwege externe veiligheid (artikel 4.428 Bal)</w:t>
      </w:r>
      <w:r>
        <w:t xml:space="preserve">, sprake is van een informatieplicht </w:t>
      </w:r>
      <w:r w:rsidRPr="002742B6">
        <w:t>over het buiten gebruik stellen (artikel 4.429 Bal)</w:t>
      </w:r>
      <w:r>
        <w:t xml:space="preserve">, en een veilig ontwerp (artikel 4.430 Bal). </w:t>
      </w:r>
      <w:r w:rsidRPr="00946241">
        <w:t xml:space="preserve">Dit om de omgeving te beschermen tegen bladbreuk en afworp, mastbreuk of omvallen en bijvoorbeeld ijsafwerping. </w:t>
      </w:r>
      <w:r>
        <w:t xml:space="preserve">Daarnaast stelt het </w:t>
      </w:r>
      <w:proofErr w:type="spellStart"/>
      <w:r>
        <w:t>Bkl</w:t>
      </w:r>
      <w:proofErr w:type="spellEnd"/>
      <w:r>
        <w:t xml:space="preserve"> dat bij de inpassing van windturbines in ruimtelijke ontwikkelingen rekening gehouden moet worden met windturbines als ‘risicobron’, bijvoorbeeld op basis van de verplicht berekende risicocontour.</w:t>
      </w:r>
    </w:p>
    <w:p w:rsidR="0030615B" w:rsidP="0030615B" w:rsidRDefault="0030615B" w14:paraId="674F8C1B" w14:textId="77777777"/>
    <w:p w:rsidRPr="00946241" w:rsidR="0030615B" w:rsidP="0030615B" w:rsidRDefault="0030615B" w14:paraId="71BECE62" w14:textId="77777777">
      <w:r>
        <w:t xml:space="preserve">De </w:t>
      </w:r>
      <w:r w:rsidRPr="00946241">
        <w:t>provincie of gemeente</w:t>
      </w:r>
      <w:r>
        <w:t xml:space="preserve"> (en in uitzonderlijke gevallen het Rijk) is</w:t>
      </w:r>
      <w:r w:rsidRPr="00946241">
        <w:t xml:space="preserve"> bevoegd gezag en toet</w:t>
      </w:r>
      <w:r>
        <w:t>st</w:t>
      </w:r>
      <w:r w:rsidRPr="00946241">
        <w:t xml:space="preserve"> aan de</w:t>
      </w:r>
      <w:r>
        <w:t xml:space="preserve"> borging en naleving van de</w:t>
      </w:r>
      <w:r w:rsidRPr="00946241">
        <w:t xml:space="preserve"> eisen. Bovendien kunnen zij de veiligheidsregio altijd vragen om advies. </w:t>
      </w:r>
      <w:r>
        <w:t>H</w:t>
      </w:r>
      <w:r w:rsidRPr="00946241">
        <w:t>et</w:t>
      </w:r>
      <w:r>
        <w:t xml:space="preserve"> Nederlands Instituut Publieke Veiligheid heeft een kennisbundel opgesteld voor de vraag</w:t>
      </w:r>
      <w:r w:rsidRPr="00946241">
        <w:t xml:space="preserve"> welke regels er van toepassing zijn</w:t>
      </w:r>
      <w:r>
        <w:rPr>
          <w:rStyle w:val="Voetnootmarkering"/>
        </w:rPr>
        <w:footnoteReference w:id="2"/>
      </w:r>
      <w:r>
        <w:t>.</w:t>
      </w:r>
    </w:p>
    <w:p w:rsidRPr="00614354" w:rsidR="0030615B" w:rsidP="0030615B" w:rsidRDefault="0030615B" w14:paraId="400078FE" w14:textId="77777777"/>
    <w:p w:rsidRPr="00D3180D" w:rsidR="0030615B" w:rsidP="0030615B" w:rsidRDefault="0030615B" w14:paraId="6D2E779F" w14:textId="77777777">
      <w:r w:rsidRPr="00D3180D">
        <w:t> </w:t>
      </w:r>
      <w:r w:rsidRPr="00D3180D">
        <w:t> </w:t>
      </w:r>
      <w:r w:rsidRPr="00D3180D">
        <w:t> </w:t>
      </w:r>
      <w:r w:rsidRPr="00D3180D">
        <w:t> </w:t>
      </w:r>
      <w:r w:rsidRPr="00D3180D">
        <w:t> </w:t>
      </w:r>
      <w:r w:rsidRPr="00D3180D">
        <w:t> </w:t>
      </w:r>
      <w:r w:rsidRPr="00D3180D">
        <w:t>4.</w:t>
      </w:r>
      <w:r w:rsidRPr="00D3180D">
        <w:t> </w:t>
      </w:r>
      <w:r w:rsidRPr="00D3180D">
        <w:t> </w:t>
      </w:r>
      <w:r w:rsidRPr="00D3180D">
        <w:t> </w:t>
      </w:r>
      <w:r w:rsidRPr="00D3180D">
        <w:t> </w:t>
      </w:r>
      <w:r w:rsidRPr="00D3180D">
        <w:t>Is er voldoende bluscapaciteit beschikbaar om branden op grote hoogte te bestrijden?</w:t>
      </w:r>
    </w:p>
    <w:p w:rsidRPr="00D3180D" w:rsidR="0030615B" w:rsidP="0030615B" w:rsidRDefault="0030615B" w14:paraId="2AAFF650" w14:textId="77777777"/>
    <w:p w:rsidRPr="00D3180D" w:rsidR="0030615B" w:rsidP="0030615B" w:rsidRDefault="0030615B" w14:paraId="3B89361A" w14:textId="77777777">
      <w:r w:rsidRPr="00D3180D">
        <w:t xml:space="preserve">In het algemeen geldt dat branden op grote hoogte moeilijk te bestrijden zijn. In hoogbouw (woningen en bedrijven) worden er daarom extra brandpreventieve eisen gesteld om bewoners te beschermen en de brandweer voldoende in staat te stellen een veilige inzet te doen. Voor windturbines gelden deze eisen niet. </w:t>
      </w:r>
    </w:p>
    <w:p w:rsidRPr="00D3180D" w:rsidR="0030615B" w:rsidP="0030615B" w:rsidRDefault="0030615B" w14:paraId="19ED5186" w14:textId="77777777"/>
    <w:p w:rsidRPr="00D3180D" w:rsidR="0030615B" w:rsidP="0030615B" w:rsidRDefault="0030615B" w14:paraId="405D3F7F" w14:textId="77777777">
      <w:r w:rsidRPr="00D3180D">
        <w:t xml:space="preserve">Specifiek voor windturbines geldt dat eerst zal worden geprobeerd de windturbine uit te laten zetten door de beheerder van de windturbine. Het bestrijden van de brand op hoogte is vanwege de slechte toegankelijkheid en besloten ruimte vanwege de veiligheid van het personeel niet mogelijk. De standaardprocedure van </w:t>
      </w:r>
      <w:r w:rsidRPr="00D3180D">
        <w:lastRenderedPageBreak/>
        <w:t xml:space="preserve">de brandweerinzet is daarom dat deze gericht is op het veiligstellen van de omgeving. </w:t>
      </w:r>
    </w:p>
    <w:p w:rsidRPr="00D3180D" w:rsidR="0030615B" w:rsidP="0030615B" w:rsidRDefault="0030615B" w14:paraId="5459BF5B" w14:textId="77777777"/>
    <w:p w:rsidRPr="00D3180D" w:rsidR="0030615B" w:rsidP="0030615B" w:rsidRDefault="0030615B" w14:paraId="120EE632" w14:textId="77777777">
      <w:r w:rsidRPr="00D3180D">
        <w:t> </w:t>
      </w:r>
      <w:r w:rsidRPr="00D3180D">
        <w:t> </w:t>
      </w:r>
      <w:r w:rsidRPr="00D3180D">
        <w:t> </w:t>
      </w:r>
      <w:r w:rsidRPr="00D3180D">
        <w:t> </w:t>
      </w:r>
      <w:r w:rsidRPr="00D3180D">
        <w:t> </w:t>
      </w:r>
      <w:r w:rsidRPr="00D3180D">
        <w:t> </w:t>
      </w:r>
      <w:r w:rsidRPr="00D3180D">
        <w:t>5.</w:t>
      </w:r>
      <w:r w:rsidRPr="00D3180D">
        <w:t> </w:t>
      </w:r>
      <w:r w:rsidRPr="00D3180D">
        <w:t> </w:t>
      </w:r>
      <w:r w:rsidRPr="00D3180D">
        <w:t> </w:t>
      </w:r>
      <w:r w:rsidRPr="00D3180D">
        <w:t> </w:t>
      </w:r>
      <w:r w:rsidRPr="00D3180D">
        <w:t>Worden omwonenden voldoende geïnformeerd over risico’s en noodprocedures bij brand of technisch falen?</w:t>
      </w:r>
    </w:p>
    <w:p w:rsidRPr="00D3180D" w:rsidR="0030615B" w:rsidP="0030615B" w:rsidRDefault="0030615B" w14:paraId="60A1C15D" w14:textId="77777777"/>
    <w:p w:rsidR="0030615B" w:rsidP="0030615B" w:rsidRDefault="0030615B" w14:paraId="3883E547" w14:textId="77777777">
      <w:r w:rsidRPr="00D3180D">
        <w:t>Informeren is aan de initiatiefnemer en vergunningverlenende partij. Tijdens een incident vindt communicatie, ook met omwoners, plaats vanuit de betrokken veiligheidsregio met mogelijk handelingsperspectieven als dat van toepassing is.</w:t>
      </w:r>
      <w:r w:rsidRPr="002742B6">
        <w:t xml:space="preserve"> </w:t>
      </w:r>
    </w:p>
    <w:p w:rsidR="0030615B" w:rsidP="0030615B" w:rsidRDefault="0030615B" w14:paraId="36FF9C20" w14:textId="77777777"/>
    <w:p w:rsidR="0030615B" w:rsidP="0030615B" w:rsidRDefault="0030615B" w14:paraId="07154E78" w14:textId="77777777">
      <w:r w:rsidRPr="0031251D">
        <w:t> </w:t>
      </w:r>
      <w:r w:rsidRPr="0031251D">
        <w:t> </w:t>
      </w:r>
      <w:r w:rsidRPr="0031251D">
        <w:t> </w:t>
      </w:r>
      <w:r w:rsidRPr="0031251D">
        <w:t> </w:t>
      </w:r>
      <w:r w:rsidRPr="0031251D">
        <w:t> </w:t>
      </w:r>
      <w:r w:rsidRPr="0031251D">
        <w:t> </w:t>
      </w:r>
      <w:r w:rsidRPr="0031251D">
        <w:t>6.</w:t>
      </w:r>
      <w:r w:rsidRPr="0031251D">
        <w:t> </w:t>
      </w:r>
      <w:r w:rsidRPr="0031251D">
        <w:t> </w:t>
      </w:r>
      <w:r w:rsidRPr="0031251D">
        <w:t> </w:t>
      </w:r>
      <w:r w:rsidRPr="0031251D">
        <w:t> </w:t>
      </w:r>
      <w:r w:rsidRPr="0031251D">
        <w:t>Hoe beoordeelt u het incident bij Nieuwleusen, waar brokstukken en gesmolten kunststof neerkwamen op landbouwgrond?</w:t>
      </w:r>
      <w:r>
        <w:t xml:space="preserve"> </w:t>
      </w:r>
    </w:p>
    <w:p w:rsidR="0030615B" w:rsidP="0030615B" w:rsidRDefault="0030615B" w14:paraId="57701913" w14:textId="77777777"/>
    <w:p w:rsidR="0030615B" w:rsidP="0030615B" w:rsidRDefault="0030615B" w14:paraId="027ED2AF" w14:textId="77777777">
      <w:r>
        <w:t xml:space="preserve">De brand in de windturbine is een vervelende gebeurtenis, zeker ook voor omwonenden. Het is waardevol als er lessen geleerd kunnen worden van dit voorval, bijvoorbeeld om te gebruiken als casuïstiek bij de rekenmethodiek voor externe veiligheidsafstanden van windturbines. </w:t>
      </w:r>
      <w:r w:rsidRPr="0031251D">
        <w:br/>
      </w:r>
    </w:p>
    <w:p w:rsidR="0030615B" w:rsidP="0030615B" w:rsidRDefault="0030615B" w14:paraId="566542D0" w14:textId="77777777">
      <w:r w:rsidRPr="0031251D">
        <w:t> </w:t>
      </w:r>
      <w:r w:rsidRPr="0031251D">
        <w:t> </w:t>
      </w:r>
      <w:r w:rsidRPr="0031251D">
        <w:t> </w:t>
      </w:r>
      <w:r w:rsidRPr="0031251D">
        <w:t> </w:t>
      </w:r>
      <w:r w:rsidRPr="0031251D">
        <w:t> </w:t>
      </w:r>
      <w:r w:rsidRPr="0031251D">
        <w:t> </w:t>
      </w:r>
      <w:r w:rsidRPr="0031251D">
        <w:t>7.</w:t>
      </w:r>
      <w:r w:rsidRPr="0031251D">
        <w:t> </w:t>
      </w:r>
      <w:r w:rsidRPr="0031251D">
        <w:t> </w:t>
      </w:r>
      <w:r w:rsidRPr="0031251D">
        <w:t> </w:t>
      </w:r>
      <w:r w:rsidRPr="0031251D">
        <w:t> </w:t>
      </w:r>
      <w:r w:rsidRPr="0031251D">
        <w:t>Hoe zijn de opruiming, schadevergoeding en milieuschade bij dergelijke incidenten geregeld?</w:t>
      </w:r>
      <w:r>
        <w:t xml:space="preserve"> </w:t>
      </w:r>
    </w:p>
    <w:p w:rsidR="0030615B" w:rsidP="0030615B" w:rsidRDefault="0030615B" w14:paraId="05C10B19" w14:textId="77777777"/>
    <w:p w:rsidR="0030615B" w:rsidP="0030615B" w:rsidRDefault="0030615B" w14:paraId="59D366EB" w14:textId="77777777">
      <w:r w:rsidRPr="00E6257F">
        <w:t xml:space="preserve">De exploitant van een windturbine is </w:t>
      </w:r>
      <w:r>
        <w:t xml:space="preserve">verantwoordelijk voor het beperken van milieuschade en deze na afloop van een incident te herstellen. </w:t>
      </w:r>
      <w:r w:rsidRPr="00E6257F">
        <w:t xml:space="preserve">Omgevingsdiensten houden toezicht hierop vanuit bestuursrechtelijk perspectief. </w:t>
      </w:r>
      <w:r>
        <w:t xml:space="preserve">De exploitant kan zich voor de schade verzekeren. </w:t>
      </w:r>
      <w:r w:rsidRPr="00E6257F">
        <w:t xml:space="preserve">Grondeigenaren die schade ondervinden kunnen ook civielrechtelijk stappen ondernemen richting de exploitant. </w:t>
      </w:r>
    </w:p>
    <w:p w:rsidRPr="00E6257F" w:rsidR="0030615B" w:rsidP="0030615B" w:rsidRDefault="0030615B" w14:paraId="1E201EFD" w14:textId="77777777"/>
    <w:p w:rsidR="0030615B" w:rsidP="0030615B" w:rsidRDefault="0030615B" w14:paraId="51518CAD" w14:textId="77777777">
      <w:r w:rsidRPr="0031251D">
        <w:t> </w:t>
      </w:r>
      <w:r w:rsidRPr="0031251D">
        <w:t> </w:t>
      </w:r>
      <w:r w:rsidRPr="0031251D">
        <w:t> </w:t>
      </w:r>
      <w:r w:rsidRPr="0031251D">
        <w:t> </w:t>
      </w:r>
      <w:r w:rsidRPr="0031251D">
        <w:t> </w:t>
      </w:r>
      <w:r w:rsidRPr="0031251D">
        <w:t> </w:t>
      </w:r>
      <w:r w:rsidRPr="0031251D">
        <w:t>8.</w:t>
      </w:r>
      <w:r w:rsidRPr="0031251D">
        <w:t> </w:t>
      </w:r>
      <w:r w:rsidRPr="0031251D">
        <w:t> </w:t>
      </w:r>
      <w:r w:rsidRPr="0031251D">
        <w:t> </w:t>
      </w:r>
      <w:r w:rsidRPr="0031251D">
        <w:t> </w:t>
      </w:r>
      <w:r w:rsidRPr="0031251D">
        <w:t>Bent u bereid samen met provincies en gemeenten een landelijke risicoanalyse op te stellen voor windturbines van 130 meter en hoger, inclusief blusbaarheid en impact op de leefomgeving?</w:t>
      </w:r>
      <w:r>
        <w:t xml:space="preserve"> </w:t>
      </w:r>
    </w:p>
    <w:p w:rsidR="0030615B" w:rsidP="0030615B" w:rsidRDefault="0030615B" w14:paraId="408EAE9A" w14:textId="77777777"/>
    <w:p w:rsidR="0030615B" w:rsidP="0030615B" w:rsidRDefault="0030615B" w14:paraId="3CCD170C" w14:textId="77777777">
      <w:r>
        <w:t>De huidige wet- en regelgeving voor het plaatsen van windturbines is uitvoerig, ondervangt de impact op de leefomgeving en bestrijdbaarheid en is gebaseerd op de laatste actuele inzichten rondom veiligheidsaspecten van windturbines</w:t>
      </w:r>
      <w:r>
        <w:rPr>
          <w:rStyle w:val="Voetnootmarkering"/>
        </w:rPr>
        <w:footnoteReference w:id="3"/>
      </w:r>
      <w:r>
        <w:t xml:space="preserve">. Op </w:t>
      </w:r>
      <w:r w:rsidRPr="002742B6">
        <w:t xml:space="preserve">dit </w:t>
      </w:r>
      <w:r w:rsidRPr="002742B6">
        <w:lastRenderedPageBreak/>
        <w:t xml:space="preserve">moment zie ik </w:t>
      </w:r>
      <w:r>
        <w:t xml:space="preserve">daarom </w:t>
      </w:r>
      <w:r w:rsidRPr="002742B6">
        <w:t>geen aanleiding een landelijke risicoanalyse op te stellen voor windturbines van 130 meter en hoger.</w:t>
      </w:r>
    </w:p>
    <w:p w:rsidRPr="00D3180D" w:rsidR="0030615B" w:rsidP="0030615B" w:rsidRDefault="0030615B" w14:paraId="22F9FDAE" w14:textId="77777777"/>
    <w:p w:rsidR="00AD5B84" w:rsidRDefault="00AD5B84" w14:paraId="6B85B946" w14:textId="77777777"/>
    <w:sectPr w:rsidR="00AD5B84" w:rsidSect="0030615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D1C6" w14:textId="77777777" w:rsidR="0030615B" w:rsidRDefault="0030615B" w:rsidP="0030615B">
      <w:pPr>
        <w:spacing w:after="0" w:line="240" w:lineRule="auto"/>
      </w:pPr>
      <w:r>
        <w:separator/>
      </w:r>
    </w:p>
  </w:endnote>
  <w:endnote w:type="continuationSeparator" w:id="0">
    <w:p w14:paraId="20541631" w14:textId="77777777" w:rsidR="0030615B" w:rsidRDefault="0030615B" w:rsidP="0030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F506" w14:textId="77777777" w:rsidR="0030615B" w:rsidRPr="0030615B" w:rsidRDefault="0030615B" w:rsidP="003061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F1DA" w14:textId="77777777" w:rsidR="0030615B" w:rsidRPr="0030615B" w:rsidRDefault="0030615B" w:rsidP="003061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8711" w14:textId="77777777" w:rsidR="0030615B" w:rsidRPr="0030615B" w:rsidRDefault="0030615B" w:rsidP="003061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5F58" w14:textId="77777777" w:rsidR="0030615B" w:rsidRDefault="0030615B" w:rsidP="0030615B">
      <w:pPr>
        <w:spacing w:after="0" w:line="240" w:lineRule="auto"/>
      </w:pPr>
      <w:r>
        <w:separator/>
      </w:r>
    </w:p>
  </w:footnote>
  <w:footnote w:type="continuationSeparator" w:id="0">
    <w:p w14:paraId="4381CBE4" w14:textId="77777777" w:rsidR="0030615B" w:rsidRDefault="0030615B" w:rsidP="0030615B">
      <w:pPr>
        <w:spacing w:after="0" w:line="240" w:lineRule="auto"/>
      </w:pPr>
      <w:r>
        <w:continuationSeparator/>
      </w:r>
    </w:p>
  </w:footnote>
  <w:footnote w:id="1">
    <w:p w14:paraId="5DA809D3" w14:textId="77777777" w:rsidR="0030615B" w:rsidRDefault="0030615B" w:rsidP="0030615B">
      <w:pPr>
        <w:pStyle w:val="Voetnoottekst"/>
      </w:pPr>
      <w:r>
        <w:rPr>
          <w:rStyle w:val="Voetnootmarkering"/>
        </w:rPr>
        <w:footnoteRef/>
      </w:r>
      <w:r>
        <w:t xml:space="preserve">  </w:t>
      </w:r>
      <w:r w:rsidRPr="002742B6">
        <w:t>Onderzoekraad voor de veiligheid (2021). Kwartaalrapportage Luchtvaart – 4</w:t>
      </w:r>
      <w:r w:rsidRPr="002742B6">
        <w:rPr>
          <w:vertAlign w:val="superscript"/>
        </w:rPr>
        <w:t>e</w:t>
      </w:r>
      <w:r w:rsidRPr="002742B6">
        <w:t xml:space="preserve"> kwartaal 2021. </w:t>
      </w:r>
      <w:proofErr w:type="spellStart"/>
      <w:r w:rsidRPr="002742B6">
        <w:t>Airprox</w:t>
      </w:r>
      <w:proofErr w:type="spellEnd"/>
      <w:r w:rsidRPr="002742B6">
        <w:t xml:space="preserve">, Cirrus SR20, N264CD en Saab 91 D, PH-RLB, circa 10 km ten noorden van Medemblik. </w:t>
      </w:r>
      <w:hyperlink r:id="rId1" w:history="1">
        <w:r>
          <w:rPr>
            <w:rStyle w:val="Hyperlink"/>
          </w:rPr>
          <w:t>https://onderzoeksraad.nl/wp-content/uploads/2023/11/kwartaalrapportage_luchtvaart_q4_2021.pdf</w:t>
        </w:r>
      </w:hyperlink>
      <w:r>
        <w:rPr>
          <w:rFonts w:ascii="Verdana" w:hAnsi="Verdana"/>
          <w:sz w:val="18"/>
          <w:szCs w:val="18"/>
        </w:rPr>
        <w:t xml:space="preserve"> </w:t>
      </w:r>
    </w:p>
  </w:footnote>
  <w:footnote w:id="2">
    <w:p w14:paraId="128DC7C2" w14:textId="77777777" w:rsidR="0030615B" w:rsidRDefault="0030615B" w:rsidP="0030615B">
      <w:r>
        <w:rPr>
          <w:rStyle w:val="Voetnootmarkering"/>
        </w:rPr>
        <w:footnoteRef/>
      </w:r>
      <w:r>
        <w:t xml:space="preserve"> Nederlands Instituut Publieke Veiligheid (2025. Kennisbundel Windturbines. </w:t>
      </w:r>
      <w:hyperlink r:id="rId2" w:history="1">
        <w:r>
          <w:rPr>
            <w:rStyle w:val="Hyperlink"/>
          </w:rPr>
          <w:t>https://nipv.nl/wp-content/uploads/2025/02/20250217-NIPV-Kennisbundel-Windturbines.pdf</w:t>
        </w:r>
      </w:hyperlink>
      <w:r>
        <w:t xml:space="preserve">  </w:t>
      </w:r>
    </w:p>
  </w:footnote>
  <w:footnote w:id="3">
    <w:p w14:paraId="64352ABA" w14:textId="77777777" w:rsidR="0030615B" w:rsidRDefault="0030615B" w:rsidP="0030615B">
      <w:pPr>
        <w:pStyle w:val="Voetnoottekst"/>
      </w:pPr>
      <w:r>
        <w:rPr>
          <w:rStyle w:val="Voetnootmarkering"/>
        </w:rPr>
        <w:footnoteRef/>
      </w:r>
      <w:r>
        <w:t xml:space="preserve"> Verwijzing naar NIPV-content windturbines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A099" w14:textId="77777777" w:rsidR="0030615B" w:rsidRPr="0030615B" w:rsidRDefault="0030615B" w:rsidP="003061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8A8B" w14:textId="77777777" w:rsidR="0030615B" w:rsidRPr="0030615B" w:rsidRDefault="0030615B" w:rsidP="003061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C36D" w14:textId="77777777" w:rsidR="0030615B" w:rsidRPr="0030615B" w:rsidRDefault="0030615B" w:rsidP="003061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B"/>
    <w:rsid w:val="0030615B"/>
    <w:rsid w:val="00342D61"/>
    <w:rsid w:val="00AD5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0AAC"/>
  <w15:chartTrackingRefBased/>
  <w15:docId w15:val="{16790224-F733-42B6-B645-C342BFF9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6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61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61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61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61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1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1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1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1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61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61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61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61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61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1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1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15B"/>
    <w:rPr>
      <w:rFonts w:eastAsiaTheme="majorEastAsia" w:cstheme="majorBidi"/>
      <w:color w:val="272727" w:themeColor="text1" w:themeTint="D8"/>
    </w:rPr>
  </w:style>
  <w:style w:type="paragraph" w:styleId="Titel">
    <w:name w:val="Title"/>
    <w:basedOn w:val="Standaard"/>
    <w:next w:val="Standaard"/>
    <w:link w:val="TitelChar"/>
    <w:uiPriority w:val="10"/>
    <w:qFormat/>
    <w:rsid w:val="00306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1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1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1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1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15B"/>
    <w:rPr>
      <w:i/>
      <w:iCs/>
      <w:color w:val="404040" w:themeColor="text1" w:themeTint="BF"/>
    </w:rPr>
  </w:style>
  <w:style w:type="paragraph" w:styleId="Lijstalinea">
    <w:name w:val="List Paragraph"/>
    <w:basedOn w:val="Standaard"/>
    <w:uiPriority w:val="34"/>
    <w:qFormat/>
    <w:rsid w:val="0030615B"/>
    <w:pPr>
      <w:ind w:left="720"/>
      <w:contextualSpacing/>
    </w:pPr>
  </w:style>
  <w:style w:type="character" w:styleId="Intensievebenadrukking">
    <w:name w:val="Intense Emphasis"/>
    <w:basedOn w:val="Standaardalinea-lettertype"/>
    <w:uiPriority w:val="21"/>
    <w:qFormat/>
    <w:rsid w:val="0030615B"/>
    <w:rPr>
      <w:i/>
      <w:iCs/>
      <w:color w:val="2F5496" w:themeColor="accent1" w:themeShade="BF"/>
    </w:rPr>
  </w:style>
  <w:style w:type="paragraph" w:styleId="Duidelijkcitaat">
    <w:name w:val="Intense Quote"/>
    <w:basedOn w:val="Standaard"/>
    <w:next w:val="Standaard"/>
    <w:link w:val="DuidelijkcitaatChar"/>
    <w:uiPriority w:val="30"/>
    <w:qFormat/>
    <w:rsid w:val="00306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615B"/>
    <w:rPr>
      <w:i/>
      <w:iCs/>
      <w:color w:val="2F5496" w:themeColor="accent1" w:themeShade="BF"/>
    </w:rPr>
  </w:style>
  <w:style w:type="character" w:styleId="Intensieveverwijzing">
    <w:name w:val="Intense Reference"/>
    <w:basedOn w:val="Standaardalinea-lettertype"/>
    <w:uiPriority w:val="32"/>
    <w:qFormat/>
    <w:rsid w:val="0030615B"/>
    <w:rPr>
      <w:b/>
      <w:bCs/>
      <w:smallCaps/>
      <w:color w:val="2F5496" w:themeColor="accent1" w:themeShade="BF"/>
      <w:spacing w:val="5"/>
    </w:rPr>
  </w:style>
  <w:style w:type="character" w:styleId="Hyperlink">
    <w:name w:val="Hyperlink"/>
    <w:basedOn w:val="Standaardalinea-lettertype"/>
    <w:uiPriority w:val="99"/>
    <w:unhideWhenUsed/>
    <w:rsid w:val="0030615B"/>
    <w:rPr>
      <w:color w:val="0563C1" w:themeColor="hyperlink"/>
      <w:u w:val="single"/>
    </w:rPr>
  </w:style>
  <w:style w:type="paragraph" w:customStyle="1" w:styleId="WitregelW1bodytekst">
    <w:name w:val="Witregel W1 (bodytekst)"/>
    <w:next w:val="Standaard"/>
    <w:rsid w:val="0030615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061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0615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061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0615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061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615B"/>
    <w:rPr>
      <w:sz w:val="20"/>
      <w:szCs w:val="20"/>
    </w:rPr>
  </w:style>
  <w:style w:type="character" w:styleId="Voetnootmarkering">
    <w:name w:val="footnote reference"/>
    <w:basedOn w:val="Standaardalinea-lettertype"/>
    <w:uiPriority w:val="99"/>
    <w:semiHidden/>
    <w:unhideWhenUsed/>
    <w:rsid w:val="00306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ipv.nl/wp-content/uploads/2025/02/20250217-NIPV-Kennisbundel-Windturbines.pdf" TargetMode="External"/><Relationship Id="rId1" Type="http://schemas.openxmlformats.org/officeDocument/2006/relationships/hyperlink" Target="https://onderzoeksraad.nl/wp-content/uploads/2023/11/kwartaalrapportage_luchtvaart_q4_202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810</ap:Words>
  <ap:Characters>4459</ap:Characters>
  <ap:DocSecurity>0</ap:DocSecurity>
  <ap:Lines>37</ap:Lines>
  <ap:Paragraphs>10</ap:Paragraphs>
  <ap:ScaleCrop>false</ap:ScaleCrop>
  <ap:LinksUpToDate>false</ap:LinksUpToDate>
  <ap:CharactersWithSpaces>5259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2025-12-22T19:00:00.0000000Z</dcterms:created>
  <dcterms:modified xsi:type="dcterms:W3CDTF">2025-12-22T19:01:00.0000000Z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