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51E4" w:rsidP="002B51E4" w:rsidRDefault="002B51E4" w14:paraId="04221E72" w14:textId="24DE3351">
      <w:pPr>
        <w:pStyle w:val="Geenafstand"/>
      </w:pPr>
      <w:r>
        <w:t>AH 796</w:t>
      </w:r>
    </w:p>
    <w:p w:rsidR="002B51E4" w:rsidP="002B51E4" w:rsidRDefault="002B51E4" w14:paraId="3285A582" w14:textId="414A1F9C">
      <w:pPr>
        <w:pStyle w:val="Geenafstand"/>
      </w:pPr>
      <w:r>
        <w:t>2025Z21614</w:t>
      </w:r>
    </w:p>
    <w:p w:rsidR="002B51E4" w:rsidP="002B51E4" w:rsidRDefault="002B51E4" w14:paraId="2C1432DF" w14:textId="77777777">
      <w:pPr>
        <w:pStyle w:val="Geenafstand"/>
      </w:pPr>
    </w:p>
    <w:p w:rsidRPr="00A71055" w:rsidR="002B51E4" w:rsidP="007B1AD8" w:rsidRDefault="002B51E4" w14:paraId="72F66F0E" w14:textId="0511C26B">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6 januari 2026)</w:t>
      </w:r>
    </w:p>
    <w:p w:rsidRPr="007B1B93" w:rsidR="002B51E4" w:rsidP="00427BA1" w:rsidRDefault="002B51E4" w14:paraId="5972BEA5" w14:textId="79C49DC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777</w:t>
      </w:r>
    </w:p>
    <w:p w:rsidRPr="00122E4C" w:rsidR="002B51E4" w:rsidP="002B51E4" w:rsidRDefault="002B51E4" w14:paraId="740C46FE" w14:textId="6AC317BE">
      <w:pPr>
        <w:autoSpaceDE w:val="0"/>
        <w:adjustRightInd w:val="0"/>
        <w:spacing w:line="240" w:lineRule="auto"/>
        <w:rPr>
          <w:rFonts w:eastAsia="DejaVuSerifCondensed" w:cs="DejaVuSerifCondensed"/>
          <w:b/>
          <w:bCs/>
        </w:rPr>
      </w:pPr>
    </w:p>
    <w:p w:rsidRPr="00122E4C" w:rsidR="002B51E4" w:rsidP="002B51E4" w:rsidRDefault="002B51E4" w14:paraId="0FE553DA" w14:textId="77777777"/>
    <w:p w:rsidRPr="00122E4C" w:rsidR="002B51E4" w:rsidP="002B51E4" w:rsidRDefault="002B51E4" w14:paraId="6BCE8D76" w14:textId="77777777">
      <w:pPr>
        <w:pStyle w:val="Lijstalinea"/>
        <w:ind w:left="142"/>
        <w:rPr>
          <w:b/>
          <w:bCs/>
        </w:rPr>
      </w:pPr>
      <w:r>
        <w:rPr>
          <w:b/>
          <w:bCs/>
        </w:rPr>
        <w:t>Vraag 1</w:t>
      </w:r>
      <w:r>
        <w:rPr>
          <w:b/>
          <w:bCs/>
        </w:rPr>
        <w:br/>
      </w:r>
      <w:r w:rsidRPr="00D40F64">
        <w:rPr>
          <w:b/>
          <w:bCs/>
        </w:rPr>
        <w:t>Bent u bekend met het bericht ‘Steeds meer tbs'ers wachten op plek in kliniek en krijgen schadevergoeding’ van de NOS van 6 december 2025?</w:t>
      </w:r>
      <w:r>
        <w:rPr>
          <w:rStyle w:val="Voetnootmarkering"/>
          <w:b/>
          <w:bCs/>
        </w:rPr>
        <w:footnoteReference w:id="1"/>
      </w:r>
    </w:p>
    <w:p w:rsidRPr="00122E4C" w:rsidR="002B51E4" w:rsidP="002B51E4" w:rsidRDefault="002B51E4" w14:paraId="6E15DBB4" w14:textId="77777777">
      <w:pPr>
        <w:ind w:left="142"/>
      </w:pPr>
      <w:r w:rsidRPr="007B44BE">
        <w:rPr>
          <w:b/>
          <w:bCs/>
        </w:rPr>
        <w:t>Antwoord op vraag 1</w:t>
      </w:r>
      <w:r>
        <w:br/>
      </w:r>
      <w:r w:rsidRPr="00122E4C">
        <w:t>Ja.</w:t>
      </w:r>
    </w:p>
    <w:p w:rsidRPr="00122E4C" w:rsidR="002B51E4" w:rsidP="002B51E4" w:rsidRDefault="002B51E4" w14:paraId="579A81B3" w14:textId="77777777">
      <w:pPr>
        <w:ind w:left="142"/>
      </w:pPr>
    </w:p>
    <w:p w:rsidR="002B51E4" w:rsidP="002B51E4" w:rsidRDefault="002B51E4" w14:paraId="5D6E8CDD" w14:textId="77777777">
      <w:pPr>
        <w:pStyle w:val="Lijstalinea"/>
        <w:ind w:left="142"/>
        <w:rPr>
          <w:b/>
          <w:bCs/>
        </w:rPr>
      </w:pPr>
      <w:r>
        <w:rPr>
          <w:b/>
          <w:bCs/>
        </w:rPr>
        <w:t xml:space="preserve">Vraag 2 </w:t>
      </w:r>
      <w:r>
        <w:rPr>
          <w:b/>
          <w:bCs/>
        </w:rPr>
        <w:br/>
      </w:r>
      <w:r w:rsidRPr="00D40F64">
        <w:rPr>
          <w:b/>
          <w:bCs/>
        </w:rPr>
        <w:t>Hoe lang blijft u nog vasthouden aan het falende tbs-stelsel dat inmiddels structureel vastgelopen is, terwijl de samenleving wél opdraait voor de fors oplopende kosten, wachttijden, capaciteitstekorten en bureaucratische chaos? Erkent u dat dit stelsel niet meer te verdedigen is en dat we het gewoon moeten afschaffen?</w:t>
      </w:r>
    </w:p>
    <w:p w:rsidR="002B51E4" w:rsidP="002B51E4" w:rsidRDefault="002B51E4" w14:paraId="751ED625" w14:textId="77777777">
      <w:pPr>
        <w:pStyle w:val="Lijstalinea"/>
        <w:ind w:left="142"/>
        <w:rPr>
          <w:b/>
          <w:bCs/>
        </w:rPr>
      </w:pPr>
    </w:p>
    <w:p w:rsidRPr="007B44BE" w:rsidR="002B51E4" w:rsidP="002B51E4" w:rsidRDefault="002B51E4" w14:paraId="3B0A3DCE" w14:textId="77777777">
      <w:pPr>
        <w:pStyle w:val="Lijstalinea"/>
        <w:ind w:left="142"/>
        <w:rPr>
          <w:b/>
          <w:bCs/>
        </w:rPr>
      </w:pPr>
      <w:r>
        <w:rPr>
          <w:b/>
          <w:bCs/>
        </w:rPr>
        <w:t>Antwoord op vraag 2</w:t>
      </w:r>
    </w:p>
    <w:p w:rsidRPr="007B44BE" w:rsidR="002B51E4" w:rsidP="002B51E4" w:rsidRDefault="002B51E4" w14:paraId="12F1E520" w14:textId="77777777">
      <w:pPr>
        <w:pStyle w:val="Lijstalinea"/>
        <w:ind w:left="142"/>
      </w:pPr>
      <w:r w:rsidRPr="007B44BE">
        <w:t>Nee, deze mening deel ik niet. Het behandelen van ter beschikking gestelden in een hoog beveiligde kliniek draagt bij aan een veilige samenleving. Na een tbs-behandeling ligt de zeer ernstige recidive laag, op 3% na twee jaar en op 9% na tien jaar (tbs-gestelden uitgestroomd met voorwaardelijke beëindiging tussen 2008 en 2021).</w:t>
      </w:r>
      <w:r w:rsidRPr="007B44BE">
        <w:rPr>
          <w:rStyle w:val="Voetnootmarkering"/>
        </w:rPr>
        <w:footnoteReference w:id="2"/>
      </w:r>
      <w:r w:rsidRPr="007B44BE">
        <w:t xml:space="preserve"> Het Wetenschappelijk Onderzoek- en Datacentrum (WODC) heeft dit onderzocht. Het afschaffen van tbs zou leiden tot meer recidive omdat deze groep justitiabelen dan onbehandeld vrij komt na een gevangenisstraf, met mogelijk nieuwe strafbare feiten met nieuwe slachtoffers tot gevolg. Kortom, ik sta achter het tbs-stelsel en wil het juist versterken zodat het ook op de lange termijn goed blijft functioneren (zie mijn antwoord op vraag 6).</w:t>
      </w:r>
    </w:p>
    <w:p w:rsidRPr="007B44BE" w:rsidR="002B51E4" w:rsidP="002B51E4" w:rsidRDefault="002B51E4" w14:paraId="64EFB592" w14:textId="77777777">
      <w:pPr>
        <w:pStyle w:val="Lijstalinea"/>
        <w:ind w:left="142"/>
        <w:rPr>
          <w:b/>
          <w:bCs/>
        </w:rPr>
      </w:pPr>
    </w:p>
    <w:p w:rsidR="002B51E4" w:rsidP="002B51E4" w:rsidRDefault="002B51E4" w14:paraId="5B157DAD" w14:textId="77777777">
      <w:pPr>
        <w:pStyle w:val="Lijstalinea"/>
        <w:ind w:left="142"/>
        <w:rPr>
          <w:b/>
          <w:bCs/>
        </w:rPr>
      </w:pPr>
      <w:r>
        <w:rPr>
          <w:b/>
          <w:bCs/>
        </w:rPr>
        <w:lastRenderedPageBreak/>
        <w:t>Vraag 3</w:t>
      </w:r>
      <w:r>
        <w:rPr>
          <w:b/>
          <w:bCs/>
        </w:rPr>
        <w:br/>
      </w:r>
      <w:r w:rsidRPr="007B44BE">
        <w:rPr>
          <w:b/>
          <w:bCs/>
        </w:rPr>
        <w:t>Bent u bereid te onderzoeken op welke wijze de huidige krankzinnige schadevergoedingen aan tbs-veroordeelden, die bij het grote publiek volstrekt onbegrijpelijk zijn, in zijn geheel kunnen worden afgeschaft?</w:t>
      </w:r>
    </w:p>
    <w:p w:rsidRPr="007B44BE" w:rsidR="002B51E4" w:rsidP="002B51E4" w:rsidRDefault="002B51E4" w14:paraId="6283354E" w14:textId="77777777">
      <w:pPr>
        <w:pStyle w:val="Lijstalinea"/>
        <w:ind w:left="142"/>
        <w:rPr>
          <w:b/>
          <w:bCs/>
        </w:rPr>
      </w:pPr>
    </w:p>
    <w:p w:rsidRPr="007B44BE" w:rsidR="002B51E4" w:rsidP="002B51E4" w:rsidRDefault="002B51E4" w14:paraId="5EA0DAE9" w14:textId="77777777">
      <w:pPr>
        <w:pStyle w:val="Lijstalinea"/>
        <w:ind w:left="142"/>
        <w:rPr>
          <w:b/>
          <w:bCs/>
        </w:rPr>
      </w:pPr>
      <w:r>
        <w:rPr>
          <w:b/>
          <w:bCs/>
        </w:rPr>
        <w:t xml:space="preserve">Antwoord op vraag 3 </w:t>
      </w:r>
    </w:p>
    <w:p w:rsidRPr="007B44BE" w:rsidR="002B51E4" w:rsidP="002B51E4" w:rsidRDefault="002B51E4" w14:paraId="5BFAF3DC" w14:textId="77777777">
      <w:pPr>
        <w:pStyle w:val="Lijstalinea"/>
        <w:ind w:left="142"/>
      </w:pPr>
      <w:r w:rsidRPr="007B44BE">
        <w:t>Nee. Het betalen van een passantenvergoeding is verplicht volgens jurisprudentie van de Hoge Raad en van het Europese Hof van de Rechten van de Mens. Het Europese Hof stelt dat de wachttijd voor plaatsing in een tbs-kliniek niet te lang mag zijn, omdat het een serieuze uitholling zou zijn van het recht op vrijheid (artikel 5, eerste lid van het Europees Verdrag voor de Rechten van de Mens). Op basis van deze uitspraak heeft de Hoge Raad geoordeeld dat het verblijf in een gevangenis langer dan vier maanden in afwachting van plaatsing in een tbs-kliniek, onrechtmatig is. De norm van vier maanden is daarna bij wet bepaald in artikel 6.3. Wet Forensische Zorg. Indien plaatsing binnen vier maanden niet lukt, kan de tbs-gestelde aanspraak maken op een passantenvergoeding. De Raad voor Strafrechtstoepassing en Jeugdbescherming stelt de hoogte van de vergoeding vast.</w:t>
      </w:r>
      <w:r w:rsidRPr="007B44BE">
        <w:rPr>
          <w:rStyle w:val="Voetnootmarkering"/>
        </w:rPr>
        <w:footnoteReference w:id="3"/>
      </w:r>
      <w:r w:rsidRPr="007B44BE">
        <w:t xml:space="preserve"> </w:t>
      </w:r>
    </w:p>
    <w:p w:rsidR="002B51E4" w:rsidP="002B51E4" w:rsidRDefault="002B51E4" w14:paraId="456A293F" w14:textId="77777777">
      <w:pPr>
        <w:pStyle w:val="Lijstalinea"/>
        <w:ind w:left="142"/>
        <w:rPr>
          <w:b/>
          <w:bCs/>
        </w:rPr>
      </w:pPr>
    </w:p>
    <w:p w:rsidR="002B51E4" w:rsidP="002B51E4" w:rsidRDefault="002B51E4" w14:paraId="14BD2610" w14:textId="77777777">
      <w:pPr>
        <w:pStyle w:val="Lijstalinea"/>
        <w:ind w:left="142"/>
        <w:rPr>
          <w:b/>
          <w:bCs/>
        </w:rPr>
      </w:pPr>
      <w:r>
        <w:rPr>
          <w:b/>
          <w:bCs/>
        </w:rPr>
        <w:t xml:space="preserve">Vraag 4 </w:t>
      </w:r>
      <w:r>
        <w:rPr>
          <w:b/>
          <w:bCs/>
        </w:rPr>
        <w:br/>
      </w:r>
      <w:r w:rsidRPr="007B44BE">
        <w:rPr>
          <w:b/>
          <w:bCs/>
        </w:rPr>
        <w:t>Deelt u de mening dat het tijd wordt te erkennen dat het onhoudbaar is dat daders zich kunnen onttrekken aan een gewone gevangenisstraf door een beroep op ontoerekeningsvatbaarheid en dat het hoog tijd is om deze schulduitsluitingsgrond af te schaffen zodat ook deze daders simpelweg worden gestraft in plaats van te worden beloond met een tbs-maatregel?</w:t>
      </w:r>
      <w:r w:rsidRPr="007B44BE">
        <w:br/>
      </w:r>
    </w:p>
    <w:p w:rsidRPr="007B44BE" w:rsidR="002B51E4" w:rsidP="002B51E4" w:rsidRDefault="002B51E4" w14:paraId="3769F4ED" w14:textId="77777777">
      <w:pPr>
        <w:pStyle w:val="Lijstalinea"/>
        <w:ind w:left="142"/>
      </w:pPr>
      <w:r>
        <w:rPr>
          <w:b/>
          <w:bCs/>
        </w:rPr>
        <w:t>A</w:t>
      </w:r>
      <w:r w:rsidRPr="007B44BE">
        <w:rPr>
          <w:b/>
          <w:bCs/>
        </w:rPr>
        <w:t>ntwoord op vraag 4</w:t>
      </w:r>
      <w:r>
        <w:t xml:space="preserve"> </w:t>
      </w:r>
      <w:r w:rsidRPr="007B44BE">
        <w:t> </w:t>
      </w:r>
      <w:r w:rsidRPr="007B44BE">
        <w:br/>
        <w:t xml:space="preserve">Nee, deze mening deel ik niet. De tbs-maatregel is een combinatie van straf en zorg voor daders met complexe problematiek, die door de rechter geheel of gedeeltelijk ontoerekeningsvatbaar worden verklaard. Met de tbs-maatregel onttrekken daders zich niet aan een gewone gevangenisstraf, maar kunnen zij intensief voor hun stoornis worden behandeld. Bovendien hebben rechters de mogelijkheid om een combinatievonnis op te leggen, waarbij een gevangenisstraf en een tbs-maatregel worden gecombineerd.  </w:t>
      </w:r>
    </w:p>
    <w:p w:rsidRPr="007B44BE" w:rsidR="002B51E4" w:rsidP="002B51E4" w:rsidRDefault="002B51E4" w14:paraId="76E5FC04" w14:textId="77777777">
      <w:pPr>
        <w:pStyle w:val="Lijstalinea"/>
        <w:ind w:left="142"/>
      </w:pPr>
    </w:p>
    <w:p w:rsidRPr="007B44BE" w:rsidR="002B51E4" w:rsidP="002B51E4" w:rsidRDefault="002B51E4" w14:paraId="70021013" w14:textId="77777777">
      <w:pPr>
        <w:pStyle w:val="Lijstalinea"/>
        <w:ind w:left="142"/>
        <w:rPr>
          <w:b/>
          <w:bCs/>
        </w:rPr>
      </w:pPr>
      <w:r>
        <w:rPr>
          <w:b/>
          <w:bCs/>
        </w:rPr>
        <w:t>Vraag 5</w:t>
      </w:r>
      <w:r>
        <w:rPr>
          <w:b/>
          <w:bCs/>
        </w:rPr>
        <w:br/>
      </w:r>
      <w:r w:rsidRPr="007B44BE">
        <w:rPr>
          <w:b/>
          <w:bCs/>
        </w:rPr>
        <w:t>Deelt u de mening dat de tbs-maatregel in de praktijk is verworden tot een strategisch instrument van tbs-advocaten, dat wordt ingezet wanneer vrijspraak of ontslag van alle rechtsvervolging niet binnen bereik ligt en dat dit strategisch gebruik ertoe bijdraagt dat rechters de tbs-maatregel steeds vaker opleggen?</w:t>
      </w:r>
    </w:p>
    <w:p w:rsidR="002B51E4" w:rsidP="002B51E4" w:rsidRDefault="002B51E4" w14:paraId="1A2F9507" w14:textId="77777777">
      <w:pPr>
        <w:pStyle w:val="Lijstalinea"/>
        <w:rPr>
          <w:b/>
          <w:bCs/>
        </w:rPr>
      </w:pPr>
    </w:p>
    <w:p w:rsidRPr="007B44BE" w:rsidR="002B51E4" w:rsidP="002B51E4" w:rsidRDefault="002B51E4" w14:paraId="2E74E537" w14:textId="77777777">
      <w:pPr>
        <w:pStyle w:val="Lijstalinea"/>
        <w:ind w:left="142"/>
      </w:pPr>
      <w:r w:rsidRPr="007B44BE">
        <w:rPr>
          <w:b/>
          <w:bCs/>
        </w:rPr>
        <w:t>Antwoord op vraag 5</w:t>
      </w:r>
      <w:r>
        <w:t xml:space="preserve"> </w:t>
      </w:r>
      <w:r>
        <w:br/>
      </w:r>
      <w:r w:rsidRPr="007B44BE">
        <w:t>Nee, deze mening deel ik niet. Ik heb veel vertrouwen in het vermogen van rechters om zich eigenstandig een oordeel te vormen, op basis van objectieve deskundigenadviezen van het Nederlands Instituut voor Forensische Psychiatrie en Psychologie (NIFP) over een mogelijke ernstige stoornis of gebrekkige ontwikkeling bij de verdachte.</w:t>
      </w:r>
      <w:r w:rsidRPr="007B44BE">
        <w:br/>
      </w:r>
    </w:p>
    <w:p w:rsidRPr="007B44BE" w:rsidR="002B51E4" w:rsidP="002B51E4" w:rsidRDefault="002B51E4" w14:paraId="558A473F" w14:textId="77777777">
      <w:pPr>
        <w:pStyle w:val="Lijstalinea"/>
        <w:ind w:left="142"/>
        <w:rPr>
          <w:b/>
          <w:bCs/>
        </w:rPr>
      </w:pPr>
      <w:r>
        <w:rPr>
          <w:b/>
          <w:bCs/>
        </w:rPr>
        <w:t xml:space="preserve">Vraag 6 </w:t>
      </w:r>
      <w:r>
        <w:rPr>
          <w:b/>
          <w:bCs/>
        </w:rPr>
        <w:br/>
      </w:r>
      <w:r w:rsidRPr="007B44BE">
        <w:rPr>
          <w:b/>
          <w:bCs/>
        </w:rPr>
        <w:t>Wat bent u op korte termijn van plan om te voorkomen dat de kosten fors blijven oplopen?</w:t>
      </w:r>
    </w:p>
    <w:p w:rsidR="002B51E4" w:rsidP="002B51E4" w:rsidRDefault="002B51E4" w14:paraId="34DC14AE" w14:textId="77777777">
      <w:pPr>
        <w:ind w:left="142"/>
      </w:pPr>
      <w:r w:rsidRPr="007B44BE">
        <w:rPr>
          <w:b/>
          <w:bCs/>
        </w:rPr>
        <w:t>Antwoord op vraag 6</w:t>
      </w:r>
      <w:r>
        <w:t xml:space="preserve"> </w:t>
      </w:r>
      <w:r>
        <w:br/>
      </w:r>
      <w:r w:rsidRPr="007B44BE">
        <w:t xml:space="preserve">De huidige situatie waarin ruim 260 tbs-gestelden in een gevangenis wachten op een plek in een tbs kliniek en een passantenvergoeding ontvangen is onwenselijk. Het aantal passanten is het afgelopen jaar toegenomen, evenals de wachttijd. Hierdoor is ook de hoogte van de schadevergoedingen gestegen omdat passanten langer moeten wachten op een plek in een tbs kliniek. Voor de veiligheid van de samenleving en een goede behandeling is het van belang dat tbs-gestelden tijdig in een tbs kliniek worden geplaatst. </w:t>
      </w:r>
    </w:p>
    <w:p w:rsidRPr="007B44BE" w:rsidR="002B51E4" w:rsidP="002B51E4" w:rsidRDefault="002B51E4" w14:paraId="7A12140D" w14:textId="77777777">
      <w:pPr>
        <w:ind w:left="142"/>
      </w:pPr>
      <w:r w:rsidRPr="007B44BE">
        <w:t xml:space="preserve">Hiermee worden rechterlijke uitspraken adequaat uitgevoerd, en kunnen tbs-gestelden zo snel mogelijk worden behandeld. </w:t>
      </w:r>
    </w:p>
    <w:p w:rsidR="002B51E4" w:rsidP="002B51E4" w:rsidRDefault="002B51E4" w14:paraId="22982372" w14:textId="77777777">
      <w:pPr>
        <w:ind w:left="142"/>
      </w:pPr>
      <w:r w:rsidRPr="007B44BE">
        <w:t>Om de capaciteitsdruk binnen de tbs het hoofd te bieden, wordt de komende jaren ingezet op uitbreiden van circa 200 extra plekken op het hoogste beveiligingsniveau. Hiervoor zijn de benodigde middelen gereserveerd.</w:t>
      </w:r>
      <w:r w:rsidRPr="007B44BE">
        <w:rPr>
          <w:rStyle w:val="Voetnootmarkering"/>
        </w:rPr>
        <w:footnoteReference w:id="4"/>
      </w:r>
      <w:r w:rsidRPr="007B44BE">
        <w:t xml:space="preserve"> De realisatie van deze uitbreidingen is wel afhankelijk van onder meer vergunningen, maatschappelijk draagvlak, en voldoende personeel. Daarnaast zet ik in op het verbeteren van de doorstroom zodat dat tbs-gestelden niet langer dan nodig op de hoog beveiligde plekken verblijven. Ondanks deze inspanningen zal de capaciteitsdruk in de tbs niet op korte termijn worden opgelost.</w:t>
      </w:r>
      <w:r w:rsidRPr="00C65438">
        <w:t xml:space="preserve"> </w:t>
      </w:r>
    </w:p>
    <w:p w:rsidR="002B51E4" w:rsidP="002B51E4" w:rsidRDefault="002B51E4" w14:paraId="41949578" w14:textId="77777777"/>
    <w:p w:rsidR="002B51E4" w:rsidP="002B51E4" w:rsidRDefault="002B51E4" w14:paraId="7C36FA40" w14:textId="77777777"/>
    <w:p w:rsidR="002C3023" w:rsidRDefault="002C3023" w14:paraId="642B6B66" w14:textId="77777777"/>
    <w:sectPr w:rsidR="002C3023" w:rsidSect="002B51E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6756" w14:textId="77777777" w:rsidR="002B51E4" w:rsidRDefault="002B51E4" w:rsidP="002B51E4">
      <w:pPr>
        <w:spacing w:after="0" w:line="240" w:lineRule="auto"/>
      </w:pPr>
      <w:r>
        <w:separator/>
      </w:r>
    </w:p>
  </w:endnote>
  <w:endnote w:type="continuationSeparator" w:id="0">
    <w:p w14:paraId="28BDA9C7" w14:textId="77777777" w:rsidR="002B51E4" w:rsidRDefault="002B51E4" w:rsidP="002B5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3E02" w14:textId="77777777" w:rsidR="002B51E4" w:rsidRPr="002B51E4" w:rsidRDefault="002B51E4" w:rsidP="002B51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F9C0" w14:textId="77777777" w:rsidR="002B51E4" w:rsidRPr="002B51E4" w:rsidRDefault="002B51E4" w:rsidP="002B51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73FC" w14:textId="77777777" w:rsidR="002B51E4" w:rsidRPr="002B51E4" w:rsidRDefault="002B51E4" w:rsidP="002B51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95768" w14:textId="77777777" w:rsidR="002B51E4" w:rsidRDefault="002B51E4" w:rsidP="002B51E4">
      <w:pPr>
        <w:spacing w:after="0" w:line="240" w:lineRule="auto"/>
      </w:pPr>
      <w:r>
        <w:separator/>
      </w:r>
    </w:p>
  </w:footnote>
  <w:footnote w:type="continuationSeparator" w:id="0">
    <w:p w14:paraId="791AFD03" w14:textId="77777777" w:rsidR="002B51E4" w:rsidRDefault="002B51E4" w:rsidP="002B51E4">
      <w:pPr>
        <w:spacing w:after="0" w:line="240" w:lineRule="auto"/>
      </w:pPr>
      <w:r>
        <w:continuationSeparator/>
      </w:r>
    </w:p>
  </w:footnote>
  <w:footnote w:id="1">
    <w:p w14:paraId="72B6EB17" w14:textId="77777777" w:rsidR="002B51E4" w:rsidRPr="00252E30" w:rsidRDefault="002B51E4" w:rsidP="002B51E4">
      <w:pPr>
        <w:pStyle w:val="Voetnoottekst"/>
        <w:rPr>
          <w:sz w:val="16"/>
          <w:szCs w:val="16"/>
          <w:lang w:val="nl-NL"/>
        </w:rPr>
      </w:pPr>
      <w:r w:rsidRPr="00252E30">
        <w:rPr>
          <w:rStyle w:val="Voetnootmarkering"/>
          <w:sz w:val="16"/>
          <w:szCs w:val="16"/>
        </w:rPr>
        <w:footnoteRef/>
      </w:r>
      <w:r w:rsidRPr="007B44BE">
        <w:rPr>
          <w:sz w:val="16"/>
          <w:szCs w:val="16"/>
          <w:lang w:val="nl-NL"/>
        </w:rPr>
        <w:t xml:space="preserve"> </w:t>
      </w:r>
      <w:r w:rsidRPr="00252E30">
        <w:rPr>
          <w:sz w:val="16"/>
          <w:szCs w:val="16"/>
          <w:lang w:val="nl-NL"/>
        </w:rPr>
        <w:t>NOS, 6 december 2025, Steeds meer tbs'ers wachten op plek in kliniek en krijgen schadevergoeding (https://nos.nl/artikel/2593408-steeds-meer-tbs-ers-wachten-op-plek-in-kliniek-en-krijgen-schadevergoeding).</w:t>
      </w:r>
    </w:p>
  </w:footnote>
  <w:footnote w:id="2">
    <w:p w14:paraId="6E65D827" w14:textId="77777777" w:rsidR="002B51E4" w:rsidRPr="00252E30" w:rsidRDefault="002B51E4" w:rsidP="002B51E4">
      <w:pPr>
        <w:pStyle w:val="Voetnoottekst"/>
        <w:rPr>
          <w:sz w:val="16"/>
          <w:szCs w:val="16"/>
          <w:lang w:val="nl-NL"/>
        </w:rPr>
      </w:pPr>
      <w:r w:rsidRPr="00252E30">
        <w:rPr>
          <w:rStyle w:val="Voetnootmarkering"/>
          <w:sz w:val="16"/>
          <w:szCs w:val="16"/>
        </w:rPr>
        <w:footnoteRef/>
      </w:r>
      <w:r w:rsidRPr="007B44BE">
        <w:rPr>
          <w:sz w:val="16"/>
          <w:szCs w:val="16"/>
          <w:lang w:val="nl-NL"/>
        </w:rPr>
        <w:t xml:space="preserve"> WODC, Cahier 2025-3, M.H. Nagtegaal en T. Varkevisser, </w:t>
      </w:r>
      <w:hyperlink r:id="rId1" w:history="1">
        <w:r w:rsidRPr="00252E30">
          <w:rPr>
            <w:rStyle w:val="Hyperlink"/>
            <w:sz w:val="16"/>
            <w:szCs w:val="16"/>
            <w:lang w:val="nl-NL"/>
          </w:rPr>
          <w:t>Inzicht in toezicht: tbs-gestelden langdurig(er) voorwaardelijk vrij</w:t>
        </w:r>
      </w:hyperlink>
      <w:r w:rsidRPr="007B44BE">
        <w:rPr>
          <w:sz w:val="16"/>
          <w:szCs w:val="16"/>
          <w:lang w:val="nl-NL"/>
        </w:rPr>
        <w:t>, Tabel 5.3</w:t>
      </w:r>
    </w:p>
  </w:footnote>
  <w:footnote w:id="3">
    <w:p w14:paraId="5422383E" w14:textId="77777777" w:rsidR="002B51E4" w:rsidRPr="007B44BE" w:rsidRDefault="002B51E4" w:rsidP="002B51E4">
      <w:pPr>
        <w:pStyle w:val="Voetnoottekst"/>
        <w:rPr>
          <w:sz w:val="16"/>
          <w:szCs w:val="16"/>
          <w:lang w:val="nl-NL"/>
        </w:rPr>
      </w:pPr>
      <w:r w:rsidRPr="00252E30">
        <w:rPr>
          <w:rStyle w:val="Voetnootmarkering"/>
          <w:sz w:val="16"/>
          <w:szCs w:val="16"/>
        </w:rPr>
        <w:footnoteRef/>
      </w:r>
      <w:r w:rsidRPr="007B44BE">
        <w:rPr>
          <w:sz w:val="16"/>
          <w:szCs w:val="16"/>
          <w:lang w:val="nl-NL"/>
        </w:rPr>
        <w:t xml:space="preserve"> Zie </w:t>
      </w:r>
      <w:hyperlink r:id="rId2" w:history="1">
        <w:r w:rsidRPr="007B44BE">
          <w:rPr>
            <w:rStyle w:val="Hyperlink"/>
            <w:sz w:val="16"/>
            <w:szCs w:val="16"/>
            <w:lang w:val="nl-NL"/>
          </w:rPr>
          <w:t>Standaardbedragen tegemoetkoming | Rechtspraakprocedure | Raad voor Strafrechtstoepassing en Jeugdbescherming (rsj.nl)</w:t>
        </w:r>
      </w:hyperlink>
      <w:r w:rsidRPr="007B44BE">
        <w:rPr>
          <w:sz w:val="16"/>
          <w:szCs w:val="16"/>
          <w:lang w:val="nl-NL"/>
        </w:rPr>
        <w:t xml:space="preserve">. </w:t>
      </w:r>
    </w:p>
  </w:footnote>
  <w:footnote w:id="4">
    <w:p w14:paraId="3FD487E7" w14:textId="77777777" w:rsidR="002B51E4" w:rsidRPr="00252E30" w:rsidRDefault="002B51E4" w:rsidP="002B51E4">
      <w:pPr>
        <w:pStyle w:val="Voetnoottekst"/>
        <w:rPr>
          <w:sz w:val="16"/>
          <w:szCs w:val="16"/>
          <w:lang w:val="nl-NL"/>
        </w:rPr>
      </w:pPr>
      <w:r w:rsidRPr="00252E30">
        <w:rPr>
          <w:rStyle w:val="Voetnootmarkering"/>
          <w:sz w:val="16"/>
          <w:szCs w:val="16"/>
        </w:rPr>
        <w:footnoteRef/>
      </w:r>
      <w:r w:rsidRPr="007B44BE">
        <w:rPr>
          <w:sz w:val="16"/>
          <w:szCs w:val="16"/>
          <w:lang w:val="nl-NL"/>
        </w:rPr>
        <w:t xml:space="preserve"> </w:t>
      </w:r>
      <w:r w:rsidRPr="00252E30">
        <w:rPr>
          <w:sz w:val="16"/>
          <w:szCs w:val="16"/>
          <w:lang w:val="nl-NL"/>
        </w:rPr>
        <w:t xml:space="preserve">Zie </w:t>
      </w:r>
      <w:hyperlink r:id="rId3" w:history="1">
        <w:r w:rsidRPr="00252E30">
          <w:rPr>
            <w:rStyle w:val="Hyperlink"/>
            <w:sz w:val="16"/>
            <w:szCs w:val="16"/>
            <w:lang w:val="nl-NL"/>
          </w:rPr>
          <w:t>Voortgangsbrief Forensische zorg | Tweede Kamer der Staten-Generaal</w:t>
        </w:r>
      </w:hyperlink>
      <w:r w:rsidRPr="00252E30">
        <w:rPr>
          <w:sz w:val="16"/>
          <w:szCs w:val="16"/>
          <w:lang w:val="nl-NL"/>
        </w:rPr>
        <w:t xml:space="preserve"> (1 juli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EB74" w14:textId="77777777" w:rsidR="002B51E4" w:rsidRPr="002B51E4" w:rsidRDefault="002B51E4" w:rsidP="002B51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A13A" w14:textId="77777777" w:rsidR="002B51E4" w:rsidRPr="002B51E4" w:rsidRDefault="002B51E4" w:rsidP="002B51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34F9" w14:textId="77777777" w:rsidR="002B51E4" w:rsidRPr="002B51E4" w:rsidRDefault="002B51E4" w:rsidP="002B51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E4"/>
    <w:rsid w:val="002B51E4"/>
    <w:rsid w:val="002C3023"/>
    <w:rsid w:val="008A451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9158"/>
  <w15:chartTrackingRefBased/>
  <w15:docId w15:val="{0DA8A4C5-076D-4216-8984-04644911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5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5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1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1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1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1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1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1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1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1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51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1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1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1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1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1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1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1E4"/>
    <w:rPr>
      <w:rFonts w:eastAsiaTheme="majorEastAsia" w:cstheme="majorBidi"/>
      <w:color w:val="272727" w:themeColor="text1" w:themeTint="D8"/>
    </w:rPr>
  </w:style>
  <w:style w:type="paragraph" w:styleId="Titel">
    <w:name w:val="Title"/>
    <w:basedOn w:val="Standaard"/>
    <w:next w:val="Standaard"/>
    <w:link w:val="TitelChar"/>
    <w:uiPriority w:val="10"/>
    <w:qFormat/>
    <w:rsid w:val="002B5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1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1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1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1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51E4"/>
    <w:rPr>
      <w:i/>
      <w:iCs/>
      <w:color w:val="404040" w:themeColor="text1" w:themeTint="BF"/>
    </w:rPr>
  </w:style>
  <w:style w:type="paragraph" w:styleId="Lijstalinea">
    <w:name w:val="List Paragraph"/>
    <w:basedOn w:val="Standaard"/>
    <w:uiPriority w:val="34"/>
    <w:qFormat/>
    <w:rsid w:val="002B51E4"/>
    <w:pPr>
      <w:ind w:left="720"/>
      <w:contextualSpacing/>
    </w:pPr>
  </w:style>
  <w:style w:type="character" w:styleId="Intensievebenadrukking">
    <w:name w:val="Intense Emphasis"/>
    <w:basedOn w:val="Standaardalinea-lettertype"/>
    <w:uiPriority w:val="21"/>
    <w:qFormat/>
    <w:rsid w:val="002B51E4"/>
    <w:rPr>
      <w:i/>
      <w:iCs/>
      <w:color w:val="0F4761" w:themeColor="accent1" w:themeShade="BF"/>
    </w:rPr>
  </w:style>
  <w:style w:type="paragraph" w:styleId="Duidelijkcitaat">
    <w:name w:val="Intense Quote"/>
    <w:basedOn w:val="Standaard"/>
    <w:next w:val="Standaard"/>
    <w:link w:val="DuidelijkcitaatChar"/>
    <w:uiPriority w:val="30"/>
    <w:qFormat/>
    <w:rsid w:val="002B5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1E4"/>
    <w:rPr>
      <w:i/>
      <w:iCs/>
      <w:color w:val="0F4761" w:themeColor="accent1" w:themeShade="BF"/>
    </w:rPr>
  </w:style>
  <w:style w:type="character" w:styleId="Intensieveverwijzing">
    <w:name w:val="Intense Reference"/>
    <w:basedOn w:val="Standaardalinea-lettertype"/>
    <w:uiPriority w:val="32"/>
    <w:qFormat/>
    <w:rsid w:val="002B51E4"/>
    <w:rPr>
      <w:b/>
      <w:bCs/>
      <w:smallCaps/>
      <w:color w:val="0F4761" w:themeColor="accent1" w:themeShade="BF"/>
      <w:spacing w:val="5"/>
    </w:rPr>
  </w:style>
  <w:style w:type="character" w:styleId="Hyperlink">
    <w:name w:val="Hyperlink"/>
    <w:basedOn w:val="Standaardalinea-lettertype"/>
    <w:uiPriority w:val="99"/>
    <w:unhideWhenUsed/>
    <w:rsid w:val="002B51E4"/>
    <w:rPr>
      <w:color w:val="467886" w:themeColor="hyperlink"/>
      <w:u w:val="single"/>
    </w:rPr>
  </w:style>
  <w:style w:type="paragraph" w:styleId="Voetnoottekst">
    <w:name w:val="footnote text"/>
    <w:basedOn w:val="Standaard"/>
    <w:link w:val="VoetnoottekstChar"/>
    <w:semiHidden/>
    <w:unhideWhenUsed/>
    <w:rsid w:val="002B51E4"/>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semiHidden/>
    <w:rsid w:val="002B51E4"/>
    <w:rPr>
      <w:rFonts w:ascii="Verdana" w:hAnsi="Verdana"/>
      <w:sz w:val="20"/>
      <w:szCs w:val="20"/>
      <w:lang w:val="en-US"/>
    </w:rPr>
  </w:style>
  <w:style w:type="character" w:styleId="Voetnootmarkering">
    <w:name w:val="footnote reference"/>
    <w:basedOn w:val="Standaardalinea-lettertype"/>
    <w:semiHidden/>
    <w:unhideWhenUsed/>
    <w:rsid w:val="002B51E4"/>
    <w:rPr>
      <w:vertAlign w:val="superscript"/>
    </w:rPr>
  </w:style>
  <w:style w:type="paragraph" w:styleId="Koptekst">
    <w:name w:val="header"/>
    <w:basedOn w:val="Standaard"/>
    <w:link w:val="KoptekstChar"/>
    <w:uiPriority w:val="99"/>
    <w:unhideWhenUsed/>
    <w:rsid w:val="002B51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51E4"/>
  </w:style>
  <w:style w:type="paragraph" w:styleId="Voettekst">
    <w:name w:val="footer"/>
    <w:basedOn w:val="Standaard"/>
    <w:link w:val="VoettekstChar"/>
    <w:uiPriority w:val="99"/>
    <w:unhideWhenUsed/>
    <w:rsid w:val="002B51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51E4"/>
  </w:style>
  <w:style w:type="paragraph" w:styleId="Geenafstand">
    <w:name w:val="No Spacing"/>
    <w:uiPriority w:val="1"/>
    <w:qFormat/>
    <w:rsid w:val="002B51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Z13715&amp;did=2025D31066" TargetMode="External"/><Relationship Id="rId2" Type="http://schemas.openxmlformats.org/officeDocument/2006/relationships/hyperlink" Target="https://www.rsj.nl/rechtspraakprocedure/standaardbedragen-tegemoetkoming" TargetMode="External"/><Relationship Id="rId1" Type="http://schemas.openxmlformats.org/officeDocument/2006/relationships/hyperlink" Target="https://repository.wodc.nl/bitstream/handle/20.500.12832/3452/rapport-inzicht-in-toezicht-tbs-gestelden-langdurig%28er%29-voorwaardelijk-vrij.pdf?sequence=1&amp;isAllowed=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845</ap:Words>
  <ap:Characters>4653</ap:Characters>
  <ap:DocSecurity>0</ap:DocSecurity>
  <ap:Lines>38</ap:Lines>
  <ap:Paragraphs>10</ap:Paragraphs>
  <ap:ScaleCrop>false</ap:ScaleCrop>
  <ap:LinksUpToDate>false</ap:LinksUpToDate>
  <ap:CharactersWithSpaces>5488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2026-01-07T07:29:00.0000000Z</dcterms:created>
  <dcterms:modified xsi:type="dcterms:W3CDTF">2026-01-07T07:30:00.0000000Z</dcterms:modified>
  <version/>
  <category/>
</coreProperties>
</file>