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2026Z00058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januari 2026)</w:t>
        <w:br/>
      </w:r>
    </w:p>
    <w:p>
      <w:r>
        <w:t xml:space="preserve">Vragen van het lid Dijk (SP) aan de minister van Economische Zaken over het artikel 'Van ‘arrogant takkewijf’ tot ‘val dood’: Delta-schandaal veel groter, provider start meldpunt'</w:t>
      </w:r>
      <w:r>
        <w:br/>
      </w:r>
    </w:p>
    <w:p>
      <w:pPr>
        <w:pStyle w:val="ListParagraph"/>
        <w:numPr>
          <w:ilvl w:val="0"/>
          <w:numId w:val="100494110"/>
        </w:numPr>
        <w:ind w:left="360"/>
      </w:pPr>
      <w:r>
        <w:t xml:space="preserve">Heeft u kennisgenomen van de berichtgeving over agressieve en mogelijk misleidende verkoopmethoden door medewerkers van DELTA Fiber, waaronder intimidatie, bedreigingen en het onder valse voorwendselen afsluiten van abonnementen? 1)</w:t>
      </w:r>
      <w:r>
        <w:br/>
      </w:r>
    </w:p>
    <w:p>
      <w:pPr>
        <w:pStyle w:val="ListParagraph"/>
        <w:numPr>
          <w:ilvl w:val="0"/>
          <w:numId w:val="100494110"/>
        </w:numPr>
        <w:ind w:left="360"/>
      </w:pPr>
      <w:r>
        <w:t xml:space="preserve">Deelt u de kwalificatie dat hier sprake lijkt van structurele problematiek in plaats van op zichzelf staande incidenten?</w:t>
      </w:r>
      <w:r>
        <w:br/>
      </w:r>
    </w:p>
    <w:p>
      <w:pPr>
        <w:pStyle w:val="ListParagraph"/>
        <w:numPr>
          <w:ilvl w:val="0"/>
          <w:numId w:val="100494110"/>
        </w:numPr>
        <w:ind w:left="360"/>
      </w:pPr>
      <w:r>
        <w:t xml:space="preserve">Welke specifieke normen gelden voor colportage en huis-aan-huisverkoop in de telecomsector (waaronder omgang met nee/nee- en geen-colportage-stickers)? Worden deze normen naar uw oordeel effectief gecontroleerd en gehandhaafd? Zo nee, welke middelen heeft de Autoriteit Consument &amp; Markt (ACM) nodig om dit wel effectief te doen?</w:t>
      </w:r>
      <w:r>
        <w:br/>
      </w:r>
    </w:p>
    <w:p>
      <w:pPr>
        <w:pStyle w:val="ListParagraph"/>
        <w:numPr>
          <w:ilvl w:val="0"/>
          <w:numId w:val="100494110"/>
        </w:numPr>
        <w:ind w:left="360"/>
      </w:pPr>
      <w:r>
        <w:t xml:space="preserve">Wat vindt u ervan dat juist ouderen en andere kwetsbare groepen doelwit lijken te zijn van deze verkooppraktijken? Welke aanvullende beschermingsmaatregelen acht u hier passend?</w:t>
      </w:r>
      <w:r>
        <w:br/>
      </w:r>
    </w:p>
    <w:p>
      <w:pPr>
        <w:pStyle w:val="ListParagraph"/>
        <w:numPr>
          <w:ilvl w:val="0"/>
          <w:numId w:val="100494110"/>
        </w:numPr>
        <w:ind w:left="360"/>
      </w:pPr>
      <w:r>
        <w:t xml:space="preserve">Hoe beoordeelt u de meldingen over ongevraagde graaf- en installatiewerkzaamheden in tuinen en woningen, met schade en kosten voor bewoners tot gevolg? Vindt u dat telecombedrijven voldoende zorgvuldig omgaan met toestemming en herstel?</w:t>
      </w:r>
      <w:r>
        <w:br/>
      </w:r>
    </w:p>
    <w:p>
      <w:pPr>
        <w:pStyle w:val="ListParagraph"/>
        <w:numPr>
          <w:ilvl w:val="0"/>
          <w:numId w:val="100494110"/>
        </w:numPr>
        <w:ind w:left="360"/>
      </w:pPr>
      <w:r>
        <w:t xml:space="preserve">Wat is uw reactie op signalen dat monteurs contante betalingen zonder factuur vragen (“zwart geld”), onder het mom van aanvullende werkzaamheden?</w:t>
      </w:r>
      <w:r>
        <w:br/>
      </w:r>
    </w:p>
    <w:p>
      <w:pPr>
        <w:pStyle w:val="ListParagraph"/>
        <w:numPr>
          <w:ilvl w:val="0"/>
          <w:numId w:val="100494110"/>
        </w:numPr>
        <w:ind w:left="360"/>
      </w:pPr>
      <w:r>
        <w:t xml:space="preserve">Acht u de door Delta geopende meldpuntregeling een toereikende reactie? Hoe wordt voorkomen dat klachten blijven liggen of intern worden weggeboekt zonder daadwerkelijke oplossing?</w:t>
      </w:r>
      <w:r>
        <w:br/>
      </w:r>
    </w:p>
    <w:p>
      <w:pPr>
        <w:pStyle w:val="ListParagraph"/>
        <w:numPr>
          <w:ilvl w:val="0"/>
          <w:numId w:val="100494110"/>
        </w:numPr>
        <w:ind w:left="360"/>
      </w:pPr>
      <w:r>
        <w:t xml:space="preserve">Bent u bereid om een verdiepend onderzoek te doen naar de wervingspraktijken in de glasvezelmarkt, inclusief de rol van ingehuurde verkooporganisaties en onderaannemers?</w:t>
      </w:r>
      <w:r>
        <w:br/>
      </w:r>
    </w:p>
    <w:p>
      <w:pPr>
        <w:pStyle w:val="ListParagraph"/>
        <w:numPr>
          <w:ilvl w:val="0"/>
          <w:numId w:val="100494110"/>
        </w:numPr>
        <w:ind w:left="360"/>
      </w:pPr>
      <w:r>
        <w:t xml:space="preserve">Overweegt u aanscherping van regelgeving, bijvoorbeeld een verbod of zwaardere beperking op huis-aan-huisverkoop in telecom, verplichte </w:t>
      </w:r>
      <w:r>
        <w:rPr>
          <w:i w:val="1"/>
          <w:iCs w:val="1"/>
        </w:rPr>
        <w:t xml:space="preserve">cooling</w:t>
      </w:r>
      <w:r>
        <w:rPr/>
        <w:t xml:space="preserve"> </w:t>
      </w:r>
      <w:r>
        <w:rPr>
          <w:i w:val="1"/>
          <w:iCs w:val="1"/>
        </w:rPr>
        <w:t xml:space="preserve">off</w:t>
      </w:r>
      <w:r>
        <w:rPr/>
        <w:t xml:space="preserve"> (herroepingsrecht) bevestigingen via onafhankelijke kanalen, zwaardere boetes bij misleiding van kwetsbare consumenten, een verplicht klachtenregister dat openbaar wordt gemaakt, etc.?</w:t>
      </w:r>
      <w:r>
        <w:br/>
      </w:r>
    </w:p>
    <w:p>
      <w:pPr>
        <w:pStyle w:val="ListParagraph"/>
        <w:numPr>
          <w:ilvl w:val="0"/>
          <w:numId w:val="100494110"/>
        </w:numPr>
        <w:ind w:left="360"/>
      </w:pPr>
      <w:r>
        <w:t xml:space="preserve">Wat is bekend over deur-aan-deurverkoop in andere sectoren zoals energie, mobiele telefonie en internetdiensten?</w:t>
      </w:r>
      <w:r>
        <w:br/>
      </w:r>
    </w:p>
    <w:p>
      <w:pPr>
        <w:pStyle w:val="ListParagraph"/>
        <w:numPr>
          <w:ilvl w:val="0"/>
          <w:numId w:val="100494110"/>
        </w:numPr>
        <w:ind w:left="360"/>
      </w:pPr>
      <w:r>
        <w:t xml:space="preserve">In welke mate wordt deze deur-aan-deurverkoop in deze sectoren gecontroleerd en gehandhaafd, en door welke toezichthouders?</w:t>
      </w:r>
      <w:r>
        <w:br/>
      </w:r>
    </w:p>
    <w:p>
      <w:pPr>
        <w:pStyle w:val="ListParagraph"/>
        <w:numPr>
          <w:ilvl w:val="0"/>
          <w:numId w:val="100494110"/>
        </w:numPr>
        <w:ind w:left="360"/>
      </w:pPr>
      <w:r>
        <w:t xml:space="preserve">Hoe beoordelen consumenten deze verkooppraktijken, bijvoorbeeld wat betreft transparantie, ervaren druk aan de deur en het risico op misleiding?</w:t>
      </w:r>
      <w:r>
        <w:br/>
      </w:r>
    </w:p>
    <w:p>
      <w:pPr>
        <w:pStyle w:val="ListParagraph"/>
        <w:numPr>
          <w:ilvl w:val="0"/>
          <w:numId w:val="100494110"/>
        </w:numPr>
        <w:ind w:left="360"/>
      </w:pPr>
      <w:r>
        <w:t xml:space="preserve">Ziet u in de gesignaleerde agressieve verkooppraktijken een verband met sterke commerciële prikkels zoals concurrentie op groei, marktaandeel en winst? Zo ja, welke voorstellen heeft u om deze prikkels weg te nemen?</w:t>
      </w:r>
      <w:r>
        <w:br/>
      </w:r>
    </w:p>
    <w:p>
      <w:pPr>
        <w:pStyle w:val="ListParagraph"/>
        <w:numPr>
          <w:ilvl w:val="0"/>
          <w:numId w:val="100494110"/>
        </w:numPr>
        <w:ind w:left="360"/>
      </w:pPr>
      <w:r>
        <w:t xml:space="preserve">Acht u deze dynamiek van commerciële prikkels problematisch voor diensten die feitelijk essentieel zijn voor burgers?</w:t>
      </w:r>
      <w:r>
        <w:br/>
      </w:r>
    </w:p>
    <w:p>
      <w:pPr>
        <w:pStyle w:val="ListParagraph"/>
        <w:numPr>
          <w:ilvl w:val="0"/>
          <w:numId w:val="100494110"/>
        </w:numPr>
        <w:ind w:left="360"/>
      </w:pPr>
      <w:r>
        <w:t xml:space="preserve">In hoeverre acht u het wenselijk om, ter voorkoming van dit soort praktijken en ter verhoging van efficiëntie, deze voorzieningen meer publiek of collectief te organiseren?</w:t>
      </w:r>
      <w:r>
        <w:br/>
      </w:r>
    </w:p>
    <w:p>
      <w:pPr>
        <w:pStyle w:val="ListParagraph"/>
        <w:numPr>
          <w:ilvl w:val="0"/>
          <w:numId w:val="100494110"/>
        </w:numPr>
        <w:ind w:left="360"/>
      </w:pPr>
      <w:r>
        <w:t xml:space="preserve">Bent u bereid scenario’s en beleidsopties voor zulke vormen van publieke of collectieve organisatie te laten uitwerken en naar de Kamer te sturen?</w:t>
      </w:r>
      <w:r>
        <w:br/>
      </w:r>
    </w:p>
    <w:p>
      <w:r>
        <w:t xml:space="preserve"> </w:t>
      </w:r>
      <w:r>
        <w:br/>
      </w:r>
    </w:p>
    <w:p>
      <w:r>
        <w:t xml:space="preserve">1) AD, 10 december 2025, 'Van ‘arrogant takkewijf’ tot ‘val dood’: Delta-schandaal veel groter, provider start meldpunt'  Van ‘arrogant takkewijf’ tot ‘val dood’: Delta-schandaal veel groter, provider start meldpunt | Binnenland | AD.nl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