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903" w:rsidP="00E47903" w:rsidRDefault="00E47903" w14:paraId="06202C00" w14:textId="0B6BB937">
      <w:pPr>
        <w:pStyle w:val="Geenafstand"/>
      </w:pPr>
      <w:r>
        <w:t>AH 819</w:t>
      </w:r>
    </w:p>
    <w:p w:rsidR="00E47903" w:rsidP="00E47903" w:rsidRDefault="00E47903" w14:paraId="167D8797" w14:textId="6C365319">
      <w:pPr>
        <w:pStyle w:val="Geenafstand"/>
      </w:pPr>
      <w:r>
        <w:t>2025Z19428</w:t>
      </w:r>
    </w:p>
    <w:p w:rsidR="00E47903" w:rsidP="00E47903" w:rsidRDefault="00E47903" w14:paraId="02710956" w14:textId="77777777">
      <w:pPr>
        <w:pStyle w:val="Geenafstand"/>
      </w:pPr>
    </w:p>
    <w:p w:rsidRPr="00E47903" w:rsidR="00E47903" w:rsidP="00427BA1" w:rsidRDefault="00E47903" w14:paraId="0340339C" w14:textId="3DAE7933">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Binnenlandse Zaken en Koninkrijksrelaties</w:t>
      </w:r>
      <w:r>
        <w:rPr>
          <w:rFonts w:ascii="Times New Roman" w:hAnsi="Times New Roman"/>
          <w:sz w:val="24"/>
          <w:szCs w:val="24"/>
        </w:rPr>
        <w:t xml:space="preserve"> en de </w:t>
      </w:r>
      <w:r w:rsidRPr="00D31852">
        <w:rPr>
          <w:rFonts w:ascii="Times New Roman" w:hAnsi="Times New Roman"/>
          <w:sz w:val="24"/>
          <w:szCs w:val="24"/>
        </w:rPr>
        <w:t>staatssecretaris van Financiën</w:t>
      </w:r>
      <w:r w:rsidRPr="00EB1060">
        <w:rPr>
          <w:sz w:val="24"/>
          <w:szCs w:val="24"/>
        </w:rPr>
        <w:t xml:space="preserve"> (ontvangen</w:t>
      </w:r>
      <w:r>
        <w:rPr>
          <w:sz w:val="24"/>
          <w:szCs w:val="24"/>
        </w:rPr>
        <w:t xml:space="preserve"> 8 januari 2026)</w:t>
      </w:r>
    </w:p>
    <w:p w:rsidRPr="007B1B93" w:rsidR="00E47903" w:rsidP="00427BA1" w:rsidRDefault="00E47903" w14:paraId="72373C09" w14:textId="79CF702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481</w:t>
      </w:r>
    </w:p>
    <w:p w:rsidR="00E47903" w:rsidP="00E47903" w:rsidRDefault="00E47903" w14:paraId="698F8632" w14:textId="4C0715F6">
      <w:r>
        <w:t xml:space="preserve"> </w:t>
      </w:r>
    </w:p>
    <w:p w:rsidRPr="00EA3900" w:rsidR="00E47903" w:rsidP="00E47903" w:rsidRDefault="00E47903" w14:paraId="1B44A6DD" w14:textId="68FC1376">
      <w:pPr>
        <w:rPr>
          <w:b/>
          <w:bCs/>
        </w:rPr>
      </w:pPr>
      <w:r>
        <w:rPr>
          <w:b/>
          <w:bCs/>
        </w:rPr>
        <w:t>Vraag 1</w:t>
      </w:r>
      <w:r>
        <w:rPr>
          <w:b/>
          <w:bCs/>
        </w:rPr>
        <w:br/>
      </w:r>
      <w:r w:rsidRPr="00EA3900">
        <w:rPr>
          <w:b/>
          <w:bCs/>
        </w:rPr>
        <w:t>Wat is uw reactie op het bericht ‘Geen hulp voor ex-vuurwerkramprechercheur: Kamerleden ontstemd over besluit staatssecretaris’</w:t>
      </w:r>
      <w:r>
        <w:rPr>
          <w:b/>
          <w:bCs/>
        </w:rPr>
        <w:t>? 1)</w:t>
      </w:r>
      <w:r w:rsidRPr="00EA3900">
        <w:rPr>
          <w:b/>
          <w:bCs/>
        </w:rPr>
        <w:t xml:space="preserve"> </w:t>
      </w:r>
    </w:p>
    <w:p w:rsidR="00E47903" w:rsidP="00E47903" w:rsidRDefault="00E47903" w14:paraId="33C2275D" w14:textId="77777777">
      <w:pPr>
        <w:rPr>
          <w:b/>
          <w:bCs/>
        </w:rPr>
      </w:pPr>
    </w:p>
    <w:p w:rsidR="00E47903" w:rsidP="00E47903" w:rsidRDefault="00E47903" w14:paraId="3A6CE261" w14:textId="77777777">
      <w:pPr>
        <w:rPr>
          <w:b/>
          <w:bCs/>
        </w:rPr>
      </w:pPr>
      <w:r>
        <w:rPr>
          <w:b/>
          <w:bCs/>
        </w:rPr>
        <w:t>Antwoord op vraag 1</w:t>
      </w:r>
    </w:p>
    <w:p w:rsidR="00E47903" w:rsidP="00E47903" w:rsidRDefault="00E47903" w14:paraId="7E357F49" w14:textId="77777777">
      <w:r>
        <w:t xml:space="preserve">De staatssecretaris van Financiën – Fiscaliteit, Belastingdienst en Douane (hierna: FBD), de minister van Binnenlandse Zaken en Koninkrijksrelaties (hierna: BZK) en ik begrijpen dat het een vervelende boodschap is dat er geen mogelijkheid bestaat om tegemoet te komen aan het verzoek om af te zien van belastingheffing, zeker gezien de in het bericht beschreven omstandigheden. Uit het bericht valt op te maken dat sprake is van een transitievergoeding (ook wel: ontslagvergoeding) die in een stamrecht is omgezet. Het lijkt de staatssecretaris van FBD, ook gezien de context, goed om op deze plaats de fiscale behandeling te schetsen van een ontslagvergoeding die in een zogeheten stamrecht-bv (besloten vennootschap) is gestort. Als iemand een ontslagvergoeding krijgt, is deze op dat moment en voor het volledige bedrag belast. Degene die uitbetaalt, de inhoudingsplichtige, houdt loonbelasting in op de vergoeding, die vervolgens verrekenbaar is met de inkomstenbelasting over het jaar waarin de vergoeding is ontvangen. Tot 1 januari 2014 kon met gebruikmaking van de stamrechtvrijstelling een ontslagvergoeding in een bv worden gestort zonder belastingheffing op dat moment. De belastingheffing vindt vervolgens plaats op het moment dat er uitkeringen door de stamrecht-bv worden gedaan. Er gelden wel voorwaarden om de belastingheffing te waarborgen. Door van een stamrecht-bv gebruik te maken, kon uitstel en matiging van belastingheffing worden bewerkstelligd. Uitstel tot het moment waarop de uitkeringen worden uitbetaald en matiging doordat niet in een keer een hoog bedrag progressief belast wordt in het jaar van ontvangst, maar de lagere periodieke uitkeringen in de jaren waarin zij ontvangen worden. Op het moment dat dit systeem wordt doorbroken moet echter alsnog worden afgerekend over het stamrecht. Dat kan bijvoorbeeld zijn omdat iemand om welke reden dan ook geld onttrekt aan de stamrecht-bv, bij afkoop van het stamrecht of bij opheffing van de bv voordat </w:t>
      </w:r>
      <w:r>
        <w:lastRenderedPageBreak/>
        <w:t xml:space="preserve">alle uitkeringen zijn gedaan. Zo wordt geborgd dat uiteindelijk over de gehele ontslagvergoeding wordt geheven. Er ontstaat dus bij gebruik van een stamrecht-bv geen afstel van belastingheffing. </w:t>
      </w:r>
    </w:p>
    <w:p w:rsidRPr="00EA3900" w:rsidR="00E47903" w:rsidP="00E47903" w:rsidRDefault="00E47903" w14:paraId="65610628" w14:textId="77777777">
      <w:pPr>
        <w:rPr>
          <w:b/>
          <w:bCs/>
        </w:rPr>
      </w:pPr>
    </w:p>
    <w:p w:rsidRPr="00EA3900" w:rsidR="00E47903" w:rsidP="00E47903" w:rsidRDefault="00E47903" w14:paraId="56362970" w14:textId="77777777">
      <w:pPr>
        <w:rPr>
          <w:b/>
          <w:bCs/>
        </w:rPr>
      </w:pPr>
      <w:r>
        <w:rPr>
          <w:b/>
          <w:bCs/>
        </w:rPr>
        <w:t>Vraag 2</w:t>
      </w:r>
      <w:r>
        <w:rPr>
          <w:b/>
          <w:bCs/>
        </w:rPr>
        <w:br/>
      </w:r>
      <w:r w:rsidRPr="00EA3900">
        <w:rPr>
          <w:b/>
          <w:bCs/>
        </w:rPr>
        <w:t xml:space="preserve">Kunt u toelichten op welke gronden het verzoek om coulance in de zaak van de heer Paalman is afgewezen? </w:t>
      </w:r>
    </w:p>
    <w:p w:rsidRPr="00EA3900" w:rsidR="00E47903" w:rsidP="00E47903" w:rsidRDefault="00E47903" w14:paraId="76E07FA8" w14:textId="77777777">
      <w:pPr>
        <w:rPr>
          <w:b/>
          <w:bCs/>
        </w:rPr>
      </w:pPr>
    </w:p>
    <w:p w:rsidRPr="00EA3900" w:rsidR="00E47903" w:rsidP="00E47903" w:rsidRDefault="00E47903" w14:paraId="1D8E454C" w14:textId="77777777">
      <w:pPr>
        <w:rPr>
          <w:b/>
          <w:bCs/>
        </w:rPr>
      </w:pPr>
      <w:r>
        <w:rPr>
          <w:b/>
          <w:bCs/>
        </w:rPr>
        <w:t>Vraag 3</w:t>
      </w:r>
      <w:r>
        <w:rPr>
          <w:b/>
          <w:bCs/>
        </w:rPr>
        <w:br/>
      </w:r>
      <w:r w:rsidRPr="00EA3900">
        <w:rPr>
          <w:b/>
          <w:bCs/>
        </w:rPr>
        <w:t xml:space="preserve">Is er een intern advies, rapport of toetsingsdocument opgesteld over de redelijkheid en billijkheid van het verzoek? Zo ja, kunt u dit (desnoods vertrouwelijk) met de Kamer delen? </w:t>
      </w:r>
    </w:p>
    <w:p w:rsidRPr="00EA3900" w:rsidR="00E47903" w:rsidP="00E47903" w:rsidRDefault="00E47903" w14:paraId="7605326C" w14:textId="77777777">
      <w:pPr>
        <w:rPr>
          <w:b/>
          <w:bCs/>
        </w:rPr>
      </w:pPr>
    </w:p>
    <w:p w:rsidR="00E47903" w:rsidP="00E47903" w:rsidRDefault="00E47903" w14:paraId="406C53D1" w14:textId="77777777">
      <w:pPr>
        <w:rPr>
          <w:b/>
          <w:bCs/>
        </w:rPr>
      </w:pPr>
      <w:r>
        <w:rPr>
          <w:b/>
          <w:bCs/>
        </w:rPr>
        <w:t>Vraag 4</w:t>
      </w:r>
    </w:p>
    <w:p w:rsidRPr="00EA3900" w:rsidR="00E47903" w:rsidP="00E47903" w:rsidRDefault="00E47903" w14:paraId="16D85910" w14:textId="77777777">
      <w:pPr>
        <w:rPr>
          <w:b/>
          <w:bCs/>
        </w:rPr>
      </w:pPr>
      <w:r w:rsidRPr="00EA3900">
        <w:rPr>
          <w:b/>
          <w:bCs/>
        </w:rPr>
        <w:t xml:space="preserve">Welke beleidsregels of richtlijnen zijn toegepast bij de beoordeling van dit specifieke verzoek? </w:t>
      </w:r>
    </w:p>
    <w:p w:rsidR="00E47903" w:rsidP="00E47903" w:rsidRDefault="00E47903" w14:paraId="04DD7004" w14:textId="77777777">
      <w:pPr>
        <w:rPr>
          <w:b/>
          <w:bCs/>
        </w:rPr>
      </w:pPr>
    </w:p>
    <w:p w:rsidR="00E47903" w:rsidP="00E47903" w:rsidRDefault="00E47903" w14:paraId="3E1EFB95" w14:textId="77777777">
      <w:pPr>
        <w:rPr>
          <w:b/>
          <w:bCs/>
        </w:rPr>
      </w:pPr>
      <w:r>
        <w:rPr>
          <w:b/>
          <w:bCs/>
        </w:rPr>
        <w:t>Antwoord op vraag 2 t/m 4</w:t>
      </w:r>
    </w:p>
    <w:p w:rsidRPr="00CC03A9" w:rsidR="00E47903" w:rsidP="00E47903" w:rsidRDefault="00E47903" w14:paraId="45A64A76" w14:textId="77777777">
      <w:r>
        <w:t xml:space="preserve">Op grond van de wet kan de staatssecretaris van FBD niet ingaan op de individuele situatie van de heer Paalman (geheimhoudingsplicht; art. 67 Algemene wet inzake rijksbelastingen, AWR). </w:t>
      </w:r>
      <w:r w:rsidRPr="00E045CB">
        <w:t>Een intern advies, rapport of toetsingsdocument specifiek voor deze zaak is niet opgesteld.</w:t>
      </w:r>
    </w:p>
    <w:p w:rsidRPr="00EA3900" w:rsidR="00E47903" w:rsidP="00E47903" w:rsidRDefault="00E47903" w14:paraId="178367B6" w14:textId="77777777">
      <w:pPr>
        <w:rPr>
          <w:b/>
          <w:bCs/>
        </w:rPr>
      </w:pPr>
    </w:p>
    <w:p w:rsidR="00E47903" w:rsidP="00E47903" w:rsidRDefault="00E47903" w14:paraId="272E789A" w14:textId="77777777">
      <w:pPr>
        <w:rPr>
          <w:b/>
          <w:bCs/>
        </w:rPr>
      </w:pPr>
      <w:bookmarkStart w:name="_Hlk214953147" w:id="0"/>
      <w:r>
        <w:rPr>
          <w:b/>
          <w:bCs/>
        </w:rPr>
        <w:t>Vraag 5</w:t>
      </w:r>
    </w:p>
    <w:p w:rsidRPr="00EA3900" w:rsidR="00E47903" w:rsidP="00E47903" w:rsidRDefault="00E47903" w14:paraId="3CD56A5C" w14:textId="77777777">
      <w:pPr>
        <w:rPr>
          <w:b/>
          <w:bCs/>
        </w:rPr>
      </w:pPr>
      <w:r w:rsidRPr="00EA3900">
        <w:rPr>
          <w:b/>
          <w:bCs/>
        </w:rPr>
        <w:t xml:space="preserve">In hoeverre is bij de oorspronkelijke regeling rekening gehouden met de status van de heer Paalman als klokkenluider of melder van misstanden binnen het politieonderzoek naar de vuurwerkramp? </w:t>
      </w:r>
    </w:p>
    <w:p w:rsidR="00E47903" w:rsidP="00E47903" w:rsidRDefault="00E47903" w14:paraId="625E3106" w14:textId="77777777">
      <w:pPr>
        <w:rPr>
          <w:b/>
          <w:bCs/>
        </w:rPr>
      </w:pPr>
    </w:p>
    <w:p w:rsidR="00E47903" w:rsidP="00E47903" w:rsidRDefault="00E47903" w14:paraId="528B98B5" w14:textId="77777777">
      <w:pPr>
        <w:rPr>
          <w:b/>
          <w:bCs/>
        </w:rPr>
      </w:pPr>
      <w:r>
        <w:rPr>
          <w:b/>
          <w:bCs/>
        </w:rPr>
        <w:t>Antwoord op vraag 5</w:t>
      </w:r>
    </w:p>
    <w:bookmarkEnd w:id="0"/>
    <w:p w:rsidR="00E47903" w:rsidP="00E47903" w:rsidRDefault="00E47903" w14:paraId="506E3650" w14:textId="77777777">
      <w:r w:rsidRPr="00A31F3C">
        <w:t>Het is niet aan mij als minister van Justitie en Veiligheid om uitspraken te doen over individuele casuïstiek.</w:t>
      </w:r>
    </w:p>
    <w:p w:rsidRPr="00EA3900" w:rsidR="00E47903" w:rsidP="00E47903" w:rsidRDefault="00E47903" w14:paraId="2F267DBF" w14:textId="77777777">
      <w:pPr>
        <w:rPr>
          <w:b/>
          <w:bCs/>
        </w:rPr>
      </w:pPr>
    </w:p>
    <w:p w:rsidR="00E47903" w:rsidP="00E47903" w:rsidRDefault="00E47903" w14:paraId="72B2C454" w14:textId="77777777">
      <w:pPr>
        <w:rPr>
          <w:b/>
          <w:bCs/>
        </w:rPr>
      </w:pPr>
      <w:r>
        <w:rPr>
          <w:b/>
          <w:bCs/>
        </w:rPr>
        <w:t>Vraag 6</w:t>
      </w:r>
    </w:p>
    <w:p w:rsidRPr="00EA3900" w:rsidR="00E47903" w:rsidP="00E47903" w:rsidRDefault="00E47903" w14:paraId="4F22B058" w14:textId="77777777">
      <w:pPr>
        <w:rPr>
          <w:b/>
          <w:bCs/>
        </w:rPr>
      </w:pPr>
      <w:r w:rsidRPr="00EA3900">
        <w:rPr>
          <w:b/>
          <w:bCs/>
        </w:rPr>
        <w:lastRenderedPageBreak/>
        <w:t xml:space="preserve">Erkent u dat er een groot maatschappelijk belang is dat klokkenluiders beschermd worden en geen negatieve gevolgen ondervinden van het onthullen van een maatschappelijke misstand? Hoe kijkt u met die blik naar de zaak van de heer Paalman? </w:t>
      </w:r>
    </w:p>
    <w:p w:rsidR="00E47903" w:rsidP="00E47903" w:rsidRDefault="00E47903" w14:paraId="00D3F41E" w14:textId="77777777">
      <w:pPr>
        <w:rPr>
          <w:b/>
          <w:bCs/>
        </w:rPr>
      </w:pPr>
    </w:p>
    <w:p w:rsidR="00E47903" w:rsidP="00E47903" w:rsidRDefault="00E47903" w14:paraId="5E48D5B3" w14:textId="77777777">
      <w:pPr>
        <w:rPr>
          <w:b/>
          <w:bCs/>
        </w:rPr>
      </w:pPr>
      <w:r>
        <w:rPr>
          <w:b/>
          <w:bCs/>
        </w:rPr>
        <w:t>Antwoord op vraag 6</w:t>
      </w:r>
    </w:p>
    <w:p w:rsidR="00E47903" w:rsidP="00E47903" w:rsidRDefault="00E47903" w14:paraId="2B3B13B7" w14:textId="77777777">
      <w:pPr>
        <w:autoSpaceDE w:val="0"/>
        <w:adjustRightInd w:val="0"/>
        <w:spacing w:line="240" w:lineRule="auto"/>
        <w:rPr>
          <w:rFonts w:eastAsia="DejaVuSerifCondensed" w:cs="DejaVuSerifCondensed"/>
        </w:rPr>
      </w:pPr>
      <w:r>
        <w:rPr>
          <w:rFonts w:eastAsia="DejaVuSerifCondensed" w:cs="DejaVuSerifCondensed"/>
        </w:rPr>
        <w:t xml:space="preserve">Net als de staatssecretaris van FBD en de minister van BZK erken ik het </w:t>
      </w:r>
      <w:r w:rsidRPr="006816A6">
        <w:rPr>
          <w:rFonts w:eastAsia="DejaVuSerifCondensed" w:cs="DejaVuSerifCondensed"/>
        </w:rPr>
        <w:t xml:space="preserve">grote maatschappelijke belang dat gediend is bij de bescherming van klokkenluiders. Klokkenluiders spelen een essentiële rol bij het aan het licht brengen van maatschappelijke misstanden, bijvoorbeeld op het gebied van fraude en corruptie, en </w:t>
      </w:r>
      <w:r>
        <w:rPr>
          <w:rFonts w:eastAsia="DejaVuSerifCondensed" w:cs="DejaVuSerifCondensed"/>
        </w:rPr>
        <w:t xml:space="preserve">zij </w:t>
      </w:r>
      <w:r w:rsidRPr="006816A6">
        <w:rPr>
          <w:rFonts w:eastAsia="DejaVuSerifCondensed" w:cs="DejaVuSerifCondensed"/>
        </w:rPr>
        <w:t>verdienen daarom bescherming.</w:t>
      </w:r>
    </w:p>
    <w:p w:rsidRPr="007F409E" w:rsidR="00E47903" w:rsidP="00E47903" w:rsidRDefault="00E47903" w14:paraId="147010B3" w14:textId="77777777">
      <w:pPr>
        <w:autoSpaceDE w:val="0"/>
        <w:adjustRightInd w:val="0"/>
        <w:spacing w:line="240" w:lineRule="auto"/>
        <w:rPr>
          <w:rFonts w:eastAsia="DejaVuSerifCondensed" w:cs="DejaVuSerifCondensed"/>
          <w:u w:val="single"/>
        </w:rPr>
      </w:pPr>
    </w:p>
    <w:p w:rsidR="00E47903" w:rsidP="00E47903" w:rsidRDefault="00E47903" w14:paraId="2A3D65DD" w14:textId="77777777">
      <w:pPr>
        <w:rPr>
          <w:rFonts w:eastAsia="DejaVuSerifCondensed" w:cs="DejaVuSerifCondensed"/>
        </w:rPr>
      </w:pPr>
      <w:r w:rsidRPr="000F6EA3">
        <w:rPr>
          <w:rFonts w:eastAsia="DejaVuSerifCondensed" w:cs="DejaVuSerifCondensed"/>
        </w:rPr>
        <w:t>Om klokkenluiders beter te beschermen tegen negatieve gevolgen van het doen van een melding geldt in Nederland sinds 2016 regelgeving. Destijds gold de Wet Huis voor klokkenluiders en deze is in 2023 vervangen door de Wet bescherming klokkenluiders, waarmee de positie van klokkenluiders verder is versterkt. Met deze wet is de bewijslast bij benadeling van klokkenluiders verschoven naar de werkgever.</w:t>
      </w:r>
    </w:p>
    <w:p w:rsidRPr="003522D8" w:rsidR="00E47903" w:rsidP="00E47903" w:rsidRDefault="00E47903" w14:paraId="1079AA07" w14:textId="77777777">
      <w:pPr>
        <w:rPr>
          <w:rFonts w:eastAsia="DejaVuSerifCondensed" w:cs="DejaVuSerifCondensed"/>
        </w:rPr>
      </w:pPr>
      <w:r>
        <w:rPr>
          <w:rFonts w:eastAsia="DejaVuSerifCondensed" w:cs="DejaVuSerifCondensed"/>
        </w:rPr>
        <w:t>Met betrekking tot de zaak</w:t>
      </w:r>
      <w:r w:rsidRPr="00E45247">
        <w:rPr>
          <w:rFonts w:eastAsia="DejaVuSerifCondensed" w:cs="DejaVuSerifCondensed"/>
        </w:rPr>
        <w:t xml:space="preserve"> van de heer Paalman past </w:t>
      </w:r>
      <w:r>
        <w:rPr>
          <w:rFonts w:eastAsia="DejaVuSerifCondensed" w:cs="DejaVuSerifCondensed"/>
        </w:rPr>
        <w:t>het mij en mijn collega-bewindspersonen</w:t>
      </w:r>
      <w:r w:rsidRPr="00E45247">
        <w:rPr>
          <w:rFonts w:eastAsia="DejaVuSerifCondensed" w:cs="DejaVuSerifCondensed"/>
        </w:rPr>
        <w:t xml:space="preserve">, gelet op </w:t>
      </w:r>
      <w:r>
        <w:rPr>
          <w:rFonts w:eastAsia="DejaVuSerifCondensed" w:cs="DejaVuSerifCondensed"/>
        </w:rPr>
        <w:t>onze</w:t>
      </w:r>
      <w:r w:rsidRPr="00E45247">
        <w:rPr>
          <w:rFonts w:eastAsia="DejaVuSerifCondensed" w:cs="DejaVuSerifCondensed"/>
        </w:rPr>
        <w:t xml:space="preserve"> </w:t>
      </w:r>
      <w:r>
        <w:rPr>
          <w:rFonts w:eastAsia="DejaVuSerifCondensed" w:cs="DejaVuSerifCondensed"/>
        </w:rPr>
        <w:t xml:space="preserve">respectievelijke </w:t>
      </w:r>
      <w:r w:rsidRPr="00E45247">
        <w:rPr>
          <w:rFonts w:eastAsia="DejaVuSerifCondensed" w:cs="DejaVuSerifCondensed"/>
        </w:rPr>
        <w:t>verantwoordelijkhe</w:t>
      </w:r>
      <w:r>
        <w:rPr>
          <w:rFonts w:eastAsia="DejaVuSerifCondensed" w:cs="DejaVuSerifCondensed"/>
        </w:rPr>
        <w:t>den</w:t>
      </w:r>
      <w:r w:rsidRPr="00E45247">
        <w:rPr>
          <w:rFonts w:eastAsia="DejaVuSerifCondensed" w:cs="DejaVuSerifCondensed"/>
        </w:rPr>
        <w:t xml:space="preserve">, niet om te oordelen over </w:t>
      </w:r>
      <w:r>
        <w:rPr>
          <w:rFonts w:eastAsia="DejaVuSerifCondensed" w:cs="DejaVuSerifCondensed"/>
        </w:rPr>
        <w:t>dit individuele geval</w:t>
      </w:r>
      <w:r w:rsidRPr="00E45247">
        <w:rPr>
          <w:rFonts w:eastAsia="DejaVuSerifCondensed" w:cs="DejaVuSerifCondensed"/>
        </w:rPr>
        <w:t>.</w:t>
      </w:r>
      <w:r>
        <w:rPr>
          <w:rFonts w:eastAsia="DejaVuSerifCondensed" w:cs="DejaVuSerifCondensed"/>
        </w:rPr>
        <w:t xml:space="preserve"> </w:t>
      </w:r>
    </w:p>
    <w:p w:rsidR="00E47903" w:rsidP="00E47903" w:rsidRDefault="00E47903" w14:paraId="267C80BF" w14:textId="77777777">
      <w:pPr>
        <w:rPr>
          <w:b/>
          <w:bCs/>
        </w:rPr>
      </w:pPr>
    </w:p>
    <w:p w:rsidR="00E47903" w:rsidP="00E47903" w:rsidRDefault="00E47903" w14:paraId="1163EDB1" w14:textId="77777777">
      <w:pPr>
        <w:rPr>
          <w:b/>
          <w:bCs/>
        </w:rPr>
      </w:pPr>
      <w:bookmarkStart w:name="_Hlk214953154" w:id="1"/>
      <w:r>
        <w:rPr>
          <w:b/>
          <w:bCs/>
        </w:rPr>
        <w:t>Vraag 7</w:t>
      </w:r>
    </w:p>
    <w:p w:rsidRPr="00EA3900" w:rsidR="00E47903" w:rsidP="00E47903" w:rsidRDefault="00E47903" w14:paraId="41A24BA9" w14:textId="77777777">
      <w:pPr>
        <w:rPr>
          <w:b/>
          <w:bCs/>
        </w:rPr>
      </w:pPr>
      <w:r w:rsidRPr="00EA3900">
        <w:rPr>
          <w:b/>
          <w:bCs/>
        </w:rPr>
        <w:t xml:space="preserve">Zijn er andere gevallen bekend waarin ambtenaren of medewerkers die misstanden aan de kaak stelden een vergelijkbare afkoopregeling troffen? Wat was in die situaties de handelwijze van het ministerie en/of de politieorganisatie? </w:t>
      </w:r>
    </w:p>
    <w:p w:rsidR="00E47903" w:rsidP="00E47903" w:rsidRDefault="00E47903" w14:paraId="4EE4E8E5" w14:textId="77777777">
      <w:pPr>
        <w:rPr>
          <w:b/>
          <w:bCs/>
        </w:rPr>
      </w:pPr>
    </w:p>
    <w:p w:rsidR="00E47903" w:rsidP="00E47903" w:rsidRDefault="00E47903" w14:paraId="3EC7853D" w14:textId="77777777">
      <w:pPr>
        <w:rPr>
          <w:b/>
          <w:bCs/>
        </w:rPr>
      </w:pPr>
      <w:r>
        <w:rPr>
          <w:b/>
          <w:bCs/>
        </w:rPr>
        <w:t>Antwoord op vraag 7</w:t>
      </w:r>
    </w:p>
    <w:p w:rsidR="00E47903" w:rsidP="00E47903" w:rsidRDefault="00E47903" w14:paraId="074F4C28" w14:textId="77777777">
      <w:r>
        <w:t>De minister van BZK</w:t>
      </w:r>
      <w:r w:rsidRPr="00EF519D">
        <w:t xml:space="preserve"> </w:t>
      </w:r>
      <w:r>
        <w:t xml:space="preserve">heeft </w:t>
      </w:r>
      <w:r w:rsidRPr="00EF519D">
        <w:t xml:space="preserve">een coördinerende beleids- en kaderstellende rol als het gaat om de toepassing van de Wet bescherming klokkenluiders. </w:t>
      </w:r>
      <w:r>
        <w:t xml:space="preserve">Vanuit die verantwoordelijkheid kunnen vragen met betrekking tot </w:t>
      </w:r>
      <w:r w:rsidRPr="00EF519D">
        <w:t xml:space="preserve">individuele casuïstiek </w:t>
      </w:r>
      <w:r>
        <w:t>niet</w:t>
      </w:r>
      <w:r w:rsidRPr="00EF519D">
        <w:t xml:space="preserve"> beantwoord</w:t>
      </w:r>
      <w:r>
        <w:t xml:space="preserve"> worden</w:t>
      </w:r>
      <w:r w:rsidRPr="00EF519D">
        <w:t xml:space="preserve">. </w:t>
      </w:r>
    </w:p>
    <w:p w:rsidR="00E47903" w:rsidP="00E47903" w:rsidRDefault="00E47903" w14:paraId="08294997" w14:textId="77777777"/>
    <w:p w:rsidR="00E47903" w:rsidP="00E47903" w:rsidRDefault="00E47903" w14:paraId="32F8DC08" w14:textId="77777777">
      <w:r w:rsidRPr="000F6EA3">
        <w:t xml:space="preserve">Voor een algemeen beeld over meldingen van misstanden in de zin van de Wet bescherming klokkenluiders bij ministeries attendeer ik u graag op de </w:t>
      </w:r>
      <w:r w:rsidRPr="000F6EA3">
        <w:lastRenderedPageBreak/>
        <w:t>jaarrapportage Bedrijfsvoering Rijk (JBR) die door het ministerie van BZK jaarlijks wordt opgesteld</w:t>
      </w:r>
      <w:r>
        <w:rPr>
          <w:rStyle w:val="Voetnootmarkering"/>
        </w:rPr>
        <w:footnoteReference w:id="1"/>
      </w:r>
      <w:r w:rsidRPr="000F6EA3">
        <w:t xml:space="preserve">. In de JBR wordt bijgehouden hoeveel meldingen van misstanden in de zin van de Wet bescherming Klokkenluiders worden gedaan. Er zijn in de periode 2020 tot en met 2024 drie meldingen gedaan bij ministeries waarvan is aangetoond dat sprake was van een misstand in de zin van de </w:t>
      </w:r>
      <w:r w:rsidRPr="00A31F3C">
        <w:t>voornoemde wet.</w:t>
      </w:r>
    </w:p>
    <w:p w:rsidRPr="00A31F3C" w:rsidR="00E47903" w:rsidP="00E47903" w:rsidRDefault="00E47903" w14:paraId="101DDEE6" w14:textId="77777777"/>
    <w:p w:rsidRPr="007F409E" w:rsidR="00E47903" w:rsidP="00E47903" w:rsidRDefault="00E47903" w14:paraId="64FCD5AD" w14:textId="77777777">
      <w:r w:rsidRPr="00A31F3C">
        <w:t>De politie stelt in veel verschillende situaties vaststellingsovereenkomsten op waarin afkoopsommen kunnen worden vastgelegd. (Oud-)medewerkers van de politie kunnen zich hierbij altijd juridisch laten adviseren. Er wordt niet geregistreerd wat de grondslag is voor een afkoopsom, waardoor een vergelijking niet te maken is.</w:t>
      </w:r>
      <w:r>
        <w:t xml:space="preserve"> </w:t>
      </w:r>
    </w:p>
    <w:bookmarkEnd w:id="1"/>
    <w:p w:rsidRPr="00EA3900" w:rsidR="00E47903" w:rsidP="00E47903" w:rsidRDefault="00E47903" w14:paraId="529E298F" w14:textId="77777777">
      <w:pPr>
        <w:rPr>
          <w:b/>
          <w:bCs/>
        </w:rPr>
      </w:pPr>
    </w:p>
    <w:p w:rsidR="00E47903" w:rsidP="00E47903" w:rsidRDefault="00E47903" w14:paraId="18AD3961" w14:textId="77777777">
      <w:pPr>
        <w:rPr>
          <w:b/>
          <w:bCs/>
        </w:rPr>
      </w:pPr>
      <w:bookmarkStart w:name="_Hlk214953212" w:id="2"/>
      <w:r>
        <w:rPr>
          <w:b/>
          <w:bCs/>
        </w:rPr>
        <w:t>Vraag 8</w:t>
      </w:r>
    </w:p>
    <w:p w:rsidRPr="00EA3900" w:rsidR="00E47903" w:rsidP="00E47903" w:rsidRDefault="00E47903" w14:paraId="487EFD54" w14:textId="77777777">
      <w:pPr>
        <w:rPr>
          <w:b/>
          <w:bCs/>
        </w:rPr>
      </w:pPr>
      <w:r w:rsidRPr="00EA3900">
        <w:rPr>
          <w:b/>
          <w:bCs/>
        </w:rPr>
        <w:t>Heeft destijds enige vorm van onafhankelijke toetsing of juridische begeleiding plaatsgevonden bij de totstandkoming van de regeling, gelet op de machtsverhouding tussen overheid en werknemer?</w:t>
      </w:r>
    </w:p>
    <w:p w:rsidR="00E47903" w:rsidP="00E47903" w:rsidRDefault="00E47903" w14:paraId="4AC9571B" w14:textId="77777777">
      <w:pPr>
        <w:rPr>
          <w:b/>
          <w:bCs/>
        </w:rPr>
      </w:pPr>
    </w:p>
    <w:p w:rsidRPr="00A31F3C" w:rsidR="00E47903" w:rsidP="00E47903" w:rsidRDefault="00E47903" w14:paraId="291F8D9D" w14:textId="77777777">
      <w:pPr>
        <w:rPr>
          <w:b/>
          <w:bCs/>
        </w:rPr>
      </w:pPr>
      <w:r w:rsidRPr="00A31F3C">
        <w:rPr>
          <w:b/>
          <w:bCs/>
        </w:rPr>
        <w:t>Antwoord op vraag 8</w:t>
      </w:r>
    </w:p>
    <w:p w:rsidRPr="003C62CE" w:rsidR="00E47903" w:rsidP="00E47903" w:rsidRDefault="00E47903" w14:paraId="3A887B9B" w14:textId="77777777">
      <w:r w:rsidRPr="00A31F3C">
        <w:t>Politiemedewerkers kunnen zich altijd juridisch laten adviseren bij het treffen van dergelijke regelingen, waarbij een vaststellingsovereenkomst wordt opgesteld. Die ruimte is er. Dat kan bijvoorbeeld via de politievakbond. Het is niet aan mij als minister van Justitie en Veiligheid om uitspraken te doen over individuele casuïstiek.</w:t>
      </w:r>
      <w:r>
        <w:t xml:space="preserve"> </w:t>
      </w:r>
    </w:p>
    <w:bookmarkEnd w:id="2"/>
    <w:p w:rsidRPr="00EA3900" w:rsidR="00E47903" w:rsidP="00E47903" w:rsidRDefault="00E47903" w14:paraId="20FAAC4C" w14:textId="77777777">
      <w:pPr>
        <w:rPr>
          <w:b/>
          <w:bCs/>
        </w:rPr>
      </w:pPr>
    </w:p>
    <w:p w:rsidR="00E47903" w:rsidP="00E47903" w:rsidRDefault="00E47903" w14:paraId="4BB0A1EC" w14:textId="77777777">
      <w:pPr>
        <w:rPr>
          <w:b/>
          <w:bCs/>
        </w:rPr>
      </w:pPr>
      <w:r>
        <w:rPr>
          <w:b/>
          <w:bCs/>
        </w:rPr>
        <w:t>Vraag 9</w:t>
      </w:r>
    </w:p>
    <w:p w:rsidRPr="00EA3900" w:rsidR="00E47903" w:rsidP="00E47903" w:rsidRDefault="00E47903" w14:paraId="5240AB0F" w14:textId="77777777">
      <w:pPr>
        <w:rPr>
          <w:b/>
          <w:bCs/>
        </w:rPr>
      </w:pPr>
      <w:r w:rsidRPr="00EA3900">
        <w:rPr>
          <w:b/>
          <w:bCs/>
        </w:rPr>
        <w:t xml:space="preserve">Op welke wettelijke basis is de Belastingdienst gerechtigd om (een deel van) de destijds ontvangen afkoopsom terug te vorderen? </w:t>
      </w:r>
    </w:p>
    <w:p w:rsidRPr="00EA3900" w:rsidR="00E47903" w:rsidP="00E47903" w:rsidRDefault="00E47903" w14:paraId="15EF2D80" w14:textId="77777777">
      <w:pPr>
        <w:rPr>
          <w:b/>
          <w:bCs/>
        </w:rPr>
      </w:pPr>
    </w:p>
    <w:p w:rsidR="00E47903" w:rsidP="00E47903" w:rsidRDefault="00E47903" w14:paraId="13B1532E" w14:textId="77777777">
      <w:pPr>
        <w:rPr>
          <w:b/>
          <w:bCs/>
        </w:rPr>
      </w:pPr>
      <w:r>
        <w:rPr>
          <w:b/>
          <w:bCs/>
        </w:rPr>
        <w:t>Antwoord op vraag 9</w:t>
      </w:r>
    </w:p>
    <w:p w:rsidR="00E47903" w:rsidP="00E47903" w:rsidRDefault="00E47903" w14:paraId="14D0D0B9" w14:textId="77777777">
      <w:r>
        <w:t>Zie het antwoord op vraag 2 t/m 4.</w:t>
      </w:r>
    </w:p>
    <w:p w:rsidR="00E47903" w:rsidP="00E47903" w:rsidRDefault="00E47903" w14:paraId="29E407D9" w14:textId="77777777">
      <w:pPr>
        <w:rPr>
          <w:b/>
          <w:bCs/>
        </w:rPr>
      </w:pPr>
    </w:p>
    <w:p w:rsidR="00E47903" w:rsidP="00E47903" w:rsidRDefault="00E47903" w14:paraId="2C0DE3FA" w14:textId="77777777">
      <w:pPr>
        <w:rPr>
          <w:b/>
          <w:bCs/>
        </w:rPr>
      </w:pPr>
      <w:r>
        <w:rPr>
          <w:b/>
          <w:bCs/>
        </w:rPr>
        <w:lastRenderedPageBreak/>
        <w:t>Vraag 10</w:t>
      </w:r>
    </w:p>
    <w:p w:rsidRPr="00EA3900" w:rsidR="00E47903" w:rsidP="00E47903" w:rsidRDefault="00E47903" w14:paraId="2BEFC6FD" w14:textId="77777777">
      <w:pPr>
        <w:rPr>
          <w:b/>
          <w:bCs/>
        </w:rPr>
      </w:pPr>
      <w:r w:rsidRPr="00EA3900">
        <w:rPr>
          <w:b/>
          <w:bCs/>
        </w:rPr>
        <w:t xml:space="preserve">In welke mate is binnen die regeling rekening gehouden met persoonlijke omstandigheden, zoals financiële draagkracht en gezinssituatie? </w:t>
      </w:r>
    </w:p>
    <w:p w:rsidR="00E47903" w:rsidP="00E47903" w:rsidRDefault="00E47903" w14:paraId="352BA0F6" w14:textId="77777777">
      <w:pPr>
        <w:rPr>
          <w:b/>
          <w:bCs/>
        </w:rPr>
      </w:pPr>
    </w:p>
    <w:p w:rsidR="00E47903" w:rsidP="00E47903" w:rsidRDefault="00E47903" w14:paraId="65CAD987" w14:textId="77777777">
      <w:pPr>
        <w:rPr>
          <w:b/>
          <w:bCs/>
        </w:rPr>
      </w:pPr>
      <w:r>
        <w:rPr>
          <w:b/>
          <w:bCs/>
        </w:rPr>
        <w:t>Antwoord op vraag 10</w:t>
      </w:r>
    </w:p>
    <w:p w:rsidR="00E47903" w:rsidP="00E47903" w:rsidRDefault="00E47903" w14:paraId="3207F9EB" w14:textId="77777777">
      <w:r>
        <w:t>De staatssecretaris van FBD gaat ervan uit dat hier de fiscale regeling is bedoeld waardoor belasting is verschuldigd bij het afrekenen over een stamrecht. Anders dan het bericht suggereert zij vermeld dat de Belastingdienst niets van de afkoopsom/ontslagvergoeding zelf terugvordert. Zoals in het antwoord op vraag 1 is beschreven, vindt belastingheffing plaats over de afkoopsom/ontslagvergoeding plaats op het moment van ontvangst daarvan of, bij inbreng in een stamrecht-bv, op het moment dat de uitkeringen uit het stamrecht vloeien. Net als bij andere fiscale regelgeving geldt dat bij het tot stand brengen ervan alle aspecten worden meegewogen, dus ook de gevolgen voor draagkracht en persoonlijke omstandigheden van de burgers die van de regeling gebruikmaken of erdoor worden geraakt. Zo nodig worden flankerende maatregelen getroffen. Zo is bij de beëindiging van de stamrechtvrijstelling per 1 januari 2014 in uitgebreid overgangsrecht voorzien.</w:t>
      </w:r>
    </w:p>
    <w:p w:rsidR="00E47903" w:rsidP="00E47903" w:rsidRDefault="00E47903" w14:paraId="770B7918" w14:textId="77777777"/>
    <w:p w:rsidR="00E47903" w:rsidP="00E47903" w:rsidRDefault="00E47903" w14:paraId="0E318DED" w14:textId="77777777">
      <w:r>
        <w:t xml:space="preserve">In aansluiting op de antwoorden op de vragen 2, 3, 4 en 9 geldt ook voor deze vraag dat de staatssecretaris van FBD niet in kan gaan op de individuele situatie van de heer Paalman (geheimhoudingsplicht; art. 67 AWR). </w:t>
      </w:r>
    </w:p>
    <w:p w:rsidRPr="00EA3900" w:rsidR="00E47903" w:rsidP="00E47903" w:rsidRDefault="00E47903" w14:paraId="1E1E687C" w14:textId="77777777">
      <w:pPr>
        <w:rPr>
          <w:b/>
          <w:bCs/>
        </w:rPr>
      </w:pPr>
    </w:p>
    <w:p w:rsidR="00E47903" w:rsidP="00E47903" w:rsidRDefault="00E47903" w14:paraId="0F9B170B" w14:textId="77777777">
      <w:pPr>
        <w:rPr>
          <w:b/>
          <w:bCs/>
        </w:rPr>
      </w:pPr>
      <w:r>
        <w:rPr>
          <w:b/>
          <w:bCs/>
        </w:rPr>
        <w:t>Vraag 11</w:t>
      </w:r>
    </w:p>
    <w:p w:rsidRPr="00EA3900" w:rsidR="00E47903" w:rsidP="00E47903" w:rsidRDefault="00E47903" w14:paraId="4BCFCB1A" w14:textId="77777777">
      <w:pPr>
        <w:rPr>
          <w:b/>
          <w:bCs/>
        </w:rPr>
      </w:pPr>
      <w:r w:rsidRPr="00EA3900">
        <w:rPr>
          <w:b/>
          <w:bCs/>
        </w:rPr>
        <w:t xml:space="preserve">Bestaan binnen de huidige wet- en regelgeving mogelijkheden voor kwijtschelding, aanpassing of opschorting van terugvorderingen in schrijnende of uitzonderlijke situaties zoals deze? </w:t>
      </w:r>
    </w:p>
    <w:p w:rsidR="00E47903" w:rsidP="00E47903" w:rsidRDefault="00E47903" w14:paraId="7DAF7092" w14:textId="77777777">
      <w:pPr>
        <w:rPr>
          <w:b/>
          <w:bCs/>
        </w:rPr>
      </w:pPr>
    </w:p>
    <w:p w:rsidR="00E47903" w:rsidP="00E47903" w:rsidRDefault="00E47903" w14:paraId="4E7E7FDC" w14:textId="77777777">
      <w:pPr>
        <w:rPr>
          <w:b/>
          <w:bCs/>
        </w:rPr>
      </w:pPr>
      <w:r>
        <w:rPr>
          <w:b/>
          <w:bCs/>
        </w:rPr>
        <w:t>Antwoord op vraag 11</w:t>
      </w:r>
    </w:p>
    <w:p w:rsidR="00E47903" w:rsidP="00E47903" w:rsidRDefault="00E47903" w14:paraId="65FBE746" w14:textId="77777777">
      <w:r>
        <w:t xml:space="preserve">Ja, er bestaan mogelijkheden om een belastingschuld met een betalingsregeling te voldoen of voor kwijtschelding van een belastingschuld. Als mensen hun belastingschuld niet ineens kunnen betalen, kunnen zij een betalingsregeling bij de ontvanger aanvragen van maximaal twaalf maanden. Deze termijn kan worden verlengd als er volgens de ontvanger bijzondere omstandigheden zijn. Te denken is aan de situatie dat een belastingschuldige onder het bestaansminimum komt, uit huis gezet dreigt te worden of hoge medische kosten heeft. Als uit het verzoek om de betalingsregeling blijkt dat de </w:t>
      </w:r>
      <w:r>
        <w:lastRenderedPageBreak/>
        <w:t>belastingschuldige over onvoldoende betalingscapaciteit beschikt om binnen twaalf maanden zijn schuld te betalen, dan neemt de ontvanger dat verzoek ambtshalve in behandeling als een verzoek om kwijtschelding. Bij de beoordeling daarvan neemt hij de gehele belastingschuld in beschouwing. Of iemand in aanmerking komt voor kwijtschelding, hangt af van iemands persoonlijke situatie. In zijn algemeenheid komt iemand in aanmerking voor kwijtschelding als diegene geen of onvoldoende vermogensbestanddelen heeft om de openstaande belastingschuld te voldoen en geen of onvoldoende betalingscapaciteit om de belastingschuld te voldoen. Ook moet zijn voldaan aan alle andere vereisten. De staatssecretaris van FBD kan ook in antwoord op deze vraag niet ingaan op de individuele situatie van de heer Paalman (geheimhoudingsplicht; art. 67 AWR).</w:t>
      </w:r>
    </w:p>
    <w:p w:rsidRPr="00EA3900" w:rsidR="00E47903" w:rsidP="00E47903" w:rsidRDefault="00E47903" w14:paraId="0BE445CB" w14:textId="77777777">
      <w:pPr>
        <w:rPr>
          <w:b/>
          <w:bCs/>
        </w:rPr>
      </w:pPr>
    </w:p>
    <w:p w:rsidRPr="00EA3900" w:rsidR="00E47903" w:rsidP="00E47903" w:rsidRDefault="00E47903" w14:paraId="4F563CA9" w14:textId="77777777">
      <w:pPr>
        <w:rPr>
          <w:b/>
          <w:bCs/>
        </w:rPr>
      </w:pPr>
      <w:r>
        <w:rPr>
          <w:b/>
          <w:bCs/>
        </w:rPr>
        <w:t>Vraag 12</w:t>
      </w:r>
      <w:r>
        <w:rPr>
          <w:b/>
          <w:bCs/>
        </w:rPr>
        <w:br/>
      </w:r>
      <w:r w:rsidRPr="00EA3900">
        <w:rPr>
          <w:b/>
          <w:bCs/>
        </w:rPr>
        <w:t xml:space="preserve">Onder welke voorwaarden kan in individuele gevallen coulance of maatwerk worden toegepast buiten bestaande standaardregelingen? </w:t>
      </w:r>
    </w:p>
    <w:p w:rsidR="00E47903" w:rsidP="00E47903" w:rsidRDefault="00E47903" w14:paraId="5B04437C" w14:textId="77777777">
      <w:pPr>
        <w:rPr>
          <w:b/>
          <w:bCs/>
        </w:rPr>
      </w:pPr>
    </w:p>
    <w:p w:rsidR="00E47903" w:rsidP="00E47903" w:rsidRDefault="00E47903" w14:paraId="4D9DD83E" w14:textId="77777777">
      <w:pPr>
        <w:rPr>
          <w:b/>
          <w:bCs/>
        </w:rPr>
      </w:pPr>
      <w:r>
        <w:rPr>
          <w:b/>
          <w:bCs/>
        </w:rPr>
        <w:t>Antwoord op vraag 12</w:t>
      </w:r>
    </w:p>
    <w:p w:rsidR="00E47903" w:rsidP="00E47903" w:rsidRDefault="00E47903" w14:paraId="3B7DA774" w14:textId="77777777">
      <w:r>
        <w:t xml:space="preserve">Bij het opleggen en invorderen van aanslagen past de Belastingdienst binnen de grenzen van wet- en regelgeving zo veel mogelijk maatwerk toe, en daarbij hoort ook coulance. Waar dat niet kan, heeft de staatssecretaris van FBD de mogelijkheid om de zogeheten hardheidsclausule toe te passen (art. 63 AWR). </w:t>
      </w:r>
      <w:r w:rsidRPr="004B2D5A">
        <w:t>De hardheidsclausule kan</w:t>
      </w:r>
      <w:r>
        <w:t xml:space="preserve"> evenwel</w:t>
      </w:r>
      <w:r w:rsidRPr="004B2D5A">
        <w:t xml:space="preserve"> alleen worden toegepast </w:t>
      </w:r>
      <w:r>
        <w:t>als sprake is van</w:t>
      </w:r>
      <w:r w:rsidRPr="004B2D5A">
        <w:t xml:space="preserve"> een “onbillijkheid van overwegende aard”. Daarvan is sprake als het gaat om een gevolg dat de wetgever had voorkomen als hij dat bij het maken van de wet had voorzien. </w:t>
      </w:r>
      <w:r>
        <w:t xml:space="preserve">De wet had dan dus anders geluid. De hardheidsclausule wordt in zeer uitzonderlijke gevallen toegepast. Het gaat bij de toepassing van de hardheidsclausule uitdrukkelijk niet om gevallen waarin iemand de belastingheffing persoonlijk als onbillijk ervaart. </w:t>
      </w:r>
    </w:p>
    <w:p w:rsidRPr="00EA3900" w:rsidR="00E47903" w:rsidP="00E47903" w:rsidRDefault="00E47903" w14:paraId="5E8DDA51" w14:textId="77777777">
      <w:pPr>
        <w:rPr>
          <w:b/>
          <w:bCs/>
        </w:rPr>
      </w:pPr>
    </w:p>
    <w:p w:rsidR="00E47903" w:rsidP="00E47903" w:rsidRDefault="00E47903" w14:paraId="02FD32B7" w14:textId="77777777">
      <w:pPr>
        <w:rPr>
          <w:b/>
          <w:bCs/>
        </w:rPr>
      </w:pPr>
      <w:r>
        <w:rPr>
          <w:b/>
          <w:bCs/>
        </w:rPr>
        <w:t>Vraag 13</w:t>
      </w:r>
    </w:p>
    <w:p w:rsidRPr="00EA3900" w:rsidR="00E47903" w:rsidP="00E47903" w:rsidRDefault="00E47903" w14:paraId="468F4F6D" w14:textId="77777777">
      <w:pPr>
        <w:rPr>
          <w:b/>
          <w:bCs/>
        </w:rPr>
      </w:pPr>
      <w:r w:rsidRPr="00EA3900">
        <w:rPr>
          <w:b/>
          <w:bCs/>
        </w:rPr>
        <w:t xml:space="preserve">Bent u bereid de zaak van de heer Paalman opnieuw te bezien met oog voor redelijkheid, billijkheid en de bijzondere context waarin de regeling destijds tot stand kwam? </w:t>
      </w:r>
    </w:p>
    <w:p w:rsidR="00E47903" w:rsidP="00E47903" w:rsidRDefault="00E47903" w14:paraId="02E6E43E" w14:textId="77777777">
      <w:pPr>
        <w:rPr>
          <w:b/>
          <w:bCs/>
        </w:rPr>
      </w:pPr>
    </w:p>
    <w:p w:rsidRPr="00EA3900" w:rsidR="00E47903" w:rsidP="00E47903" w:rsidRDefault="00E47903" w14:paraId="6ECEC842" w14:textId="77777777">
      <w:pPr>
        <w:rPr>
          <w:b/>
          <w:bCs/>
        </w:rPr>
      </w:pPr>
      <w:r>
        <w:rPr>
          <w:b/>
          <w:bCs/>
        </w:rPr>
        <w:t>Antwoord op vraag 13</w:t>
      </w:r>
    </w:p>
    <w:p w:rsidR="00E47903" w:rsidP="00E47903" w:rsidRDefault="00E47903" w14:paraId="0DE56C7D" w14:textId="77777777">
      <w:r w:rsidRPr="00FF02E4">
        <w:lastRenderedPageBreak/>
        <w:t>Bij verzoeken om toepassing van de hardheidsclausule of coulance worden altijd alle feiten en omstandigheden meegewogen en dus ook de eventuele bijzondere context. Het opnieuw bezien zal – hoe vervelend ook voor betrokkene – niet kunnen leiden tot een andere toepassing van de fiscale regelgeving.</w:t>
      </w:r>
    </w:p>
    <w:p w:rsidR="00E47903" w:rsidP="00E47903" w:rsidRDefault="00E47903" w14:paraId="357FC02B" w14:textId="77777777">
      <w:pPr>
        <w:spacing w:line="240" w:lineRule="auto"/>
      </w:pPr>
    </w:p>
    <w:p w:rsidR="00E47903" w:rsidP="00E47903" w:rsidRDefault="00E47903" w14:paraId="00FBF36A" w14:textId="60E45732">
      <w:pPr>
        <w:spacing w:line="240" w:lineRule="auto"/>
        <w:rPr>
          <w:sz w:val="16"/>
          <w:szCs w:val="16"/>
        </w:rPr>
      </w:pPr>
      <w:r w:rsidRPr="00196E15">
        <w:rPr>
          <w:sz w:val="16"/>
          <w:szCs w:val="16"/>
        </w:rPr>
        <w:t xml:space="preserve">1) Twente, 23 oktober 2025, </w:t>
      </w:r>
      <w:hyperlink w:history="1" r:id="rId6">
        <w:r w:rsidRPr="00BD667D">
          <w:rPr>
            <w:rStyle w:val="Hyperlink"/>
            <w:sz w:val="16"/>
            <w:szCs w:val="16"/>
          </w:rPr>
          <w:t>www.1twente.nl/artikel/5834045/staatssecretaris-wijst-verzoek-voor-ex-vuurwerkramprechercheur-af-kamerleden-ontstemd</w:t>
        </w:r>
      </w:hyperlink>
    </w:p>
    <w:p w:rsidRPr="00196E15" w:rsidR="00E47903" w:rsidP="00E47903" w:rsidRDefault="00E47903" w14:paraId="3A8E28BF" w14:textId="77777777">
      <w:pPr>
        <w:spacing w:line="240" w:lineRule="auto"/>
        <w:rPr>
          <w:sz w:val="16"/>
          <w:szCs w:val="16"/>
        </w:rPr>
      </w:pPr>
    </w:p>
    <w:p w:rsidR="00E47903" w:rsidP="00E47903" w:rsidRDefault="00E47903" w14:paraId="5CB5C90D" w14:textId="77777777"/>
    <w:p w:rsidR="00E47903" w:rsidP="00E47903" w:rsidRDefault="00E47903" w14:paraId="44EEE39F" w14:textId="77777777"/>
    <w:p w:rsidR="002C3023" w:rsidRDefault="002C3023" w14:paraId="1B9F1F49" w14:textId="77777777"/>
    <w:sectPr w:rsidR="002C3023" w:rsidSect="00E4790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B77C" w14:textId="77777777" w:rsidR="00E47903" w:rsidRDefault="00E47903" w:rsidP="00E47903">
      <w:pPr>
        <w:spacing w:after="0" w:line="240" w:lineRule="auto"/>
      </w:pPr>
      <w:r>
        <w:separator/>
      </w:r>
    </w:p>
  </w:endnote>
  <w:endnote w:type="continuationSeparator" w:id="0">
    <w:p w14:paraId="291EC4C4" w14:textId="77777777" w:rsidR="00E47903" w:rsidRDefault="00E47903" w:rsidP="00E4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45BA" w14:textId="77777777" w:rsidR="00E47903" w:rsidRPr="00E47903" w:rsidRDefault="00E47903" w:rsidP="00E479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5EA1" w14:textId="77777777" w:rsidR="00E47903" w:rsidRPr="00E47903" w:rsidRDefault="00E47903" w:rsidP="00E479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21EB" w14:textId="77777777" w:rsidR="00E47903" w:rsidRPr="00E47903" w:rsidRDefault="00E47903" w:rsidP="00E479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084E" w14:textId="77777777" w:rsidR="00E47903" w:rsidRDefault="00E47903" w:rsidP="00E47903">
      <w:pPr>
        <w:spacing w:after="0" w:line="240" w:lineRule="auto"/>
      </w:pPr>
      <w:r>
        <w:separator/>
      </w:r>
    </w:p>
  </w:footnote>
  <w:footnote w:type="continuationSeparator" w:id="0">
    <w:p w14:paraId="55123339" w14:textId="77777777" w:rsidR="00E47903" w:rsidRDefault="00E47903" w:rsidP="00E47903">
      <w:pPr>
        <w:spacing w:after="0" w:line="240" w:lineRule="auto"/>
      </w:pPr>
      <w:r>
        <w:continuationSeparator/>
      </w:r>
    </w:p>
  </w:footnote>
  <w:footnote w:id="1">
    <w:p w14:paraId="06F52034" w14:textId="77777777" w:rsidR="00E47903" w:rsidRPr="000F6EA3" w:rsidRDefault="00E47903" w:rsidP="00E47903">
      <w:pPr>
        <w:pStyle w:val="Voetnoottekst"/>
        <w:rPr>
          <w:sz w:val="16"/>
          <w:szCs w:val="16"/>
        </w:rPr>
      </w:pPr>
      <w:r w:rsidRPr="000F6EA3">
        <w:rPr>
          <w:rStyle w:val="Voetnootmarkering"/>
          <w:sz w:val="16"/>
          <w:szCs w:val="16"/>
        </w:rPr>
        <w:footnoteRef/>
      </w:r>
      <w:r w:rsidRPr="000F6EA3">
        <w:rPr>
          <w:sz w:val="16"/>
          <w:szCs w:val="16"/>
        </w:rPr>
        <w:t xml:space="preserve"> Bijlage bij Kamerstukken II 2024/25, 31490, nr. 365, p. 32-33 de ‘Jaarrapportage bedrijfsvoering Rijk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581C" w14:textId="77777777" w:rsidR="00E47903" w:rsidRPr="00E47903" w:rsidRDefault="00E47903" w:rsidP="00E479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66F8" w14:textId="77777777" w:rsidR="00E47903" w:rsidRPr="00E47903" w:rsidRDefault="00E47903" w:rsidP="00E479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CE52" w14:textId="77777777" w:rsidR="00E47903" w:rsidRPr="00E47903" w:rsidRDefault="00E47903" w:rsidP="00E479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03"/>
    <w:rsid w:val="002C3023"/>
    <w:rsid w:val="00385F4C"/>
    <w:rsid w:val="00DF7A30"/>
    <w:rsid w:val="00E47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DB95"/>
  <w15:chartTrackingRefBased/>
  <w15:docId w15:val="{B4DBDB65-FA37-45F8-A4CA-A9366095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7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79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79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79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79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9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9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9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9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79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79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79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79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79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9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9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903"/>
    <w:rPr>
      <w:rFonts w:eastAsiaTheme="majorEastAsia" w:cstheme="majorBidi"/>
      <w:color w:val="272727" w:themeColor="text1" w:themeTint="D8"/>
    </w:rPr>
  </w:style>
  <w:style w:type="paragraph" w:styleId="Titel">
    <w:name w:val="Title"/>
    <w:basedOn w:val="Standaard"/>
    <w:next w:val="Standaard"/>
    <w:link w:val="TitelChar"/>
    <w:uiPriority w:val="10"/>
    <w:qFormat/>
    <w:rsid w:val="00E47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9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9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9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9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903"/>
    <w:rPr>
      <w:i/>
      <w:iCs/>
      <w:color w:val="404040" w:themeColor="text1" w:themeTint="BF"/>
    </w:rPr>
  </w:style>
  <w:style w:type="paragraph" w:styleId="Lijstalinea">
    <w:name w:val="List Paragraph"/>
    <w:basedOn w:val="Standaard"/>
    <w:uiPriority w:val="34"/>
    <w:qFormat/>
    <w:rsid w:val="00E47903"/>
    <w:pPr>
      <w:ind w:left="720"/>
      <w:contextualSpacing/>
    </w:pPr>
  </w:style>
  <w:style w:type="character" w:styleId="Intensievebenadrukking">
    <w:name w:val="Intense Emphasis"/>
    <w:basedOn w:val="Standaardalinea-lettertype"/>
    <w:uiPriority w:val="21"/>
    <w:qFormat/>
    <w:rsid w:val="00E47903"/>
    <w:rPr>
      <w:i/>
      <w:iCs/>
      <w:color w:val="0F4761" w:themeColor="accent1" w:themeShade="BF"/>
    </w:rPr>
  </w:style>
  <w:style w:type="paragraph" w:styleId="Duidelijkcitaat">
    <w:name w:val="Intense Quote"/>
    <w:basedOn w:val="Standaard"/>
    <w:next w:val="Standaard"/>
    <w:link w:val="DuidelijkcitaatChar"/>
    <w:uiPriority w:val="30"/>
    <w:qFormat/>
    <w:rsid w:val="00E47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7903"/>
    <w:rPr>
      <w:i/>
      <w:iCs/>
      <w:color w:val="0F4761" w:themeColor="accent1" w:themeShade="BF"/>
    </w:rPr>
  </w:style>
  <w:style w:type="character" w:styleId="Intensieveverwijzing">
    <w:name w:val="Intense Reference"/>
    <w:basedOn w:val="Standaardalinea-lettertype"/>
    <w:uiPriority w:val="32"/>
    <w:qFormat/>
    <w:rsid w:val="00E4790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479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79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7903"/>
    <w:rPr>
      <w:vertAlign w:val="superscript"/>
    </w:rPr>
  </w:style>
  <w:style w:type="paragraph" w:styleId="Koptekst">
    <w:name w:val="header"/>
    <w:basedOn w:val="Standaard"/>
    <w:link w:val="KoptekstChar"/>
    <w:uiPriority w:val="99"/>
    <w:unhideWhenUsed/>
    <w:rsid w:val="00E479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7903"/>
  </w:style>
  <w:style w:type="paragraph" w:styleId="Voettekst">
    <w:name w:val="footer"/>
    <w:basedOn w:val="Standaard"/>
    <w:link w:val="VoettekstChar"/>
    <w:uiPriority w:val="99"/>
    <w:unhideWhenUsed/>
    <w:rsid w:val="00E479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7903"/>
  </w:style>
  <w:style w:type="paragraph" w:styleId="Geenafstand">
    <w:name w:val="No Spacing"/>
    <w:uiPriority w:val="1"/>
    <w:qFormat/>
    <w:rsid w:val="00E47903"/>
    <w:pPr>
      <w:spacing w:after="0" w:line="240" w:lineRule="auto"/>
    </w:pPr>
  </w:style>
  <w:style w:type="character" w:styleId="Hyperlink">
    <w:name w:val="Hyperlink"/>
    <w:basedOn w:val="Standaardalinea-lettertype"/>
    <w:uiPriority w:val="99"/>
    <w:unhideWhenUsed/>
    <w:rsid w:val="00E47903"/>
    <w:rPr>
      <w:color w:val="467886" w:themeColor="hyperlink"/>
      <w:u w:val="single"/>
    </w:rPr>
  </w:style>
  <w:style w:type="character" w:styleId="Onopgelostemelding">
    <w:name w:val="Unresolved Mention"/>
    <w:basedOn w:val="Standaardalinea-lettertype"/>
    <w:uiPriority w:val="99"/>
    <w:semiHidden/>
    <w:unhideWhenUsed/>
    <w:rsid w:val="00E4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twente.nl/artikel/5834045/staatssecretaris-wijst-verzoek-voor-ex-vuurwerkramprechercheur-af-kamerleden-ontstem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1810</ap:Words>
  <ap:Characters>9955</ap:Characters>
  <ap:DocSecurity>0</ap:DocSecurity>
  <ap:Lines>82</ap:Lines>
  <ap:Paragraphs>23</ap:Paragraphs>
  <ap:ScaleCrop>false</ap:ScaleCrop>
  <ap:LinksUpToDate>false</ap:LinksUpToDate>
  <ap:CharactersWithSpaces>11742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2026-01-09T09:08:00.0000000Z</dcterms:created>
  <dcterms:modified xsi:type="dcterms:W3CDTF">2026-01-09T09:10:00.0000000Z</dcterms:modified>
  <version/>
  <category/>
</coreProperties>
</file>