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2026Z00187</w:t>
        <w:br/>
      </w:r>
      <w:proofErr w:type="spellEnd"/>
    </w:p>
    <w:p>
      <w:pPr>
        <w:pStyle w:val="Normal"/>
        <w:rPr>
          <w:b w:val="1"/>
          <w:bCs w:val="1"/>
        </w:rPr>
      </w:pPr>
      <w:r w:rsidR="250AE766">
        <w:rPr>
          <w:b w:val="0"/>
          <w:bCs w:val="0"/>
        </w:rPr>
        <w:t>(ingezonden 9 januari 2026)</w:t>
        <w:br/>
      </w:r>
    </w:p>
    <w:p>
      <w:r>
        <w:t xml:space="preserve">Vragen van de leden Hoogeveen en Nanninga (beiden JA21) aan de minister van Economische zaken en de staatssecretaris van Financiën over de KamerbriefSide-by-side-pakket wereldwijde minimumbelasting (Pijler 2) van 5 januari 2026 (Kamerstuk 25087, 359).</w:t>
      </w:r>
      <w:r>
        <w:br/>
      </w:r>
    </w:p>
    <w:p>
      <w:r>
        <w:t xml:space="preserve"> </w:t>
      </w:r>
      <w:r>
        <w:br/>
      </w:r>
    </w:p>
    <w:p>
      <w:pPr>
        <w:pStyle w:val="ListParagraph"/>
        <w:numPr>
          <w:ilvl w:val="0"/>
          <w:numId w:val="100494270"/>
        </w:numPr>
        <w:ind w:left="360"/>
      </w:pPr>
      <w:r>
        <w:t xml:space="preserve">Bent u bekend met het artikel 'VS bedingen uitzonderingen op minimumbelasting multinationals'? 1)</w:t>
      </w:r>
      <w:r>
        <w:br/>
      </w:r>
    </w:p>
    <w:p>
      <w:pPr>
        <w:pStyle w:val="ListParagraph"/>
        <w:numPr>
          <w:ilvl w:val="0"/>
          <w:numId w:val="100494270"/>
        </w:numPr>
        <w:ind w:left="360"/>
      </w:pPr>
      <w:r>
        <w:t xml:space="preserve">Kunt u reflecteren op de in het artikel opgenomen stelling dat Amerikaanse multinationals zijn uitgezonderd van de wereldwijde minimumbelasting van 15% waarover in 2021 door ruim 130 landen een akkoord is gesloten, en dat deze uitzonderingspositie de minimumbelasting voor multinationals verwatert?</w:t>
      </w:r>
      <w:r>
        <w:br/>
      </w:r>
    </w:p>
    <w:p>
      <w:pPr>
        <w:pStyle w:val="ListParagraph"/>
        <w:numPr>
          <w:ilvl w:val="0"/>
          <w:numId w:val="100494270"/>
        </w:numPr>
        <w:ind w:left="360"/>
      </w:pPr>
      <w:r>
        <w:t xml:space="preserve">Kunt u reflecteren op de in hetzelfde artikel opgenomen stelling dat onder meer Polen, Tsjechië en Estland aanvankelijk bezwaar hebben gemaakt tegen deze uitzonderingspositie vanwege de vrees voor een verslechtering van de concurrentiepositie van Europese concerns?</w:t>
      </w:r>
      <w:r>
        <w:br/>
      </w:r>
    </w:p>
    <w:p>
      <w:pPr>
        <w:pStyle w:val="ListParagraph"/>
        <w:numPr>
          <w:ilvl w:val="0"/>
          <w:numId w:val="100494270"/>
        </w:numPr>
        <w:ind w:left="360"/>
      </w:pPr>
      <w:r>
        <w:t xml:space="preserve">Kunt u reflecteren op de in het artikel aangehaalde analyse van Van Weeghel dat het hanteren van een samengesteld wereldwijd gemiddeld effectief belastingtarief Amerikaanse ondernemingen een voordeel verschaft ten opzichte van concurrenten uit landen die de OESO-minimumbelasting per jurisdictie toepassen, waaronder de EU-lidstaten, Japan, het Verenigd Koninkrijk en Canada?</w:t>
      </w:r>
      <w:r>
        <w:br/>
      </w:r>
    </w:p>
    <w:p>
      <w:pPr>
        <w:pStyle w:val="ListParagraph"/>
        <w:numPr>
          <w:ilvl w:val="0"/>
          <w:numId w:val="100494270"/>
        </w:numPr>
        <w:ind w:left="360"/>
      </w:pPr>
      <w:r>
        <w:t xml:space="preserve">Kunt u reflecteren op de in het artikel aangehaalde analyse van De Wilde dat de Verenigde Staten bij het bepalen van de binnenlandse effectieve belastingdruk fiscale stimulansen buiten beschouwing laten, terwijl deze onder de OESO-regels juist meetellen, en dat deze systematiek investeren in de Verenigde Staten aantrekkelijker maakt voor Amerikaanse bedrijven dan voor ondernemingen uit EU-landen en andere early adopters?</w:t>
      </w:r>
      <w:r>
        <w:br/>
      </w:r>
    </w:p>
    <w:p>
      <w:pPr>
        <w:pStyle w:val="ListParagraph"/>
        <w:numPr>
          <w:ilvl w:val="0"/>
          <w:numId w:val="100494270"/>
        </w:numPr>
        <w:ind w:left="360"/>
      </w:pPr>
      <w:r>
        <w:t xml:space="preserve">Hoe rijmt u de in het artikel opgenomen passages, waarin wordt gesteld dat de uitzonderingspositie voor Amerikaanse multinationals leidt tot concurrentievoordelen en een verwatering van de minimumbelasting, met de stelling in de Kamerbrief dat het van belang is dat niet-implementerende jurisdicties zich niet voordeliger kunnen positioneren ten opzichte van jurisdicties die Pijler 2 wel implementeren (p. 6)?</w:t>
      </w:r>
      <w:r>
        <w:br/>
      </w:r>
    </w:p>
    <w:p>
      <w:pPr>
        <w:pStyle w:val="ListParagraph"/>
        <w:numPr>
          <w:ilvl w:val="0"/>
          <w:numId w:val="100494270"/>
        </w:numPr>
        <w:ind w:left="360"/>
      </w:pPr>
      <w:r>
        <w:t xml:space="preserve">Kunt u, ter toelichting op de werking van het Side-by-Side-regime, een uitgewerkt rekenvoorbeeld (met expliciet vermelde aannames) verstrekken waarin u eenzelfde multinationale groep onder (i) de reguliere Pijler 2-systematiek (per jurisdictie-toets met toepassing van IIR/UTPR) en (ii) het Side-by-Side-regime (met vrijstelling van IIR/UTPR voor de uiteindelijke moederentiteit in een kwalificerende jurisdictie) vergelijkt en daarbij inzichtelijk maakt in welke gevallen en waarom deze benadering in de praktijk kan leiden tot een lagere (of anders verdeelde) effectieve belastingdruk?</w:t>
      </w:r>
      <w:r>
        <w:br/>
      </w:r>
    </w:p>
    <w:p>
      <w:pPr>
        <w:pStyle w:val="ListParagraph"/>
        <w:numPr>
          <w:ilvl w:val="0"/>
          <w:numId w:val="100494270"/>
        </w:numPr>
        <w:ind w:left="360"/>
      </w:pPr>
      <w:r>
        <w:t xml:space="preserve">Kunt u in het in de vorige vraag gevraagde rekenvoorbeeld tevens uitgaan van een situatie waarin de multinationale groep activiteiten ontplooit in ten minste één laagbelastende jurisdictie, en inzichtelijk maken hoe de effectieve belastingdruk onder de reguliere Pijler-2-systematiek zich in dat geval verhoudt tot de belastingdruk onder het Side-by-Side-regime?</w:t>
      </w:r>
      <w:r>
        <w:br/>
      </w:r>
    </w:p>
    <w:p>
      <w:pPr>
        <w:pStyle w:val="ListParagraph"/>
        <w:numPr>
          <w:ilvl w:val="0"/>
          <w:numId w:val="100494270"/>
        </w:numPr>
        <w:ind w:left="360"/>
      </w:pPr>
      <w:r>
        <w:t xml:space="preserve">Acht u het vanuit het oogpunt van gelijke concurrentieverhoudingen verdedigbaar dat Amerikaanse multinationals kunnen volstaan met een wereldwijd gemiddeld effectief tarief, terwijl Europese multinationals per jurisdictie aan de 15%-toets zijn onderworpen?</w:t>
      </w:r>
      <w:r>
        <w:br/>
      </w:r>
    </w:p>
    <w:p>
      <w:pPr>
        <w:pStyle w:val="ListParagraph"/>
        <w:numPr>
          <w:ilvl w:val="0"/>
          <w:numId w:val="100494270"/>
        </w:numPr>
        <w:ind w:left="360"/>
      </w:pPr>
      <w:r>
        <w:t xml:space="preserve">Kunt u uiteenzetten welke concrete waarborgen het kabinet ziet om te voorkomen dat de erkenning van het Amerikaanse belastingstelsel als kwalificerend Side-by-Side-regime leidt tot structurele concurrentieverstoringen ten nadele van in de EU gevestigde concerns en in hoeverre deze waarborgen naar uw oordeel toereikend zijn?</w:t>
      </w:r>
      <w:r>
        <w:br/>
      </w:r>
    </w:p>
    <w:p>
      <w:pPr>
        <w:pStyle w:val="ListParagraph"/>
        <w:numPr>
          <w:ilvl w:val="0"/>
          <w:numId w:val="100494270"/>
        </w:numPr>
        <w:ind w:left="360"/>
      </w:pPr>
      <w:r>
        <w:t xml:space="preserve">Kunt u uiteenzetten welke mitigerende maatregelen (fiscaal en niet-fiscaal) het kabinet voorziet om eventuele structurele concurrentieverstoringen te beperken die kunnen voortvloeien uit de erkenning van het Amerikaanse belastingstelsel als kwalificerend Side-by-Side-regime ten opzichte van in de EU gevestigde concerns?</w:t>
      </w:r>
      <w:r>
        <w:br/>
      </w:r>
    </w:p>
    <w:p>
      <w:pPr>
        <w:pStyle w:val="ListParagraph"/>
        <w:numPr>
          <w:ilvl w:val="0"/>
          <w:numId w:val="100494270"/>
        </w:numPr>
        <w:ind w:left="360"/>
      </w:pPr>
      <w:r>
        <w:t xml:space="preserve">In hoeverre acht u het risico reëel dat multinationals hun winstallocatie aanpassen om optimaal gebruik te maken van de vrijstelling van IIR en UTPR onder het Side-by-Side-regime en welke kwantitatieve inschatting ligt hieraan ten grondslag?</w:t>
      </w:r>
      <w:r>
        <w:br/>
      </w:r>
    </w:p>
    <w:p>
      <w:pPr>
        <w:pStyle w:val="ListParagraph"/>
        <w:numPr>
          <w:ilvl w:val="0"/>
          <w:numId w:val="100494270"/>
        </w:numPr>
        <w:ind w:left="360"/>
      </w:pPr>
      <w:r>
        <w:t xml:space="preserve">Indien bij deze risico-inschatting wordt uitgegaan van mogelijke gedragseffecten, betreft dit dan een aanvullende derving bovenop de in de Kamerbrief geraamde circa €120 miljoen per jaar die voortvloeit uit het niet toepassen van de inkomens-inclusiemaatregel en de onderbelastewinstmaatregel, of zijn deze gedragseffecten reeds in die raming verdisconteerd?</w:t>
      </w:r>
      <w:r>
        <w:br/>
      </w:r>
    </w:p>
    <w:p>
      <w:pPr>
        <w:pStyle w:val="ListParagraph"/>
        <w:numPr>
          <w:ilvl w:val="0"/>
          <w:numId w:val="100494270"/>
        </w:numPr>
        <w:ind w:left="360"/>
      </w:pPr>
      <w:r>
        <w:t xml:space="preserve">Bent u voornemens om, naast de in het Inclusive Framework afgesproken evaluatie (‘stocktake’) in 2029, een nationale evaluatie uit te voeren naar de effecten van het Side-by-Side-regime, in het bijzonder ten aanzien van concurrentieverhoudingen, gedragseffecten en budgettaire opbrengsten voor Nederland?</w:t>
      </w:r>
      <w:r>
        <w:br/>
      </w:r>
    </w:p>
    <w:p>
      <w:pPr>
        <w:pStyle w:val="ListParagraph"/>
        <w:numPr>
          <w:ilvl w:val="0"/>
          <w:numId w:val="100494270"/>
        </w:numPr>
        <w:ind w:left="360"/>
      </w:pPr>
      <w:r>
        <w:t xml:space="preserve">Welke gevolgen verwacht u dat de uitzonderingspositie voor Amerikaanse multinationals heeft voor het Nederlandse vestigingsklimaat?</w:t>
      </w:r>
      <w:r>
        <w:br/>
      </w:r>
    </w:p>
    <w:p>
      <w:pPr>
        <w:pStyle w:val="ListParagraph"/>
        <w:numPr>
          <w:ilvl w:val="0"/>
          <w:numId w:val="100494270"/>
        </w:numPr>
        <w:ind w:left="360"/>
      </w:pPr>
      <w:r>
        <w:t xml:space="preserve">Welke signalen ontvangt u vanuit het Nederlandse bedrijfsleven over de gevolgen van deze uitzonderingspositie voor hun internationale concurrentiepositie?</w:t>
      </w:r>
      <w:r>
        <w:br/>
      </w:r>
    </w:p>
    <w:p>
      <w:pPr>
        <w:pStyle w:val="ListParagraph"/>
        <w:numPr>
          <w:ilvl w:val="0"/>
          <w:numId w:val="100494270"/>
        </w:numPr>
        <w:ind w:left="360"/>
      </w:pPr>
      <w:r>
        <w:t xml:space="preserve">In hoeverre leidt deze uitzonderingspositie er naar uw oordeel toe dat Nederlandse en Europese ondernemingen structureel op achterstand komen ten opzichte van Amerikaanse concurrenten?</w:t>
      </w:r>
      <w:r>
        <w:br/>
      </w:r>
    </w:p>
    <w:p>
      <w:pPr>
        <w:pStyle w:val="ListParagraph"/>
        <w:numPr>
          <w:ilvl w:val="0"/>
          <w:numId w:val="100494270"/>
        </w:numPr>
        <w:ind w:left="360"/>
      </w:pPr>
      <w:r>
        <w:t xml:space="preserve">Welke concrete maatregelen onderneemt u om te voorkomen dat Nederland economisch nadeel ondervindt van de uitzonderingspositie voor de Verenigde Staten?</w:t>
      </w:r>
      <w:r>
        <w:br/>
      </w:r>
    </w:p>
    <w:p>
      <w:pPr>
        <w:pStyle w:val="ListParagraph"/>
        <w:numPr>
          <w:ilvl w:val="0"/>
          <w:numId w:val="100494270"/>
        </w:numPr>
        <w:ind w:left="360"/>
      </w:pPr>
      <w:r>
        <w:t xml:space="preserve">Acht u het wenselijk dat Nederland onderdeel blijft van internationale afspraken die ertoe kunnen leiden dat het Nederlandse vestigingsklimaat minder aantrekkelijk wordt en Nederlandse bedrijven in een nadeliger positie komen ten opzichte van Amerikaanse ondernemingen?</w:t>
      </w:r>
      <w:r>
        <w:br/>
      </w:r>
    </w:p>
    <w:p>
      <w:pPr>
        <w:pStyle w:val="ListParagraph"/>
        <w:numPr>
          <w:ilvl w:val="0"/>
          <w:numId w:val="100494270"/>
        </w:numPr>
        <w:ind w:left="360"/>
      </w:pPr>
      <w:r>
        <w:t xml:space="preserve">Hoe beoordeelt u, in het licht van deze uitzonderingspositie, de haalbaarheid en geloofwaardigheid van toekomstige mondiale belastingafspraken wanneer de Verenigde Staten structureel een eigen uitzonderingspositie afdwingen en andere landen zich daaraan aanpassen?</w:t>
      </w:r>
      <w:r>
        <w:br/>
      </w:r>
    </w:p>
    <w:p>
      <w:pPr>
        <w:pStyle w:val="ListParagraph"/>
        <w:numPr>
          <w:ilvl w:val="0"/>
          <w:numId w:val="100494270"/>
        </w:numPr>
        <w:ind w:left="360"/>
      </w:pPr>
      <w:r>
        <w:t xml:space="preserve">Kunt u deze vragen binnen twee weken en elk van de vragen afzonderlijk beantwoorden?</w:t>
      </w:r>
      <w:r>
        <w:br/>
      </w:r>
    </w:p>
    <w:p>
      <w:r>
        <w:t xml:space="preserve"> </w:t>
      </w:r>
      <w:r>
        <w:br/>
      </w:r>
    </w:p>
    <w:p>
      <w:r>
        <w:t xml:space="preserve">1) FD, 6 januari 2026, 'VS bedingen uitzonderingen op minimumbelasting multinationals'.</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2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230">
    <w:abstractNumId w:val="1004942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