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68E" w:rsidP="005C768E" w:rsidRDefault="005C768E" w14:paraId="37414B41" w14:textId="2F9B56E6">
      <w:pPr>
        <w:spacing w:line="240" w:lineRule="auto"/>
      </w:pPr>
      <w:r>
        <w:t>AH 821</w:t>
      </w:r>
    </w:p>
    <w:p w:rsidR="005C768E" w:rsidP="005C768E" w:rsidRDefault="005C768E" w14:paraId="3817E646" w14:textId="1DB4EC08">
      <w:pPr>
        <w:spacing w:line="240" w:lineRule="auto"/>
      </w:pPr>
      <w:r>
        <w:t>2025Z21154</w:t>
      </w:r>
    </w:p>
    <w:p w:rsidR="005C768E" w:rsidP="005C768E" w:rsidRDefault="005C768E" w14:paraId="796FD171" w14:textId="696A3082">
      <w:pPr>
        <w:spacing w:line="240" w:lineRule="auto"/>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9 januari 2026)</w:t>
      </w:r>
    </w:p>
    <w:p w:rsidR="005C768E" w:rsidP="005C768E" w:rsidRDefault="005C768E" w14:paraId="3D6CA124" w14:textId="77777777">
      <w:pPr>
        <w:spacing w:line="240" w:lineRule="auto"/>
      </w:pPr>
    </w:p>
    <w:p w:rsidR="005C768E" w:rsidP="005C768E" w:rsidRDefault="005C768E" w14:paraId="5EF0E01E" w14:textId="77777777">
      <w:pPr>
        <w:spacing w:line="240" w:lineRule="auto"/>
      </w:pPr>
    </w:p>
    <w:p w:rsidRPr="00553BEB" w:rsidR="005C768E" w:rsidP="005C768E" w:rsidRDefault="005C768E" w14:paraId="59D2CC98" w14:textId="77777777">
      <w:pPr>
        <w:spacing w:line="240" w:lineRule="auto"/>
        <w:rPr>
          <w:b/>
          <w:bCs/>
        </w:rPr>
      </w:pPr>
      <w:r w:rsidRPr="0367BD1A">
        <w:rPr>
          <w:b/>
          <w:bCs/>
        </w:rPr>
        <w:t>1.</w:t>
      </w:r>
    </w:p>
    <w:p w:rsidR="005C768E" w:rsidP="005C768E" w:rsidRDefault="005C768E" w14:paraId="06FFBA10" w14:textId="77777777">
      <w:pPr>
        <w:spacing w:line="240" w:lineRule="auto"/>
        <w:rPr>
          <w:b/>
          <w:bCs/>
        </w:rPr>
      </w:pPr>
      <w:r w:rsidRPr="0367BD1A">
        <w:rPr>
          <w:b/>
          <w:bCs/>
        </w:rPr>
        <w:t>Klopt het dat er op dit moment nieuwbouwprojecten vertraging oplopen door slepende processen, als gevolg van onenigheid over adviezen van waterschappen, zoals bij de bouw van achtduizend woningen in de Zuidplaspolder? Zo ja, kunt u aangeven wat de omvang van deze vertraging in heel Nederland is?</w:t>
      </w:r>
    </w:p>
    <w:p w:rsidR="005C768E" w:rsidP="005C768E" w:rsidRDefault="005C768E" w14:paraId="1B91BF4C" w14:textId="77777777">
      <w:pPr>
        <w:spacing w:line="240" w:lineRule="auto"/>
        <w:rPr>
          <w:b/>
          <w:bCs/>
        </w:rPr>
      </w:pPr>
    </w:p>
    <w:p w:rsidR="005C768E" w:rsidP="005C768E" w:rsidRDefault="005C768E" w14:paraId="41648506" w14:textId="77777777">
      <w:pPr>
        <w:spacing w:line="240" w:lineRule="auto"/>
        <w:rPr>
          <w:b/>
          <w:bCs/>
        </w:rPr>
      </w:pPr>
      <w:r w:rsidRPr="0367BD1A">
        <w:rPr>
          <w:b/>
          <w:bCs/>
        </w:rPr>
        <w:t>Antwoord:</w:t>
      </w:r>
    </w:p>
    <w:p w:rsidR="005C768E" w:rsidP="005C768E" w:rsidRDefault="005C768E" w14:paraId="48501CC8" w14:textId="77777777">
      <w:pPr>
        <w:spacing w:line="240" w:lineRule="auto"/>
      </w:pPr>
      <w:r>
        <w:t xml:space="preserve">Waterschappen hebben de taak om de effecten van ruimtelijke ontwikkelingen op het waterbeheersysteem te beoordelen en te wegen. Dit </w:t>
      </w:r>
      <w:r w:rsidRPr="009517DC">
        <w:t xml:space="preserve">is </w:t>
      </w:r>
      <w:r>
        <w:t>onder</w:t>
      </w:r>
      <w:r w:rsidRPr="009517DC">
        <w:t xml:space="preserve"> de Omgevingswet verankerd in de weging </w:t>
      </w:r>
      <w:r>
        <w:t xml:space="preserve">van het </w:t>
      </w:r>
      <w:r w:rsidRPr="009517DC">
        <w:t>waterbelang</w:t>
      </w:r>
      <w:r>
        <w:rPr>
          <w:rStyle w:val="Voetnootmarkering"/>
        </w:rPr>
        <w:footnoteReference w:id="1"/>
      </w:r>
      <w:r w:rsidRPr="009517DC">
        <w:t xml:space="preserve">. Mijn ervaring is dat dit </w:t>
      </w:r>
      <w:r>
        <w:t xml:space="preserve">in het algemeen </w:t>
      </w:r>
      <w:r w:rsidRPr="009517DC">
        <w:t>goed gaat en dat gemeenten de waterschappen bij veel gebiedsontwikkelingen vroegtijdig en blijvend betrekken. Dit gebeurt echter niet altijd, wat inderdaad vertraging kan veroorzaken. Dat hoeft overigens niet het resultaat te zijn van ‘onenigheid over adviezen’. Vertraging kan ook ontstaan doordat noodzakelijk</w:t>
      </w:r>
      <w:r>
        <w:t>e maatregelen te laat aan het licht komen en alsnog moeten worden ingepast.</w:t>
      </w:r>
    </w:p>
    <w:p w:rsidR="005C768E" w:rsidP="005C768E" w:rsidRDefault="005C768E" w14:paraId="446D0A2F" w14:textId="77777777">
      <w:pPr>
        <w:spacing w:line="240" w:lineRule="auto"/>
      </w:pPr>
    </w:p>
    <w:p w:rsidR="005C768E" w:rsidP="005C768E" w:rsidRDefault="005C768E" w14:paraId="262C8BA3" w14:textId="77777777">
      <w:pPr>
        <w:spacing w:line="240" w:lineRule="auto"/>
      </w:pPr>
      <w:r>
        <w:t xml:space="preserve">Het is niet bekend hoeveel projecten door late betrokkenheid vertraging oplopen of wat de omvang van deze vertraging is. In de genoemde casus Cortelande (gemeente Zuidplas) was de verhouding met het waterschap complex en heeft dit zelfs geleid tot beroep bij de Raad van State. Er was in deze casus geen sprake van een gebrek aan betrokkenheid van het hoogheemraadschap. Het masterplan voor het middengebied van de Zuidplaspolder is al in 2021 vastgesteld. Dit gebeurde met vroegtijdige en intensieve inhoudelijke betrokkenheid en steun van het hoogheemraadschap. Het resultaat was een ontwerp waarbij rekening wordt gehouden met het lokale water- en bodemsysteem. Zo wordt er </w:t>
      </w:r>
      <w:r w:rsidRPr="0367BD1A">
        <w:t>gebouwd op de betere gronden en blijft er veel ruimte vrij voor waterberging. Wel was er sprake van hoge tijdsdruk vanwege het aflopende voorkeursrecht op de gronden.</w:t>
      </w:r>
    </w:p>
    <w:p w:rsidRPr="00553BEB" w:rsidR="005C768E" w:rsidP="005C768E" w:rsidRDefault="005C768E" w14:paraId="15F5A889" w14:textId="77777777">
      <w:pPr>
        <w:spacing w:line="240" w:lineRule="auto"/>
        <w:rPr>
          <w:b/>
          <w:bCs/>
        </w:rPr>
      </w:pPr>
    </w:p>
    <w:p w:rsidRPr="00553BEB" w:rsidR="005C768E" w:rsidP="005C768E" w:rsidRDefault="005C768E" w14:paraId="0C4F4BB7" w14:textId="77777777">
      <w:pPr>
        <w:spacing w:line="240" w:lineRule="auto"/>
        <w:rPr>
          <w:b/>
          <w:bCs/>
        </w:rPr>
      </w:pPr>
      <w:r w:rsidRPr="0367BD1A">
        <w:rPr>
          <w:b/>
          <w:bCs/>
        </w:rPr>
        <w:t>2.</w:t>
      </w:r>
    </w:p>
    <w:p w:rsidRPr="00553BEB" w:rsidR="005C768E" w:rsidP="005C768E" w:rsidRDefault="005C768E" w14:paraId="59186AF2" w14:textId="77777777">
      <w:pPr>
        <w:spacing w:line="240" w:lineRule="auto"/>
        <w:rPr>
          <w:b/>
          <w:bCs/>
        </w:rPr>
      </w:pPr>
      <w:r w:rsidRPr="0367BD1A">
        <w:rPr>
          <w:b/>
          <w:bCs/>
        </w:rPr>
        <w:lastRenderedPageBreak/>
        <w:t>Deelt u de opvatting dat het voorkomen van dergelijke processen door betere afstemming tussen gemeenten en waterschappen kan bijdragen aan het versnellen van de woningbouw?</w:t>
      </w:r>
    </w:p>
    <w:p w:rsidR="005C768E" w:rsidP="005C768E" w:rsidRDefault="005C768E" w14:paraId="18CB99FC" w14:textId="77777777">
      <w:pPr>
        <w:spacing w:line="240" w:lineRule="auto"/>
        <w:rPr>
          <w:b/>
          <w:bCs/>
        </w:rPr>
      </w:pPr>
    </w:p>
    <w:p w:rsidR="005C768E" w:rsidP="005C768E" w:rsidRDefault="005C768E" w14:paraId="55DF2ABE" w14:textId="77777777">
      <w:pPr>
        <w:spacing w:line="240" w:lineRule="auto"/>
        <w:rPr>
          <w:b/>
          <w:bCs/>
        </w:rPr>
      </w:pPr>
      <w:r w:rsidRPr="0367BD1A">
        <w:rPr>
          <w:b/>
          <w:bCs/>
        </w:rPr>
        <w:t>Antwoord:</w:t>
      </w:r>
    </w:p>
    <w:p w:rsidR="005C768E" w:rsidP="005C768E" w:rsidRDefault="005C768E" w14:paraId="6D779ED3" w14:textId="77777777">
      <w:pPr>
        <w:spacing w:line="240" w:lineRule="auto"/>
        <w:ind w:left="708" w:hanging="708"/>
      </w:pPr>
      <w:r>
        <w:t xml:space="preserve">Ik deel de observatie dat vroegtijdige betrokkenheid van het waterschap </w:t>
      </w:r>
    </w:p>
    <w:p w:rsidRPr="00322513" w:rsidR="005C768E" w:rsidP="005C768E" w:rsidRDefault="005C768E" w14:paraId="211502C2" w14:textId="77777777">
      <w:pPr>
        <w:spacing w:line="240" w:lineRule="auto"/>
      </w:pPr>
      <w:r>
        <w:t xml:space="preserve">vertraging later in het proces kan voorkomen. Dit gaat vaak goed, maar niet altijd. Op de </w:t>
      </w:r>
      <w:proofErr w:type="spellStart"/>
      <w:r>
        <w:t>Woontop</w:t>
      </w:r>
      <w:proofErr w:type="spellEnd"/>
      <w:r>
        <w:t xml:space="preserve"> van eind 2024 heb ik daarom afspraken gemaakt met onder andere waterschappen en gemeenten. Dit houdt in dat waterschappen vroegtijdig worden betrokken bij de planvorming van gemeenten, waarmee tevens invulling wordt gegeven aan de hierboven genoemde weging van het waterbelang</w:t>
      </w:r>
      <w:r w:rsidRPr="0089766A">
        <w:t xml:space="preserve"> </w:t>
      </w:r>
      <w:r>
        <w:t>zoals dat ook is verankerd in de Omgevingswet. Waterschappen en gemeenten werken in opvolging daarvan aan een convenant waarin zij deze vroegtijdige samenwerking formaliseren.</w:t>
      </w:r>
    </w:p>
    <w:p w:rsidRPr="00553BEB" w:rsidR="005C768E" w:rsidP="005C768E" w:rsidRDefault="005C768E" w14:paraId="3E179AED" w14:textId="77777777">
      <w:pPr>
        <w:spacing w:line="240" w:lineRule="auto"/>
        <w:rPr>
          <w:b/>
          <w:bCs/>
        </w:rPr>
      </w:pPr>
    </w:p>
    <w:p w:rsidRPr="00553BEB" w:rsidR="005C768E" w:rsidP="005C768E" w:rsidRDefault="005C768E" w14:paraId="2A9F56C2" w14:textId="77777777">
      <w:pPr>
        <w:spacing w:line="240" w:lineRule="auto"/>
        <w:rPr>
          <w:b/>
          <w:bCs/>
        </w:rPr>
      </w:pPr>
      <w:r w:rsidRPr="0367BD1A">
        <w:rPr>
          <w:b/>
          <w:bCs/>
        </w:rPr>
        <w:t>3.</w:t>
      </w:r>
    </w:p>
    <w:p w:rsidRPr="00553BEB" w:rsidR="005C768E" w:rsidP="005C768E" w:rsidRDefault="005C768E" w14:paraId="3DD01017" w14:textId="77777777">
      <w:pPr>
        <w:spacing w:line="240" w:lineRule="auto"/>
        <w:rPr>
          <w:b/>
          <w:bCs/>
        </w:rPr>
      </w:pPr>
      <w:r w:rsidRPr="0367BD1A">
        <w:rPr>
          <w:b/>
          <w:bCs/>
        </w:rPr>
        <w:t>Kunt u aangeven welke rol u voor de Rijksoverheid ziet in het bevorderen van vroegtijdige betrekking van waterschappen door gemeenten bij bouwplannen?</w:t>
      </w:r>
    </w:p>
    <w:p w:rsidR="005C768E" w:rsidP="005C768E" w:rsidRDefault="005C768E" w14:paraId="7206245C" w14:textId="77777777">
      <w:pPr>
        <w:spacing w:line="240" w:lineRule="auto"/>
        <w:rPr>
          <w:b/>
          <w:bCs/>
        </w:rPr>
      </w:pPr>
    </w:p>
    <w:p w:rsidR="005C768E" w:rsidP="005C768E" w:rsidRDefault="005C768E" w14:paraId="70ADCDBD" w14:textId="77777777">
      <w:pPr>
        <w:spacing w:line="240" w:lineRule="auto"/>
        <w:rPr>
          <w:b/>
          <w:bCs/>
        </w:rPr>
      </w:pPr>
      <w:r w:rsidRPr="0367BD1A">
        <w:rPr>
          <w:b/>
          <w:bCs/>
        </w:rPr>
        <w:t>Antwoord:</w:t>
      </w:r>
    </w:p>
    <w:p w:rsidR="005C768E" w:rsidP="005C768E" w:rsidRDefault="005C768E" w14:paraId="56BAB04A" w14:textId="77777777">
      <w:pPr>
        <w:spacing w:line="240" w:lineRule="auto"/>
      </w:pPr>
      <w:r>
        <w:t xml:space="preserve">Zoals hierboven aangegeven, heb ik hierover op de </w:t>
      </w:r>
      <w:proofErr w:type="spellStart"/>
      <w:r>
        <w:t>Woontop</w:t>
      </w:r>
      <w:proofErr w:type="spellEnd"/>
      <w:r>
        <w:t xml:space="preserve"> afspraken gemaakt met de betrokken partijen. Onderdeel van deze afspraken is daarnaast dat we werken aan uniforme kaders voor onder andere wateroverlast. Hiervoor is de </w:t>
      </w:r>
      <w:r w:rsidRPr="0367BD1A">
        <w:rPr>
          <w:i/>
          <w:iCs/>
        </w:rPr>
        <w:t xml:space="preserve">Landelijke maatlat voor een groene </w:t>
      </w:r>
      <w:proofErr w:type="spellStart"/>
      <w:r w:rsidRPr="0367BD1A">
        <w:rPr>
          <w:i/>
          <w:iCs/>
        </w:rPr>
        <w:t>klimaatadaptieve</w:t>
      </w:r>
      <w:proofErr w:type="spellEnd"/>
      <w:r w:rsidRPr="0367BD1A">
        <w:rPr>
          <w:i/>
          <w:iCs/>
        </w:rPr>
        <w:t xml:space="preserve"> gebouwde omgeving</w:t>
      </w:r>
      <w:r>
        <w:t xml:space="preserve"> als basis genomen. Dit maakt voor alle partijen aan de voorkant duidelijk waar zij rekening mee moeten houden.</w:t>
      </w:r>
      <w:r w:rsidRPr="0089766A">
        <w:t xml:space="preserve"> </w:t>
      </w:r>
      <w:r>
        <w:t xml:space="preserve">Dit helpt ook om invulling te geven aan de gemaakte keuze in de </w:t>
      </w:r>
      <w:proofErr w:type="spellStart"/>
      <w:r>
        <w:t>Ontwerp-Nota</w:t>
      </w:r>
      <w:proofErr w:type="spellEnd"/>
      <w:r>
        <w:t xml:space="preserve"> Ruimte dat we b</w:t>
      </w:r>
      <w:r w:rsidRPr="00324247">
        <w:t>ij het plannen en ontwikkelen van de fysieke leefomgeving systematisch rekening</w:t>
      </w:r>
      <w:r>
        <w:t xml:space="preserve"> houden</w:t>
      </w:r>
      <w:r w:rsidRPr="00324247">
        <w:t xml:space="preserve"> met</w:t>
      </w:r>
      <w:r>
        <w:t xml:space="preserve"> vaker voorkomende extreme weersomstandigheden (zoals lange periodes van droogte, hitte en overvloedige neerslag) en hogere piekafvoeren van de rivieren. </w:t>
      </w:r>
    </w:p>
    <w:p w:rsidR="005C768E" w:rsidP="005C768E" w:rsidRDefault="005C768E" w14:paraId="5309DE9F" w14:textId="77777777">
      <w:pPr>
        <w:spacing w:line="240" w:lineRule="auto"/>
      </w:pPr>
    </w:p>
    <w:p w:rsidR="005C768E" w:rsidP="005C768E" w:rsidRDefault="005C768E" w14:paraId="3CAE6E80" w14:textId="77777777">
      <w:pPr>
        <w:spacing w:line="240" w:lineRule="auto"/>
      </w:pPr>
      <w:r>
        <w:t xml:space="preserve">Ook werken we met medeoverheden en het ministerie van </w:t>
      </w:r>
      <w:proofErr w:type="spellStart"/>
      <w:r>
        <w:t>IenW</w:t>
      </w:r>
      <w:proofErr w:type="spellEnd"/>
      <w:r>
        <w:t xml:space="preserve"> aan ontwerpend onderzoek dat gericht is op een handelingsperspectief voor locaties die een uitdaging hebben ten aanzien van water en bodem. Dit levert bewezen en toepasbare ontwerpoplossingen op voor verschillende water- en bodemtypen, met als doel woningbouwprojecten in deze gebieden vooruit te helpen.</w:t>
      </w:r>
      <w:r w:rsidRPr="0089766A">
        <w:t xml:space="preserve"> </w:t>
      </w:r>
      <w:r>
        <w:t>Uiteindelijk blijft het aan de daarvoor bevoegde gezagen (veelal gemeenten) om waterschappen vroegtijdig te betrekken bij bouwplannen en daarmee invulling te geven aan de weging van het waterbelang, zo is dat ook afgesproken in de Omgevingswet.</w:t>
      </w:r>
    </w:p>
    <w:p w:rsidRPr="00553BEB" w:rsidR="005C768E" w:rsidP="005C768E" w:rsidRDefault="005C768E" w14:paraId="0AD1FE31" w14:textId="77777777">
      <w:pPr>
        <w:spacing w:line="240" w:lineRule="auto"/>
        <w:rPr>
          <w:b/>
          <w:bCs/>
        </w:rPr>
      </w:pPr>
    </w:p>
    <w:p w:rsidRPr="00553BEB" w:rsidR="005C768E" w:rsidP="005C768E" w:rsidRDefault="005C768E" w14:paraId="35116189" w14:textId="77777777">
      <w:pPr>
        <w:spacing w:line="240" w:lineRule="auto"/>
        <w:rPr>
          <w:b/>
          <w:bCs/>
        </w:rPr>
      </w:pPr>
      <w:r w:rsidRPr="0367BD1A">
        <w:rPr>
          <w:b/>
          <w:bCs/>
        </w:rPr>
        <w:lastRenderedPageBreak/>
        <w:t>4.</w:t>
      </w:r>
    </w:p>
    <w:p w:rsidRPr="00553BEB" w:rsidR="005C768E" w:rsidP="005C768E" w:rsidRDefault="005C768E" w14:paraId="76D7A666" w14:textId="77777777">
      <w:pPr>
        <w:spacing w:line="240" w:lineRule="auto"/>
        <w:rPr>
          <w:b/>
          <w:bCs/>
        </w:rPr>
      </w:pPr>
      <w:r w:rsidRPr="0367BD1A">
        <w:rPr>
          <w:b/>
          <w:bCs/>
        </w:rPr>
        <w:t xml:space="preserve">Deelt u de mening dat waterschappen bij gebiedsontwikkelingen een belangrijke, zo niet preferente, rol hebben vanuit het principe Water- en </w:t>
      </w:r>
      <w:proofErr w:type="spellStart"/>
      <w:r w:rsidRPr="0367BD1A">
        <w:rPr>
          <w:b/>
          <w:bCs/>
        </w:rPr>
        <w:t>Bodemsturend</w:t>
      </w:r>
      <w:proofErr w:type="spellEnd"/>
      <w:r w:rsidRPr="0367BD1A">
        <w:rPr>
          <w:b/>
          <w:bCs/>
        </w:rPr>
        <w:t xml:space="preserve"> en de noodzaak piekwaterbergingsgebieden beschikbaar te hebben?</w:t>
      </w:r>
    </w:p>
    <w:p w:rsidR="005C768E" w:rsidP="005C768E" w:rsidRDefault="005C768E" w14:paraId="4A178AE5" w14:textId="77777777">
      <w:pPr>
        <w:spacing w:line="240" w:lineRule="auto"/>
        <w:rPr>
          <w:b/>
          <w:bCs/>
        </w:rPr>
      </w:pPr>
    </w:p>
    <w:p w:rsidR="005C768E" w:rsidP="005C768E" w:rsidRDefault="005C768E" w14:paraId="04384624" w14:textId="77777777">
      <w:pPr>
        <w:spacing w:line="240" w:lineRule="auto"/>
        <w:rPr>
          <w:b/>
          <w:bCs/>
        </w:rPr>
      </w:pPr>
      <w:r w:rsidRPr="0367BD1A">
        <w:rPr>
          <w:b/>
          <w:bCs/>
        </w:rPr>
        <w:t>Antwoord:</w:t>
      </w:r>
    </w:p>
    <w:p w:rsidR="005C768E" w:rsidP="005C768E" w:rsidRDefault="005C768E" w14:paraId="7DE78979" w14:textId="77777777">
      <w:pPr>
        <w:spacing w:line="240" w:lineRule="auto"/>
      </w:pPr>
      <w:r>
        <w:t>Zoals aangegeven ben ik</w:t>
      </w:r>
      <w:r w:rsidRPr="00D4765B">
        <w:t xml:space="preserve"> inderdaad van mening dat waterschappen een belangrijke rol hebben bij gebiedsontwikkelingen</w:t>
      </w:r>
      <w:r>
        <w:t xml:space="preserve">. Zij kunnen de volledige breedte van de regionale wateropgaven overzien, ruimte voor (piek)waterbergingen is daar een onderdeel van. </w:t>
      </w:r>
      <w:r w:rsidRPr="00D4765B">
        <w:t xml:space="preserve">Ruimtelijke </w:t>
      </w:r>
      <w:r>
        <w:t>keuzes worden integraal gemaakt</w:t>
      </w:r>
      <w:r w:rsidRPr="00D4765B">
        <w:t xml:space="preserve">, dus geen enkel belang heeft een preferente rol, zo staat dat ook omschreven in de </w:t>
      </w:r>
      <w:proofErr w:type="spellStart"/>
      <w:r>
        <w:t>Ontwerp-</w:t>
      </w:r>
      <w:r w:rsidRPr="00D4765B">
        <w:t>N</w:t>
      </w:r>
      <w:r>
        <w:t>ota</w:t>
      </w:r>
      <w:proofErr w:type="spellEnd"/>
      <w:r>
        <w:t xml:space="preserve"> </w:t>
      </w:r>
      <w:r w:rsidRPr="00D4765B">
        <w:t>R</w:t>
      </w:r>
      <w:r>
        <w:t>uimte.</w:t>
      </w:r>
      <w:r w:rsidRPr="00521C16">
        <w:t xml:space="preserve"> </w:t>
      </w:r>
      <w:r>
        <w:t xml:space="preserve">Zoals de minister van </w:t>
      </w:r>
      <w:proofErr w:type="spellStart"/>
      <w:r>
        <w:t>IenW</w:t>
      </w:r>
      <w:proofErr w:type="spellEnd"/>
      <w:r w:rsidRPr="00D4765B">
        <w:t xml:space="preserve"> in </w:t>
      </w:r>
      <w:r>
        <w:t>zijn</w:t>
      </w:r>
      <w:r w:rsidRPr="00D4765B">
        <w:t xml:space="preserve"> brief van okt</w:t>
      </w:r>
      <w:r>
        <w:t>ober</w:t>
      </w:r>
      <w:r w:rsidRPr="00D4765B">
        <w:t xml:space="preserve"> 2024</w:t>
      </w:r>
      <w:r>
        <w:rPr>
          <w:rStyle w:val="Voetnootmarkering"/>
        </w:rPr>
        <w:footnoteReference w:id="2"/>
      </w:r>
      <w:r>
        <w:t xml:space="preserve"> heeft aangegeven</w:t>
      </w:r>
      <w:r w:rsidRPr="00D4765B">
        <w:t xml:space="preserve"> (en in het verlengde van voorgaande) is de lijn van dit kabinet ‘rekening houden met</w:t>
      </w:r>
      <w:r>
        <w:t xml:space="preserve"> water en bodem</w:t>
      </w:r>
      <w:r w:rsidRPr="00D4765B">
        <w:t>’ en niet ‘</w:t>
      </w:r>
      <w:r>
        <w:t xml:space="preserve">water en bodem </w:t>
      </w:r>
      <w:r w:rsidRPr="00D4765B">
        <w:t>sturend’</w:t>
      </w:r>
      <w:r>
        <w:t>.</w:t>
      </w:r>
    </w:p>
    <w:p w:rsidR="005C768E" w:rsidP="005C768E" w:rsidRDefault="005C768E" w14:paraId="3691E237" w14:textId="77777777">
      <w:pPr>
        <w:spacing w:line="240" w:lineRule="auto"/>
      </w:pPr>
    </w:p>
    <w:p w:rsidR="005C768E" w:rsidP="005C768E" w:rsidRDefault="005C768E" w14:paraId="15A02A2E" w14:textId="77777777">
      <w:pPr>
        <w:spacing w:line="240" w:lineRule="auto"/>
      </w:pPr>
      <w:r>
        <w:t>Uiteindelijk worden de bouwlocaties aangewezen door de daarvoor bevoegde gezagen, op basis van een evenwichtige toedeling van functies aan locaties. In dat kader worden de verschillende (o.a. ruimtelijke) belangen afgewogen. Het advies van het waterschap op het omgevingsplan wordt hierbij betrokken, via de weging van het waterbelang. Zo staat dat ook in de Omgevingswet.</w:t>
      </w:r>
    </w:p>
    <w:p w:rsidR="005C768E" w:rsidP="005C768E" w:rsidRDefault="005C768E" w14:paraId="3C7EE427" w14:textId="77777777"/>
    <w:p w:rsidRPr="00553BEB" w:rsidR="005C768E" w:rsidP="005C768E" w:rsidRDefault="005C768E" w14:paraId="6B0383E8" w14:textId="77777777">
      <w:pPr>
        <w:spacing w:line="240" w:lineRule="auto"/>
        <w:rPr>
          <w:b/>
          <w:bCs/>
        </w:rPr>
      </w:pPr>
      <w:r w:rsidRPr="0367BD1A">
        <w:rPr>
          <w:b/>
          <w:bCs/>
        </w:rPr>
        <w:t>5.</w:t>
      </w:r>
    </w:p>
    <w:p w:rsidRPr="00553BEB" w:rsidR="005C768E" w:rsidP="005C768E" w:rsidRDefault="005C768E" w14:paraId="00E85006" w14:textId="77777777">
      <w:pPr>
        <w:spacing w:line="240" w:lineRule="auto"/>
        <w:rPr>
          <w:b/>
          <w:bCs/>
        </w:rPr>
      </w:pPr>
      <w:r w:rsidRPr="0367BD1A">
        <w:rPr>
          <w:b/>
          <w:bCs/>
        </w:rPr>
        <w:t xml:space="preserve">Kunt u toelichten in welke mate de </w:t>
      </w:r>
      <w:proofErr w:type="spellStart"/>
      <w:r w:rsidRPr="0367BD1A">
        <w:rPr>
          <w:b/>
          <w:bCs/>
        </w:rPr>
        <w:t>Ontwerp-Nota</w:t>
      </w:r>
      <w:proofErr w:type="spellEnd"/>
      <w:r w:rsidRPr="0367BD1A">
        <w:rPr>
          <w:b/>
          <w:bCs/>
        </w:rPr>
        <w:t xml:space="preserve"> Ruimte mogelijkheden biedt voor het stroomlijnen van besluitvorming rondom de locatiekeuze voor nieuwe ruimtelijke ontwikkelingen?</w:t>
      </w:r>
    </w:p>
    <w:p w:rsidR="005C768E" w:rsidP="005C768E" w:rsidRDefault="005C768E" w14:paraId="6B52A9A7" w14:textId="77777777">
      <w:pPr>
        <w:spacing w:line="240" w:lineRule="auto"/>
        <w:rPr>
          <w:b/>
          <w:bCs/>
        </w:rPr>
      </w:pPr>
    </w:p>
    <w:p w:rsidR="005C768E" w:rsidP="005C768E" w:rsidRDefault="005C768E" w14:paraId="5D4363B4" w14:textId="77777777">
      <w:pPr>
        <w:spacing w:line="240" w:lineRule="auto"/>
        <w:rPr>
          <w:b/>
          <w:bCs/>
        </w:rPr>
      </w:pPr>
      <w:r w:rsidRPr="0367BD1A">
        <w:rPr>
          <w:b/>
          <w:bCs/>
        </w:rPr>
        <w:t>Antwoord:</w:t>
      </w:r>
    </w:p>
    <w:p w:rsidR="005C768E" w:rsidP="005C768E" w:rsidRDefault="005C768E" w14:paraId="7D54D551" w14:textId="77777777">
      <w:pPr>
        <w:spacing w:line="240" w:lineRule="auto"/>
      </w:pPr>
      <w:r>
        <w:t xml:space="preserve">In de </w:t>
      </w:r>
      <w:proofErr w:type="spellStart"/>
      <w:r>
        <w:t>Ontwerp-Nota</w:t>
      </w:r>
      <w:proofErr w:type="spellEnd"/>
      <w:r>
        <w:t xml:space="preserve"> Ruimte reikt dit kabinet twee concrete instrumenten aan die partijen helpen bij het maken van keuzes voor nieuwe ruimtelijke ontwikkelingen, in relatie tot het water- en bodemsysteem:</w:t>
      </w:r>
      <w:bookmarkStart w:name="_Hlk216275434" w:id="0"/>
      <w:bookmarkEnd w:id="0"/>
    </w:p>
    <w:p w:rsidR="005C768E" w:rsidP="005C768E" w:rsidRDefault="005C768E" w14:paraId="3A8877F7" w14:textId="77777777">
      <w:pPr>
        <w:spacing w:line="240" w:lineRule="auto"/>
      </w:pPr>
    </w:p>
    <w:p w:rsidR="005C768E" w:rsidP="005C768E" w:rsidRDefault="005C768E" w14:paraId="206F1C2B" w14:textId="77777777">
      <w:pPr>
        <w:pStyle w:val="Lijstalinea"/>
        <w:numPr>
          <w:ilvl w:val="0"/>
          <w:numId w:val="1"/>
        </w:numPr>
        <w:autoSpaceDN w:val="0"/>
        <w:spacing w:after="0" w:line="240" w:lineRule="auto"/>
        <w:textAlignment w:val="baseline"/>
      </w:pPr>
      <w:r w:rsidRPr="0367BD1A">
        <w:rPr>
          <w:b/>
          <w:bCs/>
        </w:rPr>
        <w:t>Het ruimtelijk afwegingskader</w:t>
      </w:r>
      <w:r>
        <w:br/>
        <w:t>Dit instrument helpt partijen bij de locatiekeuze voor nieuwe ontwikkelingen, in relatie tot het water- en bodemsysteem.</w:t>
      </w:r>
    </w:p>
    <w:p w:rsidRPr="00DE3CE2" w:rsidR="005C768E" w:rsidP="005C768E" w:rsidRDefault="005C768E" w14:paraId="61986480" w14:textId="77777777">
      <w:pPr>
        <w:pStyle w:val="Lijstalinea"/>
        <w:numPr>
          <w:ilvl w:val="0"/>
          <w:numId w:val="1"/>
        </w:numPr>
        <w:autoSpaceDN w:val="0"/>
        <w:spacing w:after="0" w:line="240" w:lineRule="auto"/>
        <w:textAlignment w:val="baseline"/>
        <w:rPr>
          <w:b/>
          <w:bCs/>
        </w:rPr>
      </w:pPr>
      <w:r w:rsidRPr="0367BD1A">
        <w:rPr>
          <w:b/>
          <w:bCs/>
        </w:rPr>
        <w:t>De landelijke maatlat</w:t>
      </w:r>
    </w:p>
    <w:p w:rsidR="005C768E" w:rsidP="005C768E" w:rsidRDefault="005C768E" w14:paraId="2E547C43" w14:textId="77777777">
      <w:pPr>
        <w:pStyle w:val="Lijstalinea"/>
        <w:spacing w:line="240" w:lineRule="auto"/>
      </w:pPr>
      <w:r>
        <w:lastRenderedPageBreak/>
        <w:t>Dit instrument helpt partijen bij keuzes rondom inrichting van nieuwe ruimtelijke ontwikkelingen, in relatie tot het water- en bodemsysteem.</w:t>
      </w:r>
    </w:p>
    <w:p w:rsidR="005C768E" w:rsidP="005C768E" w:rsidRDefault="005C768E" w14:paraId="7A2FD02E" w14:textId="77777777">
      <w:pPr>
        <w:spacing w:line="240" w:lineRule="auto"/>
      </w:pPr>
    </w:p>
    <w:p w:rsidR="005C768E" w:rsidP="005C768E" w:rsidRDefault="005C768E" w14:paraId="17527D9C" w14:textId="77777777">
      <w:pPr>
        <w:spacing w:line="240" w:lineRule="auto"/>
      </w:pPr>
      <w:r>
        <w:t xml:space="preserve">Aanvullend maakt het kabinet in de </w:t>
      </w:r>
      <w:proofErr w:type="spellStart"/>
      <w:r>
        <w:t>Ontwerp-Nota</w:t>
      </w:r>
      <w:proofErr w:type="spellEnd"/>
      <w:r>
        <w:t xml:space="preserve"> Ruimte de keuze om, met het oog op risico’s op overstromingen, nieuwe bebouwing in de uiterwaarden niet langer toe te staan en om, met het oog op het behoud van de zoetwatervoorziening, terughoudend te zijn met landaanwinning en buitendijks bouwen in het IJsselmeergebied.</w:t>
      </w:r>
    </w:p>
    <w:p w:rsidR="005C768E" w:rsidP="005C768E" w:rsidRDefault="005C768E" w14:paraId="52A977C1" w14:textId="77777777">
      <w:pPr>
        <w:spacing w:line="240" w:lineRule="auto"/>
      </w:pPr>
    </w:p>
    <w:p w:rsidR="005C768E" w:rsidP="005C768E" w:rsidRDefault="005C768E" w14:paraId="4A63F5CA" w14:textId="77777777">
      <w:pPr>
        <w:spacing w:line="240" w:lineRule="auto"/>
      </w:pPr>
      <w:r>
        <w:t xml:space="preserve">Op deze manier tracht het kabinet de besluitvorming rondom nieuwe ruimtelijke ontwikkelingen te stroomlijnen. Tevens heb ik op de </w:t>
      </w:r>
      <w:proofErr w:type="spellStart"/>
      <w:r>
        <w:t>Woontop</w:t>
      </w:r>
      <w:proofErr w:type="spellEnd"/>
      <w:r>
        <w:t xml:space="preserve"> (2024), zoals eerder benoemd, afspraken gemaakt die ook bijdragen aan het stroomlijnen van deze besluitvorming.</w:t>
      </w:r>
    </w:p>
    <w:p w:rsidR="005C768E" w:rsidP="005C768E" w:rsidRDefault="005C768E" w14:paraId="77D91594" w14:textId="77777777">
      <w:pPr>
        <w:spacing w:line="240" w:lineRule="auto"/>
      </w:pPr>
    </w:p>
    <w:p w:rsidRPr="00553BEB" w:rsidR="005C768E" w:rsidP="005C768E" w:rsidRDefault="005C768E" w14:paraId="5E1DCEBE" w14:textId="77777777">
      <w:pPr>
        <w:spacing w:line="240" w:lineRule="auto"/>
      </w:pPr>
      <w:r>
        <w:t>Uiteindelijk blijven keuzes ten aanzien van locatie (buiten de eerder genoemde uiterwaarden en IJsselmeergebied) en inrichting van nieuwe ruimtelijke ontwikkelingen de verantwoordelijkheid van de daarvoor aangewezen bevoegde gezagen.</w:t>
      </w:r>
    </w:p>
    <w:p w:rsidRPr="00553BEB" w:rsidR="005C768E" w:rsidP="005C768E" w:rsidRDefault="005C768E" w14:paraId="38913228" w14:textId="77777777">
      <w:pPr>
        <w:spacing w:line="240" w:lineRule="auto"/>
        <w:rPr>
          <w:b/>
          <w:bCs/>
        </w:rPr>
      </w:pPr>
    </w:p>
    <w:p w:rsidRPr="00553BEB" w:rsidR="005C768E" w:rsidP="005C768E" w:rsidRDefault="005C768E" w14:paraId="353DE7EC" w14:textId="77777777">
      <w:pPr>
        <w:spacing w:line="240" w:lineRule="auto"/>
        <w:rPr>
          <w:b/>
          <w:bCs/>
        </w:rPr>
      </w:pPr>
      <w:r w:rsidRPr="0367BD1A">
        <w:rPr>
          <w:b/>
          <w:bCs/>
        </w:rPr>
        <w:t>6.</w:t>
      </w:r>
    </w:p>
    <w:p w:rsidRPr="00553BEB" w:rsidR="005C768E" w:rsidP="005C768E" w:rsidRDefault="005C768E" w14:paraId="22F715D6" w14:textId="77777777">
      <w:pPr>
        <w:spacing w:line="240" w:lineRule="auto"/>
        <w:rPr>
          <w:b/>
          <w:bCs/>
        </w:rPr>
      </w:pPr>
      <w:r w:rsidRPr="0367BD1A">
        <w:rPr>
          <w:b/>
          <w:bCs/>
        </w:rPr>
        <w:t xml:space="preserve">Hoe is de behoefte aan piekbergingsruimte zoals geuit door de waterschappen meegenomen en vastgelegd in de </w:t>
      </w:r>
      <w:proofErr w:type="spellStart"/>
      <w:r w:rsidRPr="0367BD1A">
        <w:rPr>
          <w:b/>
          <w:bCs/>
        </w:rPr>
        <w:t>ontwerp-Nota</w:t>
      </w:r>
      <w:proofErr w:type="spellEnd"/>
      <w:r w:rsidRPr="0367BD1A">
        <w:rPr>
          <w:b/>
          <w:bCs/>
        </w:rPr>
        <w:t xml:space="preserve"> Ruimte?</w:t>
      </w:r>
    </w:p>
    <w:p w:rsidR="005C768E" w:rsidP="005C768E" w:rsidRDefault="005C768E" w14:paraId="7C0D890E" w14:textId="77777777">
      <w:pPr>
        <w:spacing w:line="240" w:lineRule="auto"/>
        <w:rPr>
          <w:b/>
          <w:bCs/>
        </w:rPr>
      </w:pPr>
    </w:p>
    <w:p w:rsidR="005C768E" w:rsidP="005C768E" w:rsidRDefault="005C768E" w14:paraId="2E4FE7E1" w14:textId="77777777">
      <w:pPr>
        <w:spacing w:line="240" w:lineRule="auto"/>
        <w:rPr>
          <w:b/>
          <w:bCs/>
        </w:rPr>
      </w:pPr>
      <w:r w:rsidRPr="0367BD1A">
        <w:rPr>
          <w:b/>
          <w:bCs/>
        </w:rPr>
        <w:t>Antwoord:</w:t>
      </w:r>
    </w:p>
    <w:p w:rsidR="005C768E" w:rsidP="005C768E" w:rsidRDefault="005C768E" w14:paraId="4A7F7E13" w14:textId="77777777">
      <w:pPr>
        <w:spacing w:line="240" w:lineRule="auto"/>
      </w:pPr>
      <w:r>
        <w:t xml:space="preserve">In de </w:t>
      </w:r>
      <w:proofErr w:type="spellStart"/>
      <w:r>
        <w:t>Ontwerp-Nota</w:t>
      </w:r>
      <w:proofErr w:type="spellEnd"/>
      <w:r>
        <w:t xml:space="preserve"> Ruimte wordt aangegeven dat een robuust en toekomstbestendig hoofdwatersysteem ook voldoende ruimte vereist voor (piek)waterberging. Deze gebieden voor waterberging zijn bedoeld om overloop te creëren en daarmee wateroverlast op andere plekken te voorkomen, deels vanuit het hoofdwatersysteem en deels in de regionale watersystemen. Daarom wordt in de </w:t>
      </w:r>
      <w:proofErr w:type="spellStart"/>
      <w:r>
        <w:t>Ontwerp-Nota</w:t>
      </w:r>
      <w:proofErr w:type="spellEnd"/>
      <w:r>
        <w:t xml:space="preserve"> Ruimte aangegeven dat er (lokaal) voldoende ruimte wordt gereserveerd voor (piek)waterberging, het doel wordt nagestreefd om in diepe polders 5-10% ruimte te reserveren voor waterberging en ontwikkelingen op gronden die bijzonder geschikt zijn voor infiltratie te vermijden. </w:t>
      </w:r>
    </w:p>
    <w:p w:rsidR="005C768E" w:rsidP="005C768E" w:rsidRDefault="005C768E" w14:paraId="181488DB" w14:textId="77777777">
      <w:pPr>
        <w:spacing w:line="240" w:lineRule="auto"/>
      </w:pPr>
    </w:p>
    <w:p w:rsidRPr="00553BEB" w:rsidR="005C768E" w:rsidP="005C768E" w:rsidRDefault="005C768E" w14:paraId="66D2E6E3" w14:textId="77777777">
      <w:pPr>
        <w:spacing w:line="240" w:lineRule="auto"/>
      </w:pPr>
      <w:r>
        <w:t xml:space="preserve">Specifiek voor het Noordzeekanaal en het Amsterdam-Rijnkanaal zijn de zoekgebieden voor (piek)waterberging op kaarten aangegeven omdat ze een belangrijke rol vervullen in de </w:t>
      </w:r>
      <w:proofErr w:type="spellStart"/>
      <w:r>
        <w:t>beheersmogelijkheden</w:t>
      </w:r>
      <w:proofErr w:type="spellEnd"/>
      <w:r>
        <w:t xml:space="preserve"> van wateroverlast. In deze gebieden spelen daarnaast ook nog andere ruimtelijke opgaven. Zo betreft een deel </w:t>
      </w:r>
      <w:r>
        <w:lastRenderedPageBreak/>
        <w:t>van het zoekgebied bij het Noordzeekanaal de Houtrakpolder waar opgaven vanuit energie, economie en water en bodem samenkomen. Dit gebied is op dit moment gereserveerd voor uitbreiding van de haven. De locatiebepaling voor waterberging rond het Noordzeekanaal vergt daarom nog nader onderzoek, dit wordt uitgewerkt in de gebiedsgerichte aanpak van het regionale Deltaprogramma Centraal Holland. De integrale besluitvorming hierover vindt plaats in de gebiedsgerichte aanpak in het NOVEX-gebied Noordzeekanaalgebied.</w:t>
      </w:r>
    </w:p>
    <w:p w:rsidRPr="00553BEB" w:rsidR="005C768E" w:rsidP="005C768E" w:rsidRDefault="005C768E" w14:paraId="43F08E8C" w14:textId="77777777">
      <w:pPr>
        <w:spacing w:line="240" w:lineRule="auto"/>
        <w:rPr>
          <w:b/>
          <w:bCs/>
        </w:rPr>
      </w:pPr>
    </w:p>
    <w:p w:rsidRPr="008D41DE" w:rsidR="005C768E" w:rsidP="005C768E" w:rsidRDefault="005C768E" w14:paraId="7E9962E7" w14:textId="77777777">
      <w:pPr>
        <w:spacing w:line="240" w:lineRule="auto"/>
        <w:rPr>
          <w:b/>
          <w:bCs/>
        </w:rPr>
      </w:pPr>
      <w:r w:rsidRPr="0367BD1A">
        <w:rPr>
          <w:b/>
          <w:bCs/>
        </w:rPr>
        <w:t>7.</w:t>
      </w:r>
    </w:p>
    <w:p w:rsidRPr="008D41DE" w:rsidR="005C768E" w:rsidP="005C768E" w:rsidRDefault="005C768E" w14:paraId="5D743426" w14:textId="77777777">
      <w:pPr>
        <w:spacing w:line="240" w:lineRule="auto"/>
        <w:rPr>
          <w:b/>
          <w:bCs/>
        </w:rPr>
      </w:pPr>
      <w:r w:rsidRPr="0367BD1A">
        <w:rPr>
          <w:b/>
          <w:bCs/>
        </w:rPr>
        <w:t xml:space="preserve">Acht u naar aanleiding van het signaal van de waterschappen aanvullingen op de </w:t>
      </w:r>
      <w:proofErr w:type="spellStart"/>
      <w:r w:rsidRPr="0367BD1A">
        <w:rPr>
          <w:b/>
          <w:bCs/>
        </w:rPr>
        <w:t>Ontwerp-Nota</w:t>
      </w:r>
      <w:proofErr w:type="spellEnd"/>
      <w:r w:rsidRPr="0367BD1A">
        <w:rPr>
          <w:b/>
          <w:bCs/>
        </w:rPr>
        <w:t xml:space="preserve"> Ruimte noodzakelijk?</w:t>
      </w:r>
    </w:p>
    <w:p w:rsidRPr="008D41DE" w:rsidR="005C768E" w:rsidP="005C768E" w:rsidRDefault="005C768E" w14:paraId="4E0175F0" w14:textId="77777777">
      <w:pPr>
        <w:spacing w:line="240" w:lineRule="auto"/>
      </w:pPr>
    </w:p>
    <w:p w:rsidRPr="008D41DE" w:rsidR="005C768E" w:rsidP="005C768E" w:rsidRDefault="005C768E" w14:paraId="291653C0" w14:textId="77777777">
      <w:pPr>
        <w:spacing w:line="240" w:lineRule="auto"/>
        <w:rPr>
          <w:b/>
          <w:bCs/>
        </w:rPr>
      </w:pPr>
      <w:r w:rsidRPr="0367BD1A">
        <w:rPr>
          <w:b/>
          <w:bCs/>
        </w:rPr>
        <w:t>Antwoord:</w:t>
      </w:r>
    </w:p>
    <w:p w:rsidRPr="00955735" w:rsidR="005C768E" w:rsidP="005C768E" w:rsidRDefault="005C768E" w14:paraId="5897C53D" w14:textId="77777777">
      <w:pPr>
        <w:spacing w:line="240" w:lineRule="auto"/>
      </w:pPr>
      <w:r>
        <w:t xml:space="preserve">In reactie op de rapportage van </w:t>
      </w:r>
      <w:proofErr w:type="spellStart"/>
      <w:r w:rsidRPr="0367BD1A">
        <w:rPr>
          <w:i/>
          <w:iCs/>
        </w:rPr>
        <w:t>Nieuwsuur</w:t>
      </w:r>
      <w:proofErr w:type="spellEnd"/>
      <w:r>
        <w:t xml:space="preserve"> heb ik aangegeven dat ik het belangrijk vind dat gemeenten waterschappen vroegtijdig betrekken bij bouwplannen, maar dat het verder institutionaliseren van de rol van waterschappen de processen stroperiger en duurder maakt. Het belang van het rekening houden met water en bodem staat voldoende benoemd in de </w:t>
      </w:r>
      <w:proofErr w:type="spellStart"/>
      <w:r>
        <w:t>Ontwerp-Nota</w:t>
      </w:r>
      <w:proofErr w:type="spellEnd"/>
      <w:r>
        <w:t xml:space="preserve"> Ruimte, ik zie daarom geen aanleiding om de </w:t>
      </w:r>
      <w:proofErr w:type="spellStart"/>
      <w:r>
        <w:t>Ontwerp-Nota</w:t>
      </w:r>
      <w:proofErr w:type="spellEnd"/>
      <w:r>
        <w:t xml:space="preserve"> Ruimte op dit punt aan te vullen.</w:t>
      </w:r>
    </w:p>
    <w:p w:rsidR="001D5A43" w:rsidRDefault="001D5A43" w14:paraId="5176A2DB" w14:textId="77777777"/>
    <w:sectPr w:rsidR="001D5A43" w:rsidSect="005C768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10F9" w14:textId="77777777" w:rsidR="005C768E" w:rsidRDefault="005C768E" w:rsidP="005C768E">
      <w:pPr>
        <w:spacing w:after="0" w:line="240" w:lineRule="auto"/>
      </w:pPr>
      <w:r>
        <w:separator/>
      </w:r>
    </w:p>
  </w:endnote>
  <w:endnote w:type="continuationSeparator" w:id="0">
    <w:p w14:paraId="1E37403E" w14:textId="77777777" w:rsidR="005C768E" w:rsidRDefault="005C768E" w:rsidP="005C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9F44" w14:textId="77777777" w:rsidR="005C768E" w:rsidRPr="005C768E" w:rsidRDefault="005C768E" w:rsidP="005C76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12A3" w14:textId="77777777" w:rsidR="005C768E" w:rsidRPr="005C768E" w:rsidRDefault="005C768E" w:rsidP="005C76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B7D0" w14:textId="77777777" w:rsidR="005C768E" w:rsidRPr="005C768E" w:rsidRDefault="005C768E" w:rsidP="005C76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4822" w14:textId="77777777" w:rsidR="005C768E" w:rsidRDefault="005C768E" w:rsidP="005C768E">
      <w:pPr>
        <w:spacing w:after="0" w:line="240" w:lineRule="auto"/>
      </w:pPr>
      <w:r>
        <w:separator/>
      </w:r>
    </w:p>
  </w:footnote>
  <w:footnote w:type="continuationSeparator" w:id="0">
    <w:p w14:paraId="13937C45" w14:textId="77777777" w:rsidR="005C768E" w:rsidRDefault="005C768E" w:rsidP="005C768E">
      <w:pPr>
        <w:spacing w:after="0" w:line="240" w:lineRule="auto"/>
      </w:pPr>
      <w:r>
        <w:continuationSeparator/>
      </w:r>
    </w:p>
  </w:footnote>
  <w:footnote w:id="1">
    <w:p w14:paraId="2FA75037" w14:textId="77777777" w:rsidR="005C768E" w:rsidRDefault="005C768E" w:rsidP="005C768E">
      <w:pPr>
        <w:pStyle w:val="Voetnoottekst"/>
      </w:pPr>
      <w:r w:rsidRPr="00F36B93">
        <w:rPr>
          <w:rStyle w:val="Voetnootmarkering"/>
          <w:sz w:val="16"/>
          <w:szCs w:val="16"/>
        </w:rPr>
        <w:footnoteRef/>
      </w:r>
      <w:r w:rsidRPr="00F36B93">
        <w:rPr>
          <w:sz w:val="16"/>
          <w:szCs w:val="16"/>
        </w:rPr>
        <w:t xml:space="preserve"> Artikel 5.37 van het Besluit kwaliteit leefomgeving</w:t>
      </w:r>
    </w:p>
  </w:footnote>
  <w:footnote w:id="2">
    <w:p w14:paraId="40BD147D" w14:textId="77777777" w:rsidR="005C768E" w:rsidRDefault="005C768E" w:rsidP="005C768E">
      <w:pPr>
        <w:pStyle w:val="Voetnoottekst"/>
      </w:pPr>
      <w:r w:rsidRPr="00F36B93">
        <w:rPr>
          <w:rStyle w:val="Voetnootmarkering"/>
          <w:sz w:val="16"/>
          <w:szCs w:val="16"/>
        </w:rPr>
        <w:footnoteRef/>
      </w:r>
      <w:r w:rsidRPr="00F36B93">
        <w:rPr>
          <w:sz w:val="16"/>
          <w:szCs w:val="16"/>
        </w:rPr>
        <w:t xml:space="preserve"> Kamerstukken </w:t>
      </w:r>
      <w:r w:rsidRPr="005E4F22">
        <w:rPr>
          <w:sz w:val="16"/>
          <w:szCs w:val="16"/>
        </w:rPr>
        <w:t>27625-688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07F2" w14:textId="77777777" w:rsidR="005C768E" w:rsidRPr="005C768E" w:rsidRDefault="005C768E" w:rsidP="005C76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0C93" w14:textId="77777777" w:rsidR="005C768E" w:rsidRPr="005C768E" w:rsidRDefault="005C768E" w:rsidP="005C76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26B0" w14:textId="77777777" w:rsidR="005C768E" w:rsidRPr="005C768E" w:rsidRDefault="005C768E" w:rsidP="005C76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885"/>
    <w:multiLevelType w:val="hybridMultilevel"/>
    <w:tmpl w:val="01AA5052"/>
    <w:lvl w:ilvl="0" w:tplc="BAFCF93C">
      <w:numFmt w:val="bullet"/>
      <w:lvlText w:val="-"/>
      <w:lvlJc w:val="left"/>
      <w:pPr>
        <w:ind w:left="720" w:hanging="360"/>
      </w:pPr>
      <w:rPr>
        <w:rFonts w:ascii="Verdana" w:eastAsia="DejaVu Sans" w:hAnsi="Verdana" w:cs="Lohit Hindi" w:hint="default"/>
      </w:rPr>
    </w:lvl>
    <w:lvl w:ilvl="1" w:tplc="369692CE" w:tentative="1">
      <w:start w:val="1"/>
      <w:numFmt w:val="bullet"/>
      <w:lvlText w:val="o"/>
      <w:lvlJc w:val="left"/>
      <w:pPr>
        <w:ind w:left="1440" w:hanging="360"/>
      </w:pPr>
      <w:rPr>
        <w:rFonts w:ascii="Courier New" w:hAnsi="Courier New" w:cs="Courier New" w:hint="default"/>
      </w:rPr>
    </w:lvl>
    <w:lvl w:ilvl="2" w:tplc="6FB6FF98" w:tentative="1">
      <w:start w:val="1"/>
      <w:numFmt w:val="bullet"/>
      <w:lvlText w:val=""/>
      <w:lvlJc w:val="left"/>
      <w:pPr>
        <w:ind w:left="2160" w:hanging="360"/>
      </w:pPr>
      <w:rPr>
        <w:rFonts w:ascii="Wingdings" w:hAnsi="Wingdings" w:hint="default"/>
      </w:rPr>
    </w:lvl>
    <w:lvl w:ilvl="3" w:tplc="19D697A0" w:tentative="1">
      <w:start w:val="1"/>
      <w:numFmt w:val="bullet"/>
      <w:lvlText w:val=""/>
      <w:lvlJc w:val="left"/>
      <w:pPr>
        <w:ind w:left="2880" w:hanging="360"/>
      </w:pPr>
      <w:rPr>
        <w:rFonts w:ascii="Symbol" w:hAnsi="Symbol" w:hint="default"/>
      </w:rPr>
    </w:lvl>
    <w:lvl w:ilvl="4" w:tplc="5A94378C" w:tentative="1">
      <w:start w:val="1"/>
      <w:numFmt w:val="bullet"/>
      <w:lvlText w:val="o"/>
      <w:lvlJc w:val="left"/>
      <w:pPr>
        <w:ind w:left="3600" w:hanging="360"/>
      </w:pPr>
      <w:rPr>
        <w:rFonts w:ascii="Courier New" w:hAnsi="Courier New" w:cs="Courier New" w:hint="default"/>
      </w:rPr>
    </w:lvl>
    <w:lvl w:ilvl="5" w:tplc="55D40E62" w:tentative="1">
      <w:start w:val="1"/>
      <w:numFmt w:val="bullet"/>
      <w:lvlText w:val=""/>
      <w:lvlJc w:val="left"/>
      <w:pPr>
        <w:ind w:left="4320" w:hanging="360"/>
      </w:pPr>
      <w:rPr>
        <w:rFonts w:ascii="Wingdings" w:hAnsi="Wingdings" w:hint="default"/>
      </w:rPr>
    </w:lvl>
    <w:lvl w:ilvl="6" w:tplc="0EBEF580" w:tentative="1">
      <w:start w:val="1"/>
      <w:numFmt w:val="bullet"/>
      <w:lvlText w:val=""/>
      <w:lvlJc w:val="left"/>
      <w:pPr>
        <w:ind w:left="5040" w:hanging="360"/>
      </w:pPr>
      <w:rPr>
        <w:rFonts w:ascii="Symbol" w:hAnsi="Symbol" w:hint="default"/>
      </w:rPr>
    </w:lvl>
    <w:lvl w:ilvl="7" w:tplc="D0EC771E" w:tentative="1">
      <w:start w:val="1"/>
      <w:numFmt w:val="bullet"/>
      <w:lvlText w:val="o"/>
      <w:lvlJc w:val="left"/>
      <w:pPr>
        <w:ind w:left="5760" w:hanging="360"/>
      </w:pPr>
      <w:rPr>
        <w:rFonts w:ascii="Courier New" w:hAnsi="Courier New" w:cs="Courier New" w:hint="default"/>
      </w:rPr>
    </w:lvl>
    <w:lvl w:ilvl="8" w:tplc="1F5097CC" w:tentative="1">
      <w:start w:val="1"/>
      <w:numFmt w:val="bullet"/>
      <w:lvlText w:val=""/>
      <w:lvlJc w:val="left"/>
      <w:pPr>
        <w:ind w:left="6480" w:hanging="360"/>
      </w:pPr>
      <w:rPr>
        <w:rFonts w:ascii="Wingdings" w:hAnsi="Wingdings" w:hint="default"/>
      </w:rPr>
    </w:lvl>
  </w:abstractNum>
  <w:num w:numId="1" w16cid:durableId="42384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8E"/>
    <w:rsid w:val="001D5A43"/>
    <w:rsid w:val="001E3DD3"/>
    <w:rsid w:val="005C76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B434"/>
  <w15:chartTrackingRefBased/>
  <w15:docId w15:val="{EB5F3203-DB2F-4E9C-9597-6349951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6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C76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C76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C76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C76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C76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6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6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6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6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C76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C76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C76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C76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C76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6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6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68E"/>
    <w:rPr>
      <w:rFonts w:eastAsiaTheme="majorEastAsia" w:cstheme="majorBidi"/>
      <w:color w:val="272727" w:themeColor="text1" w:themeTint="D8"/>
    </w:rPr>
  </w:style>
  <w:style w:type="paragraph" w:styleId="Titel">
    <w:name w:val="Title"/>
    <w:basedOn w:val="Standaard"/>
    <w:next w:val="Standaard"/>
    <w:link w:val="TitelChar"/>
    <w:uiPriority w:val="10"/>
    <w:qFormat/>
    <w:rsid w:val="005C7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6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6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6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6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68E"/>
    <w:rPr>
      <w:i/>
      <w:iCs/>
      <w:color w:val="404040" w:themeColor="text1" w:themeTint="BF"/>
    </w:rPr>
  </w:style>
  <w:style w:type="paragraph" w:styleId="Lijstalinea">
    <w:name w:val="List Paragraph"/>
    <w:basedOn w:val="Standaard"/>
    <w:uiPriority w:val="34"/>
    <w:qFormat/>
    <w:rsid w:val="005C768E"/>
    <w:pPr>
      <w:ind w:left="720"/>
      <w:contextualSpacing/>
    </w:pPr>
  </w:style>
  <w:style w:type="character" w:styleId="Intensievebenadrukking">
    <w:name w:val="Intense Emphasis"/>
    <w:basedOn w:val="Standaardalinea-lettertype"/>
    <w:uiPriority w:val="21"/>
    <w:qFormat/>
    <w:rsid w:val="005C768E"/>
    <w:rPr>
      <w:i/>
      <w:iCs/>
      <w:color w:val="2F5496" w:themeColor="accent1" w:themeShade="BF"/>
    </w:rPr>
  </w:style>
  <w:style w:type="paragraph" w:styleId="Duidelijkcitaat">
    <w:name w:val="Intense Quote"/>
    <w:basedOn w:val="Standaard"/>
    <w:next w:val="Standaard"/>
    <w:link w:val="DuidelijkcitaatChar"/>
    <w:uiPriority w:val="30"/>
    <w:qFormat/>
    <w:rsid w:val="005C7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C768E"/>
    <w:rPr>
      <w:i/>
      <w:iCs/>
      <w:color w:val="2F5496" w:themeColor="accent1" w:themeShade="BF"/>
    </w:rPr>
  </w:style>
  <w:style w:type="character" w:styleId="Intensieveverwijzing">
    <w:name w:val="Intense Reference"/>
    <w:basedOn w:val="Standaardalinea-lettertype"/>
    <w:uiPriority w:val="32"/>
    <w:qFormat/>
    <w:rsid w:val="005C768E"/>
    <w:rPr>
      <w:b/>
      <w:bCs/>
      <w:smallCaps/>
      <w:color w:val="2F5496" w:themeColor="accent1" w:themeShade="BF"/>
      <w:spacing w:val="5"/>
    </w:rPr>
  </w:style>
  <w:style w:type="paragraph" w:styleId="Koptekst">
    <w:name w:val="header"/>
    <w:basedOn w:val="Standaard"/>
    <w:link w:val="KoptekstChar"/>
    <w:uiPriority w:val="99"/>
    <w:unhideWhenUsed/>
    <w:rsid w:val="005C76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76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76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768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C76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C76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C76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1412</ap:Words>
  <ap:Characters>7768</ap:Characters>
  <ap:DocSecurity>0</ap:DocSecurity>
  <ap:Lines>64</ap:Lines>
  <ap:Paragraphs>18</ap:Paragraphs>
  <ap:ScaleCrop>false</ap:ScaleCrop>
  <ap:LinksUpToDate>false</ap:LinksUpToDate>
  <ap:CharactersWithSpaces>9162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2026-01-09T14:08:00.0000000Z</dcterms:created>
  <dcterms:modified xsi:type="dcterms:W3CDTF">2026-01-09T14:09:00.0000000Z</dcterms:modified>
  <version/>
  <category/>
</coreProperties>
</file>