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91EBD" w:rsidR="00991EBD" w:rsidRDefault="00DC616F" w14:paraId="3C93F9A2" w14:textId="77777777">
      <w:pPr>
        <w:rPr>
          <w:rFonts w:ascii="Calibri" w:hAnsi="Calibri" w:cs="Calibri"/>
        </w:rPr>
      </w:pPr>
      <w:r w:rsidRPr="00991EBD">
        <w:rPr>
          <w:rFonts w:ascii="Calibri" w:hAnsi="Calibri" w:cs="Calibri"/>
        </w:rPr>
        <w:t>21501-33</w:t>
      </w:r>
      <w:r w:rsidRPr="00991EBD" w:rsidR="00991EBD">
        <w:rPr>
          <w:rFonts w:ascii="Calibri" w:hAnsi="Calibri" w:cs="Calibri"/>
        </w:rPr>
        <w:tab/>
      </w:r>
      <w:r w:rsidRPr="00991EBD" w:rsidR="00991EBD">
        <w:rPr>
          <w:rFonts w:ascii="Calibri" w:hAnsi="Calibri" w:cs="Calibri"/>
        </w:rPr>
        <w:tab/>
        <w:t>Raad voor Vervoer, Telecommunicatie en Energie</w:t>
      </w:r>
    </w:p>
    <w:p w:rsidRPr="00991EBD" w:rsidR="00991EBD" w:rsidP="00991EBD" w:rsidRDefault="00991EBD" w14:paraId="1BF422C8" w14:textId="5EB4C312">
      <w:pPr>
        <w:ind w:left="2124" w:hanging="2124"/>
        <w:rPr>
          <w:rFonts w:ascii="Calibri" w:hAnsi="Calibri" w:cs="Calibri"/>
        </w:rPr>
      </w:pPr>
      <w:r w:rsidRPr="00991EBD">
        <w:rPr>
          <w:rFonts w:ascii="Calibri" w:hAnsi="Calibri" w:cs="Calibri"/>
        </w:rPr>
        <w:t xml:space="preserve">Nr. </w:t>
      </w:r>
      <w:r w:rsidRPr="00991EBD">
        <w:rPr>
          <w:rFonts w:ascii="Calibri" w:hAnsi="Calibri" w:cs="Calibri"/>
        </w:rPr>
        <w:t>1183</w:t>
      </w:r>
      <w:r w:rsidRPr="00991EBD">
        <w:rPr>
          <w:rFonts w:ascii="Calibri" w:hAnsi="Calibri" w:cs="Calibri"/>
        </w:rPr>
        <w:tab/>
        <w:t>Brief van de minister van Economische Zaken en de staatssecretaris van Binnenlandse Zaken en Koninkrijksrelaties</w:t>
      </w:r>
    </w:p>
    <w:p w:rsidRPr="00991EBD" w:rsidR="00991EBD" w:rsidP="0049557E" w:rsidRDefault="00991EBD" w14:paraId="4CA68BFB" w14:textId="0C8FF154">
      <w:pPr>
        <w:rPr>
          <w:rFonts w:ascii="Calibri" w:hAnsi="Calibri" w:cs="Calibri"/>
        </w:rPr>
      </w:pPr>
      <w:r w:rsidRPr="00991EBD">
        <w:rPr>
          <w:rFonts w:ascii="Calibri" w:hAnsi="Calibri" w:cs="Calibri"/>
        </w:rPr>
        <w:t>Aan de Voorzitter van de Tweede Kamer der Staten-Generaal</w:t>
      </w:r>
    </w:p>
    <w:p w:rsidRPr="00991EBD" w:rsidR="00991EBD" w:rsidP="0049557E" w:rsidRDefault="00991EBD" w14:paraId="25B399BD" w14:textId="2F1C0017">
      <w:pPr>
        <w:rPr>
          <w:rFonts w:ascii="Calibri" w:hAnsi="Calibri" w:cs="Calibri"/>
        </w:rPr>
      </w:pPr>
      <w:r w:rsidRPr="00991EBD">
        <w:rPr>
          <w:rFonts w:ascii="Calibri" w:hAnsi="Calibri" w:cs="Calibri"/>
        </w:rPr>
        <w:t>Den Haag, 12 januari 2026</w:t>
      </w:r>
    </w:p>
    <w:p w:rsidRPr="00991EBD" w:rsidR="0049557E" w:rsidP="0049557E" w:rsidRDefault="0049557E" w14:paraId="1FE2603C" w14:textId="77777777">
      <w:pPr>
        <w:rPr>
          <w:rFonts w:ascii="Calibri" w:hAnsi="Calibri" w:cs="Calibri"/>
        </w:rPr>
      </w:pPr>
    </w:p>
    <w:p w:rsidRPr="00991EBD" w:rsidR="0049557E" w:rsidP="0049557E" w:rsidRDefault="0049557E" w14:paraId="4A92AFB1" w14:textId="77777777">
      <w:pPr>
        <w:rPr>
          <w:rFonts w:ascii="Calibri" w:hAnsi="Calibri" w:cs="Calibri"/>
        </w:rPr>
      </w:pPr>
      <w:r w:rsidRPr="00991EBD">
        <w:rPr>
          <w:rFonts w:ascii="Calibri" w:hAnsi="Calibri" w:cs="Calibri"/>
        </w:rPr>
        <w:t xml:space="preserve">Op 5 december 2025 vond de formele Telecomraad plaats in Brussel. Met deze brief bieden wij uw Kamer het verslag van de Telecomraad aan. Verder delen wij via deze brief de beantwoording van het resterende deel van de vragen uit het Schriftelijk Overleg Telecomraad en de beantwoording van de vragen gesteld tijdens het tweeminutendebat Telecomraad op 2 december 2025. </w:t>
      </w:r>
    </w:p>
    <w:p w:rsidRPr="00991EBD" w:rsidR="0049557E" w:rsidP="0049557E" w:rsidRDefault="0049557E" w14:paraId="786B0798" w14:textId="77777777">
      <w:pPr>
        <w:rPr>
          <w:rFonts w:ascii="Calibri" w:hAnsi="Calibri" w:cs="Calibri"/>
        </w:rPr>
      </w:pPr>
    </w:p>
    <w:p w:rsidRPr="00991EBD" w:rsidR="0049557E" w:rsidP="00991EBD" w:rsidRDefault="00991EBD" w14:paraId="01BF26FF" w14:textId="6A47A7F3">
      <w:pPr>
        <w:pStyle w:val="Geenafstand"/>
        <w:rPr>
          <w:rFonts w:ascii="Calibri" w:hAnsi="Calibri" w:cs="Calibri"/>
        </w:rPr>
      </w:pPr>
      <w:r w:rsidRPr="00991EBD">
        <w:rPr>
          <w:rFonts w:ascii="Calibri" w:hAnsi="Calibri" w:cs="Calibri"/>
        </w:rPr>
        <w:t>De m</w:t>
      </w:r>
      <w:r w:rsidRPr="00991EBD" w:rsidR="0049557E">
        <w:rPr>
          <w:rFonts w:ascii="Calibri" w:hAnsi="Calibri" w:cs="Calibri"/>
        </w:rPr>
        <w:t>inister van Economische Zaken</w:t>
      </w:r>
      <w:r w:rsidRPr="00991EBD">
        <w:rPr>
          <w:rFonts w:ascii="Calibri" w:hAnsi="Calibri" w:cs="Calibri"/>
        </w:rPr>
        <w:t>,</w:t>
      </w:r>
    </w:p>
    <w:p w:rsidRPr="00991EBD" w:rsidR="00991EBD" w:rsidP="00991EBD" w:rsidRDefault="00991EBD" w14:paraId="74A274E2" w14:textId="2FD1D946">
      <w:pPr>
        <w:pStyle w:val="Geenafstand"/>
        <w:rPr>
          <w:rFonts w:ascii="Calibri" w:hAnsi="Calibri" w:cs="Calibri"/>
        </w:rPr>
      </w:pPr>
      <w:r w:rsidRPr="00991EBD">
        <w:rPr>
          <w:rFonts w:ascii="Calibri" w:hAnsi="Calibri" w:cs="Calibri"/>
        </w:rPr>
        <w:t>V.P.G.</w:t>
      </w:r>
      <w:r w:rsidRPr="00991EBD">
        <w:rPr>
          <w:rFonts w:ascii="Calibri" w:hAnsi="Calibri" w:cs="Calibri"/>
        </w:rPr>
        <w:t xml:space="preserve"> Karremans</w:t>
      </w:r>
    </w:p>
    <w:p w:rsidRPr="00991EBD" w:rsidR="00991EBD" w:rsidP="0049557E" w:rsidRDefault="00991EBD" w14:paraId="3F1A725F" w14:textId="77777777">
      <w:pPr>
        <w:rPr>
          <w:rFonts w:ascii="Calibri" w:hAnsi="Calibri" w:cs="Calibri"/>
        </w:rPr>
      </w:pPr>
    </w:p>
    <w:p w:rsidRPr="00991EBD" w:rsidR="0049557E" w:rsidP="00991EBD" w:rsidRDefault="00991EBD" w14:paraId="2F7955E5" w14:textId="02E7FE87">
      <w:pPr>
        <w:pStyle w:val="Geenafstand"/>
        <w:rPr>
          <w:rFonts w:ascii="Calibri" w:hAnsi="Calibri" w:cs="Calibri"/>
        </w:rPr>
      </w:pPr>
      <w:r w:rsidRPr="00991EBD">
        <w:rPr>
          <w:rFonts w:ascii="Calibri" w:hAnsi="Calibri" w:cs="Calibri"/>
        </w:rPr>
        <w:t>De s</w:t>
      </w:r>
      <w:r w:rsidRPr="00991EBD" w:rsidR="0049557E">
        <w:rPr>
          <w:rFonts w:ascii="Calibri" w:hAnsi="Calibri" w:cs="Calibri"/>
        </w:rPr>
        <w:t>taatssecretaris van Binnenlandse Zaken en Koninkrijksrelaties</w:t>
      </w:r>
      <w:r w:rsidRPr="00991EBD">
        <w:rPr>
          <w:rFonts w:ascii="Calibri" w:hAnsi="Calibri" w:cs="Calibri"/>
        </w:rPr>
        <w:t>,</w:t>
      </w:r>
    </w:p>
    <w:p w:rsidRPr="00991EBD" w:rsidR="00991EBD" w:rsidP="00991EBD" w:rsidRDefault="00991EBD" w14:paraId="23953DD1" w14:textId="6D9186A9">
      <w:pPr>
        <w:pStyle w:val="Geenafstand"/>
        <w:rPr>
          <w:rFonts w:ascii="Calibri" w:hAnsi="Calibri" w:cs="Calibri"/>
        </w:rPr>
      </w:pPr>
      <w:r w:rsidRPr="00991EBD">
        <w:rPr>
          <w:rFonts w:ascii="Calibri" w:hAnsi="Calibri" w:cs="Calibri"/>
        </w:rPr>
        <w:t>E.</w:t>
      </w:r>
      <w:r w:rsidRPr="00991EBD">
        <w:rPr>
          <w:rFonts w:ascii="Calibri" w:hAnsi="Calibri" w:cs="Calibri"/>
        </w:rPr>
        <w:t xml:space="preserve"> van Marum</w:t>
      </w:r>
    </w:p>
    <w:p w:rsidRPr="00991EBD" w:rsidR="0049557E" w:rsidP="0049557E" w:rsidRDefault="0049557E" w14:paraId="5CE0FAB9" w14:textId="77777777">
      <w:pPr>
        <w:rPr>
          <w:rFonts w:ascii="Calibri" w:hAnsi="Calibri" w:cs="Calibri"/>
        </w:rPr>
      </w:pPr>
    </w:p>
    <w:p w:rsidRPr="00991EBD" w:rsidR="0049557E" w:rsidP="0049557E" w:rsidRDefault="0049557E" w14:paraId="3DFF7575" w14:textId="77777777">
      <w:pPr>
        <w:rPr>
          <w:rFonts w:ascii="Calibri" w:hAnsi="Calibri" w:cs="Calibri"/>
        </w:rPr>
      </w:pPr>
    </w:p>
    <w:p w:rsidRPr="00991EBD" w:rsidR="0049557E" w:rsidP="0049557E" w:rsidRDefault="0049557E" w14:paraId="0C49D2B6" w14:textId="77777777">
      <w:pPr>
        <w:rPr>
          <w:rFonts w:ascii="Calibri" w:hAnsi="Calibri" w:cs="Calibri"/>
        </w:rPr>
      </w:pPr>
    </w:p>
    <w:p w:rsidRPr="00991EBD" w:rsidR="0049557E" w:rsidP="0049557E" w:rsidRDefault="0049557E" w14:paraId="0725555B" w14:textId="77777777">
      <w:pPr>
        <w:rPr>
          <w:rFonts w:ascii="Calibri" w:hAnsi="Calibri" w:cs="Calibri"/>
          <w:b/>
          <w:bCs/>
          <w:u w:val="single"/>
        </w:rPr>
      </w:pPr>
      <w:r w:rsidRPr="00991EBD">
        <w:rPr>
          <w:rFonts w:ascii="Calibri" w:hAnsi="Calibri" w:cs="Calibri"/>
          <w:b/>
          <w:bCs/>
          <w:u w:val="single"/>
        </w:rPr>
        <w:br w:type="page"/>
      </w:r>
    </w:p>
    <w:p w:rsidRPr="00991EBD" w:rsidR="0049557E" w:rsidP="0049557E" w:rsidRDefault="0049557E" w14:paraId="3E48313E" w14:textId="77777777">
      <w:pPr>
        <w:rPr>
          <w:rFonts w:ascii="Calibri" w:hAnsi="Calibri" w:cs="Calibri"/>
          <w:b/>
          <w:bCs/>
          <w:u w:val="single"/>
        </w:rPr>
      </w:pPr>
      <w:r w:rsidRPr="00991EBD">
        <w:rPr>
          <w:rFonts w:ascii="Calibri" w:hAnsi="Calibri" w:cs="Calibri"/>
          <w:b/>
          <w:bCs/>
          <w:u w:val="single"/>
        </w:rPr>
        <w:lastRenderedPageBreak/>
        <w:t xml:space="preserve">Verslag Telecomraad </w:t>
      </w:r>
    </w:p>
    <w:p w:rsidRPr="00991EBD" w:rsidR="0049557E" w:rsidP="0049557E" w:rsidRDefault="0049557E" w14:paraId="7295DF4D" w14:textId="77777777">
      <w:pPr>
        <w:rPr>
          <w:rFonts w:ascii="Calibri" w:hAnsi="Calibri" w:cs="Calibri"/>
          <w:b/>
          <w:bCs/>
          <w:u w:val="single"/>
        </w:rPr>
      </w:pPr>
    </w:p>
    <w:p w:rsidRPr="00991EBD" w:rsidR="0049557E" w:rsidP="0049557E" w:rsidRDefault="0049557E" w14:paraId="7AA48D9F" w14:textId="77777777">
      <w:pPr>
        <w:rPr>
          <w:rFonts w:ascii="Calibri" w:hAnsi="Calibri" w:cs="Calibri"/>
          <w:b/>
          <w:bCs/>
        </w:rPr>
      </w:pPr>
      <w:r w:rsidRPr="00991EBD">
        <w:rPr>
          <w:rFonts w:ascii="Calibri" w:hAnsi="Calibri" w:cs="Calibri"/>
          <w:b/>
          <w:bCs/>
        </w:rPr>
        <w:t>Raadsconclusies EU Concurrentievermogen in het Digitale Decennium</w:t>
      </w:r>
    </w:p>
    <w:p w:rsidRPr="00991EBD" w:rsidR="0049557E" w:rsidP="0049557E" w:rsidRDefault="0049557E" w14:paraId="15DA0852" w14:textId="77777777">
      <w:pPr>
        <w:rPr>
          <w:rFonts w:ascii="Calibri" w:hAnsi="Calibri" w:cs="Calibri"/>
        </w:rPr>
      </w:pPr>
      <w:r w:rsidRPr="00991EBD">
        <w:rPr>
          <w:rFonts w:ascii="Calibri" w:hAnsi="Calibri" w:cs="Calibri"/>
        </w:rPr>
        <w:t>Tijdens de Telecomraad zijn de Raadsconclusies EU Concurrentievermogen in het Digitale Decennium unaniem aangenomen. De Raadsconclusies geven richting aan de aankomende evaluatie en mogelijke aanpassing van het Europese beleidsprogramma ‘Het Digitale Decennium’ (Digital Decade).</w:t>
      </w:r>
    </w:p>
    <w:p w:rsidRPr="00991EBD" w:rsidR="0049557E" w:rsidP="0049557E" w:rsidRDefault="0049557E" w14:paraId="687DF97E" w14:textId="77777777">
      <w:pPr>
        <w:rPr>
          <w:rFonts w:ascii="Calibri" w:hAnsi="Calibri" w:cs="Calibri"/>
        </w:rPr>
      </w:pPr>
    </w:p>
    <w:p w:rsidRPr="00991EBD" w:rsidR="0049557E" w:rsidP="0049557E" w:rsidRDefault="0049557E" w14:paraId="43D95075" w14:textId="77777777">
      <w:pPr>
        <w:rPr>
          <w:rFonts w:ascii="Calibri" w:hAnsi="Calibri" w:cs="Calibri"/>
        </w:rPr>
      </w:pPr>
      <w:r w:rsidRPr="00991EBD">
        <w:rPr>
          <w:rFonts w:ascii="Calibri" w:hAnsi="Calibri" w:cs="Calibri"/>
        </w:rPr>
        <w:t>Nederland benadrukte dat de raadsconclusies een belangrijke eerste stap zijn bij de herziening van het Europese beleidsprogramma ‘Het Digitale Decennium’. De extra aandacht voor innovatie, digitale vaardigheden en vereenvoudiging van regelgeving om de Europese strategische autonomie te verbeteren, ziet het kabinet als positief.</w:t>
      </w:r>
    </w:p>
    <w:p w:rsidRPr="00991EBD" w:rsidR="0049557E" w:rsidP="0049557E" w:rsidRDefault="0049557E" w14:paraId="02F071BF" w14:textId="77777777">
      <w:pPr>
        <w:rPr>
          <w:rFonts w:ascii="Calibri" w:hAnsi="Calibri" w:cs="Calibri"/>
        </w:rPr>
      </w:pPr>
    </w:p>
    <w:p w:rsidRPr="00991EBD" w:rsidR="0049557E" w:rsidP="0049557E" w:rsidRDefault="0049557E" w14:paraId="5D486CAC" w14:textId="77777777">
      <w:pPr>
        <w:rPr>
          <w:rFonts w:ascii="Calibri" w:hAnsi="Calibri" w:cs="Calibri"/>
        </w:rPr>
      </w:pPr>
      <w:r w:rsidRPr="00991EBD">
        <w:rPr>
          <w:rFonts w:ascii="Calibri" w:hAnsi="Calibri" w:cs="Calibri"/>
        </w:rPr>
        <w:t xml:space="preserve">De Europese lidstaten verwelkomden de Raadsconclusies en waren eveneens positief over belangrijke aspecten, zoals het belang van investeringen in het digitale domein en het identificeren van belangrijke sleuteltechnologieën. Een aantal lidstaten sprak steun uit voor het benadrukken van digitale soevereiniteit op een open manier. De Raadsconclusies werden genoemd als een goede basis voor het verbeteren van de Europese concurrentievermogen. De roep om vereenvoudiging van Europese regelgeving werd breed onderschreven door meerdere lidstaten. De Europese Commissie benoemde daarnaast dat de herziening van het Europese beleidsprogramma ‘Het Digitale Decennium’ een unieke mogelijkheid biedt voor coherente implementatie en actualisatie als daar naar aanleiding van snelle geopolitieke en technologische ontwikkelingen noodzaak toe is. </w:t>
      </w:r>
    </w:p>
    <w:p w:rsidRPr="00991EBD" w:rsidR="0049557E" w:rsidP="0049557E" w:rsidRDefault="0049557E" w14:paraId="3E7DFCD8" w14:textId="77777777">
      <w:pPr>
        <w:rPr>
          <w:rFonts w:ascii="Calibri" w:hAnsi="Calibri" w:cs="Calibri"/>
        </w:rPr>
      </w:pPr>
    </w:p>
    <w:p w:rsidRPr="00991EBD" w:rsidR="0049557E" w:rsidP="0049557E" w:rsidRDefault="0049557E" w14:paraId="0259CCB4" w14:textId="77777777">
      <w:pPr>
        <w:rPr>
          <w:rFonts w:ascii="Calibri" w:hAnsi="Calibri" w:cs="Calibri"/>
        </w:rPr>
      </w:pPr>
      <w:r w:rsidRPr="00991EBD">
        <w:rPr>
          <w:rFonts w:ascii="Calibri" w:hAnsi="Calibri" w:cs="Calibri"/>
        </w:rPr>
        <w:t>De Europese Commissie verwelkomde de raadsconclusies en de nadruk op versterking van het lange termijnconcurrentievermogen evenals het belang van digitale soevereiniteit. De Raadsconclusies zullen volgens de Commissie verder worden gebruikt om strategisch richting te geven aan deze herziening en om een aantal sleuteltechnologieën te identificeren en te prioriteren. De Commissie noemde het Meerjarig Financieel Kader als instrument om de Digital Decade aan te koppelen. Zo kan de Commissie gericht investeringen in het digitale domein aanjagen.</w:t>
      </w:r>
    </w:p>
    <w:p w:rsidRPr="00991EBD" w:rsidR="0049557E" w:rsidP="0049557E" w:rsidRDefault="0049557E" w14:paraId="4A0ECDE3" w14:textId="77777777">
      <w:pPr>
        <w:rPr>
          <w:rFonts w:ascii="Calibri" w:hAnsi="Calibri" w:cs="Calibri"/>
        </w:rPr>
      </w:pPr>
    </w:p>
    <w:p w:rsidRPr="00991EBD" w:rsidR="0049557E" w:rsidP="0049557E" w:rsidRDefault="0049557E" w14:paraId="34FD55A9" w14:textId="77777777">
      <w:pPr>
        <w:rPr>
          <w:rFonts w:ascii="Calibri" w:hAnsi="Calibri" w:cs="Calibri"/>
          <w:b/>
          <w:bCs/>
        </w:rPr>
      </w:pPr>
      <w:r w:rsidRPr="00991EBD">
        <w:rPr>
          <w:rFonts w:ascii="Calibri" w:hAnsi="Calibri" w:cs="Calibri"/>
          <w:b/>
          <w:bCs/>
        </w:rPr>
        <w:t>Beleidsdebat regeldrukvermindering</w:t>
      </w:r>
    </w:p>
    <w:p w:rsidRPr="00991EBD" w:rsidR="0049557E" w:rsidP="0049557E" w:rsidRDefault="0049557E" w14:paraId="75CBF6DA" w14:textId="77777777">
      <w:pPr>
        <w:rPr>
          <w:rFonts w:ascii="Calibri" w:hAnsi="Calibri" w:cs="Calibri"/>
        </w:rPr>
      </w:pPr>
      <w:r w:rsidRPr="00991EBD">
        <w:rPr>
          <w:rFonts w:ascii="Calibri" w:hAnsi="Calibri" w:cs="Calibri"/>
        </w:rPr>
        <w:t xml:space="preserve">Het Deense voorzitterschap organiseerde tijdens de Raad een beleidsdebat over regeldrukvermindering in het digitale </w:t>
      </w:r>
      <w:proofErr w:type="spellStart"/>
      <w:r w:rsidRPr="00991EBD">
        <w:rPr>
          <w:rFonts w:ascii="Calibri" w:hAnsi="Calibri" w:cs="Calibri"/>
        </w:rPr>
        <w:t>acquis</w:t>
      </w:r>
      <w:proofErr w:type="spellEnd"/>
      <w:r w:rsidRPr="00991EBD">
        <w:rPr>
          <w:rFonts w:ascii="Calibri" w:hAnsi="Calibri" w:cs="Calibri"/>
        </w:rPr>
        <w:t xml:space="preserve">. Dit debat vond plaats op een tijdig moment, omdat de Commissie op 19 november haar Digital Package (digitaal pakket) heeft gepresenteerd. Dit pakket bevat onder andere een Digitale Omnibus en de aankondiging van een </w:t>
      </w:r>
      <w:r w:rsidRPr="00991EBD">
        <w:rPr>
          <w:rFonts w:ascii="Calibri" w:hAnsi="Calibri" w:cs="Calibri"/>
          <w:i/>
          <w:iCs/>
        </w:rPr>
        <w:t xml:space="preserve">Digital Fitness Check. </w:t>
      </w:r>
      <w:r w:rsidRPr="00991EBD">
        <w:rPr>
          <w:rFonts w:ascii="Calibri" w:hAnsi="Calibri" w:cs="Calibri"/>
        </w:rPr>
        <w:t xml:space="preserve">Het beleidsdebat gaf EU-lidstaten de kans om in dit kader op regeldrukvermindering in het digitale domein te reflecteren, zonder vooruit te lopen op de onderhandelingen over de Digitale Omnibus. Ook werd gevraagd naar de belangrijkste problemen om te adresseren in de </w:t>
      </w:r>
      <w:r w:rsidRPr="00991EBD">
        <w:rPr>
          <w:rFonts w:ascii="Calibri" w:hAnsi="Calibri" w:cs="Calibri"/>
          <w:i/>
          <w:iCs/>
        </w:rPr>
        <w:t>Digital Fitness</w:t>
      </w:r>
      <w:r w:rsidRPr="00991EBD">
        <w:rPr>
          <w:rFonts w:ascii="Calibri" w:hAnsi="Calibri" w:cs="Calibri"/>
        </w:rPr>
        <w:t xml:space="preserve"> </w:t>
      </w:r>
      <w:r w:rsidRPr="00991EBD">
        <w:rPr>
          <w:rFonts w:ascii="Calibri" w:hAnsi="Calibri" w:cs="Calibri"/>
          <w:i/>
          <w:iCs/>
        </w:rPr>
        <w:t>Check,</w:t>
      </w:r>
      <w:r w:rsidRPr="00991EBD">
        <w:rPr>
          <w:rFonts w:ascii="Calibri" w:hAnsi="Calibri" w:cs="Calibri"/>
        </w:rPr>
        <w:t xml:space="preserve"> zoals maatregelen om de implementatie- en handhavingslasten voor bedrijven en autoriteiten te verlagen. </w:t>
      </w:r>
    </w:p>
    <w:p w:rsidRPr="00991EBD" w:rsidR="0049557E" w:rsidP="0049557E" w:rsidRDefault="0049557E" w14:paraId="2CCA0DD2" w14:textId="77777777">
      <w:pPr>
        <w:rPr>
          <w:rFonts w:ascii="Calibri" w:hAnsi="Calibri" w:cs="Calibri"/>
        </w:rPr>
      </w:pPr>
    </w:p>
    <w:p w:rsidRPr="00991EBD" w:rsidR="0049557E" w:rsidP="0049557E" w:rsidRDefault="0049557E" w14:paraId="5E80F83F" w14:textId="77777777">
      <w:pPr>
        <w:rPr>
          <w:rFonts w:ascii="Calibri" w:hAnsi="Calibri" w:cs="Calibri"/>
        </w:rPr>
      </w:pPr>
      <w:r w:rsidRPr="00991EBD">
        <w:rPr>
          <w:rFonts w:ascii="Calibri" w:hAnsi="Calibri" w:cs="Calibri"/>
        </w:rPr>
        <w:lastRenderedPageBreak/>
        <w:t xml:space="preserve">Er was onder lidstaten veel waardering voor de inspanningen van de Commissie om ook in het digitale domein de regeldruk te adresseren. Verschillende lidstaten onderstreepten dat regeldrukvermindering niet mag leiden tot deregulering en dat er – in lijn met het Nederlandse standpunt – voldoende aandacht moet zijn voor fundamentele rechten en databescherming. Tevens werd het belang van rechtszekerheid voor het bedrijfsleven – onder andere in het kader van de voorstellen in de omnibus over de AI-verordening– door meerdere EU-lidstaten aangehaald. Daarnaast riepen verschillende lidstaten de Commissie op om terughoudend te zijn met nieuwe regelgeving en om dit consistent gepaard te laten gaan met een impact assessment en betrokkenheid van belanghebbenden. </w:t>
      </w:r>
    </w:p>
    <w:p w:rsidRPr="00991EBD" w:rsidR="0049557E" w:rsidP="0049557E" w:rsidRDefault="0049557E" w14:paraId="14C06341" w14:textId="77777777">
      <w:pPr>
        <w:rPr>
          <w:rFonts w:ascii="Calibri" w:hAnsi="Calibri" w:cs="Calibri"/>
        </w:rPr>
      </w:pPr>
    </w:p>
    <w:p w:rsidRPr="00991EBD" w:rsidR="0049557E" w:rsidP="0049557E" w:rsidRDefault="0049557E" w14:paraId="33AC6A57" w14:textId="77777777">
      <w:pPr>
        <w:rPr>
          <w:rFonts w:ascii="Calibri" w:hAnsi="Calibri" w:cs="Calibri"/>
        </w:rPr>
      </w:pPr>
      <w:r w:rsidRPr="00991EBD">
        <w:rPr>
          <w:rFonts w:ascii="Calibri" w:hAnsi="Calibri" w:cs="Calibri"/>
        </w:rPr>
        <w:t xml:space="preserve">De Europese Commissie onderstreepte het belang van de Digitale Omnibus. Zij beargumenteerde dat de kernprincipes van het digitale </w:t>
      </w:r>
      <w:proofErr w:type="spellStart"/>
      <w:r w:rsidRPr="00991EBD">
        <w:rPr>
          <w:rFonts w:ascii="Calibri" w:hAnsi="Calibri" w:cs="Calibri"/>
        </w:rPr>
        <w:t>acquis</w:t>
      </w:r>
      <w:proofErr w:type="spellEnd"/>
      <w:r w:rsidRPr="00991EBD">
        <w:rPr>
          <w:rFonts w:ascii="Calibri" w:hAnsi="Calibri" w:cs="Calibri"/>
        </w:rPr>
        <w:t xml:space="preserve"> overeind blijven. Het doel van de omnibus is het verminderen van administratieve lasten en het vergroten van de rechtszekerheid. Daartoe riep zij het aankomend Cypriotisch voorzitterschap op tot snelheid met de onderhandelingen over de aan de AI-verordening gerelateerde onderdelen van de omnibus. Daarnaast benoemde de Commissie het belang van het voorstel voor een </w:t>
      </w:r>
      <w:r w:rsidRPr="00991EBD">
        <w:rPr>
          <w:rFonts w:ascii="Calibri" w:hAnsi="Calibri" w:cs="Calibri"/>
          <w:i/>
          <w:iCs/>
        </w:rPr>
        <w:t xml:space="preserve">European Business Wallet </w:t>
      </w:r>
      <w:r w:rsidRPr="00991EBD">
        <w:rPr>
          <w:rFonts w:ascii="Calibri" w:hAnsi="Calibri" w:cs="Calibri"/>
        </w:rPr>
        <w:t xml:space="preserve">om regeldruk te verminderen. </w:t>
      </w:r>
    </w:p>
    <w:p w:rsidRPr="00991EBD" w:rsidR="0049557E" w:rsidP="0049557E" w:rsidRDefault="0049557E" w14:paraId="78784825" w14:textId="77777777">
      <w:pPr>
        <w:rPr>
          <w:rFonts w:ascii="Calibri" w:hAnsi="Calibri" w:cs="Calibri"/>
        </w:rPr>
      </w:pPr>
    </w:p>
    <w:p w:rsidRPr="00991EBD" w:rsidR="0049557E" w:rsidP="0049557E" w:rsidRDefault="0049557E" w14:paraId="3974AAA7" w14:textId="77777777">
      <w:pPr>
        <w:rPr>
          <w:rFonts w:ascii="Calibri" w:hAnsi="Calibri" w:cs="Calibri"/>
        </w:rPr>
      </w:pPr>
      <w:r w:rsidRPr="00991EBD">
        <w:rPr>
          <w:rFonts w:ascii="Calibri" w:hAnsi="Calibri" w:cs="Calibri"/>
        </w:rPr>
        <w:t>Nederland gaf in de interventie aan de Digitale Omnibus te verwelkomen, maar vroeg ook aandacht voor enkele zorgpunten. Zo gaf Nederland aan dat het erop lijkt dat de voorgestelde wijzigingen aan de AVG fundamenteel van aard zijn en verder gaan dan alleen vereenvoudiging. Verder heeft Nederland ingebracht grote zorgen te hebben over de oprichting van een centraal Europees meldpunt voor het melden van cybersecurity incidenten. Tenslotte heeft Nederland ingebracht dat het één duidelijke, vaste toepassingsdatum voor de AI-verordening prefereert, omdat  dat meer duidelijkheid en zekerheid biedt dan de voorgestelde variabele termijnen.</w:t>
      </w:r>
    </w:p>
    <w:p w:rsidRPr="00991EBD" w:rsidR="0049557E" w:rsidP="0049557E" w:rsidRDefault="0049557E" w14:paraId="4BC3A235" w14:textId="77777777">
      <w:pPr>
        <w:rPr>
          <w:rFonts w:ascii="Calibri" w:hAnsi="Calibri" w:cs="Calibri"/>
        </w:rPr>
      </w:pPr>
    </w:p>
    <w:p w:rsidRPr="00991EBD" w:rsidR="0049557E" w:rsidP="0049557E" w:rsidRDefault="0049557E" w14:paraId="2B32A76B" w14:textId="77777777">
      <w:pPr>
        <w:rPr>
          <w:rFonts w:ascii="Calibri" w:hAnsi="Calibri" w:cs="Calibri"/>
          <w:b/>
          <w:bCs/>
        </w:rPr>
      </w:pPr>
      <w:r w:rsidRPr="00991EBD">
        <w:rPr>
          <w:rFonts w:ascii="Calibri" w:hAnsi="Calibri" w:cs="Calibri"/>
          <w:b/>
          <w:bCs/>
        </w:rPr>
        <w:t>Beleidsdebat over handhaving van de Digitale Dienstenverordening en E-commerce</w:t>
      </w:r>
    </w:p>
    <w:p w:rsidRPr="00991EBD" w:rsidR="0049557E" w:rsidP="0049557E" w:rsidRDefault="0049557E" w14:paraId="514D7761" w14:textId="77777777">
      <w:pPr>
        <w:rPr>
          <w:rFonts w:ascii="Calibri" w:hAnsi="Calibri" w:cs="Calibri"/>
        </w:rPr>
      </w:pPr>
      <w:r w:rsidRPr="00991EBD">
        <w:rPr>
          <w:rFonts w:ascii="Calibri" w:hAnsi="Calibri" w:cs="Calibri"/>
        </w:rPr>
        <w:t xml:space="preserve">Het Deens voorzitterschap organiseerde tijdens de Telecomraad een beleidsdebat over handhaving van de digitale dienstenverordening (DSA) en e-commerce. Naar aanleiding van recente incidenten in verschillende EU-Lidstaten met het aanbod van illegale producten op platforms uit derde landen, werd dit onderwerp geagendeerd voor bespreking op de Raad. </w:t>
      </w:r>
    </w:p>
    <w:p w:rsidRPr="00991EBD" w:rsidR="0049557E" w:rsidP="0049557E" w:rsidRDefault="0049557E" w14:paraId="23E9B755" w14:textId="77777777">
      <w:pPr>
        <w:rPr>
          <w:rFonts w:ascii="Calibri" w:hAnsi="Calibri" w:cs="Calibri"/>
        </w:rPr>
      </w:pPr>
    </w:p>
    <w:p w:rsidRPr="00991EBD" w:rsidR="0049557E" w:rsidP="0049557E" w:rsidRDefault="0049557E" w14:paraId="582AEB5A" w14:textId="77777777">
      <w:pPr>
        <w:rPr>
          <w:rFonts w:ascii="Calibri" w:hAnsi="Calibri" w:cs="Calibri"/>
        </w:rPr>
      </w:pPr>
      <w:r w:rsidRPr="00991EBD">
        <w:rPr>
          <w:rFonts w:ascii="Calibri" w:hAnsi="Calibri" w:cs="Calibri"/>
        </w:rPr>
        <w:t xml:space="preserve">De Europese Commissie vroeg de lidstaten naar hun grootste zorg rondom grote online platforms en de coördinatie tussen nationaal en Europees beleid. De Commissie noemde daarnaast de aangekondigde boete voor het sociale medium X en de extra opgelegde eisen voor online platform </w:t>
      </w:r>
      <w:proofErr w:type="spellStart"/>
      <w:r w:rsidRPr="00991EBD">
        <w:rPr>
          <w:rFonts w:ascii="Calibri" w:hAnsi="Calibri" w:cs="Calibri"/>
        </w:rPr>
        <w:t>TikTok</w:t>
      </w:r>
      <w:proofErr w:type="spellEnd"/>
      <w:r w:rsidRPr="00991EBD">
        <w:rPr>
          <w:rFonts w:ascii="Calibri" w:hAnsi="Calibri" w:cs="Calibri"/>
        </w:rPr>
        <w:t xml:space="preserve">. Het belang van snel en effectief handelen in deze casussen en de Digitale Dienstenverordening wordt hierin cruciaal genoemd door de Commissie. </w:t>
      </w:r>
    </w:p>
    <w:p w:rsidRPr="00991EBD" w:rsidR="0049557E" w:rsidP="0049557E" w:rsidRDefault="0049557E" w14:paraId="0193D3BC" w14:textId="77777777">
      <w:pPr>
        <w:rPr>
          <w:rFonts w:ascii="Calibri" w:hAnsi="Calibri" w:cs="Calibri"/>
        </w:rPr>
      </w:pPr>
    </w:p>
    <w:p w:rsidRPr="00991EBD" w:rsidR="0049557E" w:rsidP="0049557E" w:rsidRDefault="0049557E" w14:paraId="1F2E8653" w14:textId="77777777">
      <w:pPr>
        <w:rPr>
          <w:rFonts w:ascii="Calibri" w:hAnsi="Calibri" w:cs="Calibri"/>
        </w:rPr>
      </w:pPr>
      <w:r w:rsidRPr="00991EBD">
        <w:rPr>
          <w:rFonts w:ascii="Calibri" w:hAnsi="Calibri" w:cs="Calibri"/>
        </w:rPr>
        <w:t xml:space="preserve">Verschillende lidstaten gaven in het debat aan dat handhaving van de DSA van groot belang is om consumenten te beschermen tegen onveilige of illegale producten. In de discussie kwam naar voren dat ten behoeve van een gelijk speelveld, de DSA zowel voor Europese bedrijven, als bedrijven vanuit derde landen uniform gehandhaafd moet kunnen worden. Verschillende lidstaten gaven daarbij aan dat er betere afstemming moet zijn tussen de DSA, douanewetgeving en e-commercewetgeving. </w:t>
      </w:r>
      <w:r w:rsidRPr="00991EBD">
        <w:rPr>
          <w:rFonts w:ascii="Calibri" w:hAnsi="Calibri" w:cs="Calibri"/>
        </w:rPr>
        <w:lastRenderedPageBreak/>
        <w:t xml:space="preserve">Waar sommige EU-Lidstaten strengere handhaving richting bedrijven uit derde landen bepleitten, gaven andere EU-lidstaten – waaronder Nederland – aan dat strengere regels, gelet op het beginsel van non-discriminatie, ook voor EU-bedrijven zouden gelden en daarmee de regeldruk verhogen. Nederland gaf, evenals andere EU-Lidstaten, ook aan dat handhaving van de DSA van groot belang is voor een goed functionerende en veilige Europese markt en verwelkomde de onderzoeken die de Europese Commissie onder de DSA uitvoert. </w:t>
      </w:r>
    </w:p>
    <w:p w:rsidRPr="00991EBD" w:rsidR="0049557E" w:rsidP="0049557E" w:rsidRDefault="0049557E" w14:paraId="56E3EC61" w14:textId="77777777">
      <w:pPr>
        <w:rPr>
          <w:rFonts w:ascii="Calibri" w:hAnsi="Calibri" w:cs="Calibri"/>
        </w:rPr>
      </w:pPr>
    </w:p>
    <w:p w:rsidRPr="00991EBD" w:rsidR="0049557E" w:rsidP="0049557E" w:rsidRDefault="0049557E" w14:paraId="00F01C7F" w14:textId="77777777">
      <w:pPr>
        <w:rPr>
          <w:rFonts w:ascii="Calibri" w:hAnsi="Calibri" w:cs="Calibri"/>
          <w:b/>
          <w:bCs/>
        </w:rPr>
      </w:pPr>
      <w:r w:rsidRPr="00991EBD">
        <w:rPr>
          <w:rFonts w:ascii="Calibri" w:hAnsi="Calibri" w:cs="Calibri"/>
          <w:b/>
          <w:bCs/>
        </w:rPr>
        <w:t>Beleidsdebat over cyberveiligheid</w:t>
      </w:r>
    </w:p>
    <w:p w:rsidRPr="00991EBD" w:rsidR="0049557E" w:rsidP="0049557E" w:rsidRDefault="0049557E" w14:paraId="1681E871" w14:textId="77777777">
      <w:pPr>
        <w:rPr>
          <w:rFonts w:ascii="Calibri" w:hAnsi="Calibri" w:cs="Calibri"/>
        </w:rPr>
      </w:pPr>
      <w:r w:rsidRPr="00991EBD">
        <w:rPr>
          <w:rFonts w:ascii="Calibri" w:hAnsi="Calibri" w:cs="Calibri"/>
        </w:rPr>
        <w:t>In besloten setting besprak de Raad het versterken van de weerbaarheid van de EU tegen cyberaanvallen. Verschillende lidstaten onderstreepten het belang van het delen van geleerde lessen over het optreden tegen cyberaanvallen. Ook werd besproken hoe cybersecurity beter geïntegreerd kan worden in digitaal beleid en in de bredere EU-aanpak ten aanzien van weerbaarheid en paraatheid. Nederland heeft eveneens het delen van geleerde lessen over cyberaanvallen tussen EU-Lidstaten benadrukt en gaf aan dat cyberveiligheid </w:t>
      </w:r>
      <w:proofErr w:type="spellStart"/>
      <w:r w:rsidRPr="00991EBD">
        <w:rPr>
          <w:rFonts w:ascii="Calibri" w:hAnsi="Calibri" w:cs="Calibri"/>
          <w:i/>
          <w:iCs/>
        </w:rPr>
        <w:t>by</w:t>
      </w:r>
      <w:proofErr w:type="spellEnd"/>
      <w:r w:rsidRPr="00991EBD">
        <w:rPr>
          <w:rFonts w:ascii="Calibri" w:hAnsi="Calibri" w:cs="Calibri"/>
          <w:i/>
          <w:iCs/>
        </w:rPr>
        <w:t> design</w:t>
      </w:r>
      <w:r w:rsidRPr="00991EBD">
        <w:rPr>
          <w:rFonts w:ascii="Calibri" w:hAnsi="Calibri" w:cs="Calibri"/>
        </w:rPr>
        <w:t xml:space="preserve"> cruciaal is vandaag de dag, nu bedrijven nauwelijks nog onafhankelijk van elkaar kunnen opereren in het digitale domein door grote verwevenheid van processen, systemen en netwerken. </w:t>
      </w:r>
    </w:p>
    <w:p w:rsidRPr="00991EBD" w:rsidR="0049557E" w:rsidP="0049557E" w:rsidRDefault="0049557E" w14:paraId="10BEE24A" w14:textId="77777777">
      <w:pPr>
        <w:rPr>
          <w:rFonts w:ascii="Calibri" w:hAnsi="Calibri" w:cs="Calibri"/>
        </w:rPr>
      </w:pPr>
    </w:p>
    <w:p w:rsidRPr="00991EBD" w:rsidR="0049557E" w:rsidP="0049557E" w:rsidRDefault="0049557E" w14:paraId="05FBE872" w14:textId="77777777">
      <w:pPr>
        <w:rPr>
          <w:rFonts w:ascii="Calibri" w:hAnsi="Calibri" w:cs="Calibri"/>
          <w:b/>
          <w:bCs/>
        </w:rPr>
      </w:pPr>
      <w:r w:rsidRPr="00991EBD">
        <w:rPr>
          <w:rFonts w:ascii="Calibri" w:hAnsi="Calibri" w:cs="Calibri"/>
          <w:b/>
          <w:bCs/>
        </w:rPr>
        <w:t>Diversenpunt over EU Business Wallet</w:t>
      </w:r>
    </w:p>
    <w:p w:rsidRPr="00991EBD" w:rsidR="0049557E" w:rsidP="0049557E" w:rsidRDefault="0049557E" w14:paraId="2C11180C" w14:textId="77777777">
      <w:pPr>
        <w:rPr>
          <w:rFonts w:ascii="Calibri" w:hAnsi="Calibri" w:cs="Calibri"/>
        </w:rPr>
      </w:pPr>
      <w:r w:rsidRPr="00991EBD">
        <w:rPr>
          <w:rFonts w:ascii="Calibri" w:hAnsi="Calibri" w:cs="Calibri"/>
        </w:rPr>
        <w:t xml:space="preserve">De Raad sprak over de EU Business Wallet, die onderdeel uitmaakt van het op 19 november jl. gepubliceerde Digitaal Pakket. De Europese Commissie trapte af met een presentatie over het voorstel. Een aanzienlijke meerderheid van de lidstaten verwelkomde het voorstel om wetgeving te vereenvoudigen en procedures te stroomlijnen. Tegelijkertijd vroegen meerdere EU-Lidstaten aandacht voor mogelijke overlap met nationale instrumenten en riepen daarom op tot verduidelijking van het voorstel. Ook bekritiseerden enkelen het voorstel om een apart systeem te bouwen voor natuurlijke en rechtspersonen. Nederland verwelkomde het voorstel om de administratieve procedures voor bedrijven te vereenvoudigen, maar benadrukte tegelijkertijd het belang van een goede standaard voor de privacy-, veiligheids-, betrouwbaarheids- en </w:t>
      </w:r>
      <w:proofErr w:type="spellStart"/>
      <w:r w:rsidRPr="00991EBD">
        <w:rPr>
          <w:rFonts w:ascii="Calibri" w:hAnsi="Calibri" w:cs="Calibri"/>
        </w:rPr>
        <w:t>toezichtsregelingen</w:t>
      </w:r>
      <w:proofErr w:type="spellEnd"/>
      <w:r w:rsidRPr="00991EBD">
        <w:rPr>
          <w:rFonts w:ascii="Calibri" w:hAnsi="Calibri" w:cs="Calibri"/>
        </w:rPr>
        <w:t>. Uw kamer zal verder geïnformeerd worden over het Nederlandse standpunt met een BNC-fiche over de EU Business Wallet, dat u volgens de vaste EU-informatieafspraken volgende week zal ontvangen.</w:t>
      </w:r>
    </w:p>
    <w:p w:rsidRPr="00991EBD" w:rsidR="0049557E" w:rsidP="0049557E" w:rsidRDefault="0049557E" w14:paraId="26D45027" w14:textId="77777777">
      <w:pPr>
        <w:rPr>
          <w:rFonts w:ascii="Calibri" w:hAnsi="Calibri" w:cs="Calibri"/>
        </w:rPr>
      </w:pPr>
    </w:p>
    <w:p w:rsidRPr="00991EBD" w:rsidR="0049557E" w:rsidP="0049557E" w:rsidRDefault="0049557E" w14:paraId="3A13A473" w14:textId="77777777">
      <w:pPr>
        <w:rPr>
          <w:rFonts w:ascii="Calibri" w:hAnsi="Calibri" w:cs="Calibri"/>
          <w:b/>
          <w:bCs/>
        </w:rPr>
      </w:pPr>
      <w:r w:rsidRPr="00991EBD">
        <w:rPr>
          <w:rFonts w:ascii="Calibri" w:hAnsi="Calibri" w:cs="Calibri"/>
          <w:b/>
          <w:bCs/>
        </w:rPr>
        <w:t>Diversenpunt over verklaring en Top EU Digitale Soevereiniteit</w:t>
      </w:r>
    </w:p>
    <w:p w:rsidRPr="00991EBD" w:rsidR="0049557E" w:rsidP="0049557E" w:rsidRDefault="0049557E" w14:paraId="1E989B6B" w14:textId="77777777">
      <w:pPr>
        <w:rPr>
          <w:rFonts w:ascii="Calibri" w:hAnsi="Calibri" w:cs="Calibri"/>
        </w:rPr>
      </w:pPr>
      <w:r w:rsidRPr="00991EBD">
        <w:rPr>
          <w:rFonts w:ascii="Calibri" w:hAnsi="Calibri" w:cs="Calibri"/>
        </w:rPr>
        <w:t>De Raad sprak over de Oostenrijkse Verklaring en Frans-Duitse Top over EU Digitale Soevereiniteit. Op 18 november vond die Top plaats in Berlijn. Alle EU-Lidstaten ondertekenden de verklaring en op de top waren 23 EU-Lidstaten aanwezig. De aandacht voor dit thema en de initiatieven voor een verklaring en een Top werden breed verwelkomd tijdens de Telecomraad. In hun interventies benadrukten zij enerzijds het belang van onafhankelijkheid en keuzevrijheid en anderzijds ook de mogelijkheid om vorm te geven aan de ontwikkeling van de digitale omgeving. Nederland verwelkomde de aandacht voor digitale soevereiniteit en benadrukte in die context het belang om onze economieën open te houden en investeringen te richten op een aantal sleuteltechnologieën. De Europese Commissie verwelkomde de initiatieven.</w:t>
      </w:r>
    </w:p>
    <w:p w:rsidRPr="00991EBD" w:rsidR="0049557E" w:rsidP="0049557E" w:rsidRDefault="0049557E" w14:paraId="5F8F2C8A" w14:textId="77777777">
      <w:pPr>
        <w:rPr>
          <w:rFonts w:ascii="Calibri" w:hAnsi="Calibri" w:cs="Calibri"/>
          <w:u w:val="single"/>
        </w:rPr>
      </w:pPr>
    </w:p>
    <w:p w:rsidRPr="00991EBD" w:rsidR="0049557E" w:rsidP="0049557E" w:rsidRDefault="0049557E" w14:paraId="12AC8DB7" w14:textId="77777777">
      <w:pPr>
        <w:rPr>
          <w:rFonts w:ascii="Calibri" w:hAnsi="Calibri" w:cs="Calibri"/>
          <w:b/>
          <w:bCs/>
        </w:rPr>
      </w:pPr>
      <w:r w:rsidRPr="00991EBD">
        <w:rPr>
          <w:rFonts w:ascii="Calibri" w:hAnsi="Calibri" w:cs="Calibri"/>
          <w:b/>
          <w:bCs/>
        </w:rPr>
        <w:t>Overige Diversenpunten</w:t>
      </w:r>
    </w:p>
    <w:p w:rsidRPr="00991EBD" w:rsidR="0049557E" w:rsidP="0049557E" w:rsidRDefault="0049557E" w14:paraId="00C56852" w14:textId="77777777">
      <w:pPr>
        <w:rPr>
          <w:rFonts w:ascii="Calibri" w:hAnsi="Calibri" w:cs="Calibri"/>
          <w:u w:val="single"/>
        </w:rPr>
      </w:pPr>
    </w:p>
    <w:p w:rsidRPr="00991EBD" w:rsidR="0049557E" w:rsidP="0049557E" w:rsidRDefault="0049557E" w14:paraId="303FC62A" w14:textId="77777777">
      <w:pPr>
        <w:rPr>
          <w:rFonts w:ascii="Calibri" w:hAnsi="Calibri" w:cs="Calibri"/>
        </w:rPr>
      </w:pPr>
      <w:r w:rsidRPr="00991EBD">
        <w:rPr>
          <w:rFonts w:ascii="Calibri" w:hAnsi="Calibri" w:cs="Calibri"/>
        </w:rPr>
        <w:t xml:space="preserve">Het Deense Voorzitterschap gaf tijdens de Raad een korte terugkoppeling van de informele Telecomraad van 9 oktober jl. in </w:t>
      </w:r>
      <w:proofErr w:type="spellStart"/>
      <w:r w:rsidRPr="00991EBD">
        <w:rPr>
          <w:rFonts w:ascii="Calibri" w:hAnsi="Calibri" w:cs="Calibri"/>
        </w:rPr>
        <w:t>Horsens</w:t>
      </w:r>
      <w:proofErr w:type="spellEnd"/>
      <w:r w:rsidRPr="00991EBD">
        <w:rPr>
          <w:rFonts w:ascii="Calibri" w:hAnsi="Calibri" w:cs="Calibri"/>
        </w:rPr>
        <w:t xml:space="preserve">, Denemarken. Ook werd stilgestaan bij het financieringsmodel van nationale regelgevende autoriteiten in het licht van groeiende verantwoordelijkheden. Er werd ingegaan op de stand van zaken van de uitbreiding van </w:t>
      </w:r>
      <w:proofErr w:type="spellStart"/>
      <w:r w:rsidRPr="00991EBD">
        <w:rPr>
          <w:rFonts w:ascii="Calibri" w:hAnsi="Calibri" w:cs="Calibri"/>
          <w:i/>
          <w:iCs/>
        </w:rPr>
        <w:t>Roam</w:t>
      </w:r>
      <w:proofErr w:type="spellEnd"/>
      <w:r w:rsidRPr="00991EBD">
        <w:rPr>
          <w:rFonts w:ascii="Calibri" w:hAnsi="Calibri" w:cs="Calibri"/>
          <w:i/>
          <w:iCs/>
        </w:rPr>
        <w:t xml:space="preserve"> like at Home </w:t>
      </w:r>
      <w:r w:rsidRPr="00991EBD">
        <w:rPr>
          <w:rFonts w:ascii="Calibri" w:hAnsi="Calibri" w:cs="Calibri"/>
        </w:rPr>
        <w:t xml:space="preserve">naar Moldavië, Oekraïne en de Westelijke Balkan. De Commissie gaf een terugkoppeling van recente internationale initiatieven op het gebied van digitalisering en er werd aandacht besteed aan de </w:t>
      </w:r>
      <w:r w:rsidRPr="00991EBD">
        <w:rPr>
          <w:rFonts w:ascii="Calibri" w:hAnsi="Calibri" w:cs="Calibri"/>
          <w:i/>
          <w:iCs/>
        </w:rPr>
        <w:t xml:space="preserve">cyber blueprint </w:t>
      </w:r>
      <w:proofErr w:type="spellStart"/>
      <w:r w:rsidRPr="00991EBD">
        <w:rPr>
          <w:rFonts w:ascii="Calibri" w:hAnsi="Calibri" w:cs="Calibri"/>
          <w:i/>
          <w:iCs/>
        </w:rPr>
        <w:t>exercise</w:t>
      </w:r>
      <w:proofErr w:type="spellEnd"/>
      <w:r w:rsidRPr="00991EBD">
        <w:rPr>
          <w:rFonts w:ascii="Calibri" w:hAnsi="Calibri" w:cs="Calibri"/>
        </w:rPr>
        <w:t xml:space="preserve"> om coördinatie in geval van een cybercrisis te versterken. Tot slot vroeg Litouwen aandacht voor een toename van verstoring van </w:t>
      </w:r>
      <w:r w:rsidRPr="00991EBD">
        <w:rPr>
          <w:rFonts w:ascii="Calibri" w:hAnsi="Calibri" w:cs="Calibri"/>
          <w:i/>
          <w:iCs/>
        </w:rPr>
        <w:t xml:space="preserve">Global </w:t>
      </w:r>
      <w:proofErr w:type="spellStart"/>
      <w:r w:rsidRPr="00991EBD">
        <w:rPr>
          <w:rFonts w:ascii="Calibri" w:hAnsi="Calibri" w:cs="Calibri"/>
          <w:i/>
          <w:iCs/>
        </w:rPr>
        <w:t>Navigation</w:t>
      </w:r>
      <w:proofErr w:type="spellEnd"/>
      <w:r w:rsidRPr="00991EBD">
        <w:rPr>
          <w:rFonts w:ascii="Calibri" w:hAnsi="Calibri" w:cs="Calibri"/>
          <w:i/>
          <w:iCs/>
        </w:rPr>
        <w:t xml:space="preserve"> </w:t>
      </w:r>
      <w:proofErr w:type="spellStart"/>
      <w:r w:rsidRPr="00991EBD">
        <w:rPr>
          <w:rFonts w:ascii="Calibri" w:hAnsi="Calibri" w:cs="Calibri"/>
          <w:i/>
          <w:iCs/>
        </w:rPr>
        <w:t>Satellite</w:t>
      </w:r>
      <w:proofErr w:type="spellEnd"/>
      <w:r w:rsidRPr="00991EBD">
        <w:rPr>
          <w:rFonts w:ascii="Calibri" w:hAnsi="Calibri" w:cs="Calibri"/>
          <w:i/>
          <w:iCs/>
        </w:rPr>
        <w:t xml:space="preserve"> Systems</w:t>
      </w:r>
      <w:r w:rsidRPr="00991EBD">
        <w:rPr>
          <w:rFonts w:ascii="Calibri" w:hAnsi="Calibri" w:cs="Calibri"/>
        </w:rPr>
        <w:t xml:space="preserve"> en kreeg steun vanuit EU-Lidstaten over deze zorgelijke ontwikkeling.  </w:t>
      </w:r>
    </w:p>
    <w:p w:rsidRPr="00991EBD" w:rsidR="0049557E" w:rsidP="0049557E" w:rsidRDefault="0049557E" w14:paraId="19A211D4" w14:textId="77777777">
      <w:pPr>
        <w:rPr>
          <w:rFonts w:ascii="Calibri" w:hAnsi="Calibri" w:cs="Calibri"/>
        </w:rPr>
      </w:pPr>
    </w:p>
    <w:p w:rsidRPr="00991EBD" w:rsidR="00F80165" w:rsidRDefault="00F80165" w14:paraId="1650E95A" w14:textId="77777777">
      <w:pPr>
        <w:rPr>
          <w:rFonts w:ascii="Calibri" w:hAnsi="Calibri" w:cs="Calibri"/>
        </w:rPr>
      </w:pPr>
    </w:p>
    <w:sectPr w:rsidRPr="00991EBD" w:rsidR="00F80165" w:rsidSect="00991EB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7E"/>
    <w:rsid w:val="002A647F"/>
    <w:rsid w:val="002B16DA"/>
    <w:rsid w:val="0049557E"/>
    <w:rsid w:val="006E5061"/>
    <w:rsid w:val="00991EBD"/>
    <w:rsid w:val="00DC616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1E7A3"/>
  <w15:chartTrackingRefBased/>
  <w15:docId w15:val="{56A725D9-B506-4499-8BEE-31A3E3154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55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955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9557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9557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9557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9557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557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557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557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557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9557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9557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9557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9557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9557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557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557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557E"/>
    <w:rPr>
      <w:rFonts w:eastAsiaTheme="majorEastAsia" w:cstheme="majorBidi"/>
      <w:color w:val="272727" w:themeColor="text1" w:themeTint="D8"/>
    </w:rPr>
  </w:style>
  <w:style w:type="paragraph" w:styleId="Titel">
    <w:name w:val="Title"/>
    <w:basedOn w:val="Standaard"/>
    <w:next w:val="Standaard"/>
    <w:link w:val="TitelChar"/>
    <w:uiPriority w:val="10"/>
    <w:qFormat/>
    <w:rsid w:val="004955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557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557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557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557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557E"/>
    <w:rPr>
      <w:i/>
      <w:iCs/>
      <w:color w:val="404040" w:themeColor="text1" w:themeTint="BF"/>
    </w:rPr>
  </w:style>
  <w:style w:type="paragraph" w:styleId="Lijstalinea">
    <w:name w:val="List Paragraph"/>
    <w:basedOn w:val="Standaard"/>
    <w:uiPriority w:val="34"/>
    <w:qFormat/>
    <w:rsid w:val="0049557E"/>
    <w:pPr>
      <w:ind w:left="720"/>
      <w:contextualSpacing/>
    </w:pPr>
  </w:style>
  <w:style w:type="character" w:styleId="Intensievebenadrukking">
    <w:name w:val="Intense Emphasis"/>
    <w:basedOn w:val="Standaardalinea-lettertype"/>
    <w:uiPriority w:val="21"/>
    <w:qFormat/>
    <w:rsid w:val="0049557E"/>
    <w:rPr>
      <w:i/>
      <w:iCs/>
      <w:color w:val="0F4761" w:themeColor="accent1" w:themeShade="BF"/>
    </w:rPr>
  </w:style>
  <w:style w:type="paragraph" w:styleId="Duidelijkcitaat">
    <w:name w:val="Intense Quote"/>
    <w:basedOn w:val="Standaard"/>
    <w:next w:val="Standaard"/>
    <w:link w:val="DuidelijkcitaatChar"/>
    <w:uiPriority w:val="30"/>
    <w:qFormat/>
    <w:rsid w:val="004955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9557E"/>
    <w:rPr>
      <w:i/>
      <w:iCs/>
      <w:color w:val="0F4761" w:themeColor="accent1" w:themeShade="BF"/>
    </w:rPr>
  </w:style>
  <w:style w:type="character" w:styleId="Intensieveverwijzing">
    <w:name w:val="Intense Reference"/>
    <w:basedOn w:val="Standaardalinea-lettertype"/>
    <w:uiPriority w:val="32"/>
    <w:qFormat/>
    <w:rsid w:val="0049557E"/>
    <w:rPr>
      <w:b/>
      <w:bCs/>
      <w:smallCaps/>
      <w:color w:val="0F4761" w:themeColor="accent1" w:themeShade="BF"/>
      <w:spacing w:val="5"/>
    </w:rPr>
  </w:style>
  <w:style w:type="paragraph" w:styleId="Geenafstand">
    <w:name w:val="No Spacing"/>
    <w:uiPriority w:val="1"/>
    <w:qFormat/>
    <w:rsid w:val="00991E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fontTable" Target="fontTable.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1692</ap:Words>
  <ap:Characters>9312</ap:Characters>
  <ap:DocSecurity>0</ap:DocSecurity>
  <ap:Lines>77</ap:Lines>
  <ap:Paragraphs>21</ap:Paragraphs>
  <ap:ScaleCrop>false</ap:ScaleCrop>
  <ap:LinksUpToDate>false</ap:LinksUpToDate>
  <ap:CharactersWithSpaces>10983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2026-01-29T15:41:00.0000000Z</dcterms:created>
  <dcterms:modified xsi:type="dcterms:W3CDTF">2026-01-29T15:41:00.0000000Z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