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4AA" w:rsidRDefault="00E954AA" w14:paraId="7276A12D" w14:textId="77777777"/>
    <w:p w:rsidR="00D7204D" w:rsidP="00D7204D" w:rsidRDefault="00D7204D" w14:paraId="4C123DA6" w14:textId="77777777">
      <w:pPr>
        <w:contextualSpacing/>
        <w:rPr>
          <w:b/>
          <w:bCs/>
        </w:rPr>
      </w:pPr>
      <w:r>
        <w:rPr>
          <w:b/>
          <w:bCs/>
        </w:rPr>
        <w:t xml:space="preserve">Bijlage 3 </w:t>
      </w:r>
      <w:r w:rsidRPr="00CB6FCC" w:rsidR="00D823E5">
        <w:rPr>
          <w:rFonts w:cs="Univers"/>
          <w:b/>
          <w:bCs/>
        </w:rPr>
        <w:t>2025-1773387 BRIEF MODERNISERING FORFAITS S&amp;E</w:t>
      </w:r>
      <w:r w:rsidR="00D823E5">
        <w:rPr>
          <w:b/>
          <w:bCs/>
        </w:rPr>
        <w:t xml:space="preserve"> </w:t>
      </w:r>
      <w:r>
        <w:rPr>
          <w:b/>
          <w:bCs/>
        </w:rPr>
        <w:tab/>
      </w:r>
      <w:r>
        <w:rPr>
          <w:b/>
          <w:bCs/>
        </w:rPr>
        <w:tab/>
      </w:r>
      <w:r>
        <w:rPr>
          <w:b/>
          <w:bCs/>
        </w:rPr>
        <w:tab/>
      </w:r>
    </w:p>
    <w:p w:rsidR="00D7204D" w:rsidP="00D7204D" w:rsidRDefault="00D7204D" w14:paraId="72D3DE58" w14:textId="77777777">
      <w:pPr>
        <w:contextualSpacing/>
        <w:jc w:val="both"/>
      </w:pPr>
    </w:p>
    <w:p w:rsidR="0078689A" w:rsidP="00D7204D" w:rsidRDefault="0078689A" w14:paraId="4505DC64" w14:textId="77777777">
      <w:pPr>
        <w:contextualSpacing/>
        <w:jc w:val="both"/>
      </w:pPr>
    </w:p>
    <w:p w:rsidR="0078689A" w:rsidP="00D7204D" w:rsidRDefault="0078689A" w14:paraId="0CE4BD13" w14:textId="77777777">
      <w:pPr>
        <w:contextualSpacing/>
        <w:jc w:val="both"/>
      </w:pPr>
    </w:p>
    <w:p w:rsidR="0078689A" w:rsidP="00D7204D" w:rsidRDefault="0078689A" w14:paraId="3E364616" w14:textId="77777777">
      <w:pPr>
        <w:contextualSpacing/>
        <w:jc w:val="both"/>
      </w:pPr>
    </w:p>
    <w:p w:rsidRPr="00AE2C0B" w:rsidR="00D7204D" w:rsidP="00D7204D" w:rsidRDefault="00D7204D" w14:paraId="432B9F12" w14:textId="77777777">
      <w:pPr>
        <w:pStyle w:val="Lijstalinea"/>
        <w:numPr>
          <w:ilvl w:val="0"/>
          <w:numId w:val="6"/>
        </w:numPr>
        <w:jc w:val="both"/>
        <w:rPr>
          <w:b/>
          <w:bCs/>
        </w:rPr>
      </w:pPr>
      <w:r w:rsidRPr="00AE2C0B">
        <w:rPr>
          <w:b/>
          <w:bCs/>
        </w:rPr>
        <w:t>Inleiding</w:t>
      </w:r>
    </w:p>
    <w:p w:rsidRPr="00A06B09" w:rsidR="00D7204D" w:rsidP="00D7204D" w:rsidRDefault="00D7204D" w14:paraId="7B8250A6" w14:textId="77777777">
      <w:pPr>
        <w:contextualSpacing/>
        <w:jc w:val="both"/>
      </w:pPr>
      <w:r w:rsidRPr="00A06B09">
        <w:t xml:space="preserve">Deze bijlage bevat de verwachte budgettaire effecten die optreden bij het </w:t>
      </w:r>
      <w:r>
        <w:t>moderniseren</w:t>
      </w:r>
      <w:r w:rsidRPr="00A06B09">
        <w:t xml:space="preserve"> van de forfaits in de schenk- en erfbelasting die gebaseerd </w:t>
      </w:r>
      <w:r>
        <w:t xml:space="preserve">zijn </w:t>
      </w:r>
      <w:r w:rsidRPr="00A06B09">
        <w:t>op de levensverwachting en rente (hierna de forfaits). De beoogde datum</w:t>
      </w:r>
      <w:r>
        <w:t xml:space="preserve"> van de modernisering</w:t>
      </w:r>
      <w:r w:rsidRPr="00A06B09">
        <w:t xml:space="preserve"> is 1-1-2028. De</w:t>
      </w:r>
      <w:r>
        <w:t>ze</w:t>
      </w:r>
      <w:r w:rsidRPr="00A06B09">
        <w:t xml:space="preserve"> bijlage richt zich hoofdzakelijk op de budgettaire effecten bij </w:t>
      </w:r>
      <w:proofErr w:type="spellStart"/>
      <w:r w:rsidRPr="00A06B09">
        <w:t>onderbedelingsvorderingen</w:t>
      </w:r>
      <w:proofErr w:type="spellEnd"/>
      <w:r w:rsidRPr="00A06B09">
        <w:t xml:space="preserve"> en papieren schenkingen. Dit zijn de meest voorkomende type</w:t>
      </w:r>
      <w:r>
        <w:t>n</w:t>
      </w:r>
      <w:r w:rsidRPr="00A06B09">
        <w:t xml:space="preserve"> verkrijgingen waar de forfaits worden toegepast. De budgettaire effecten </w:t>
      </w:r>
      <w:r>
        <w:t xml:space="preserve">voor </w:t>
      </w:r>
      <w:r w:rsidRPr="00A06B09">
        <w:t xml:space="preserve">andere toepassingen van de forfaits binnen de schenk- en erfbelasting komen in de laatste paragraaf </w:t>
      </w:r>
      <w:r>
        <w:t xml:space="preserve">(par. 4) </w:t>
      </w:r>
      <w:r w:rsidRPr="00A06B09">
        <w:t>beknopt aan bod.</w:t>
      </w:r>
      <w:r w:rsidR="007341DF">
        <w:t xml:space="preserve"> </w:t>
      </w:r>
      <w:r>
        <w:t>De gemoderniseerde rekenrente per 1-1-2028 is op het moment van schrijven nog onbekend maar wordt op dit moment geraamd op 3%</w:t>
      </w:r>
      <w:r>
        <w:rPr>
          <w:rStyle w:val="Voetnootmarkering"/>
        </w:rPr>
        <w:footnoteReference w:id="1"/>
      </w:r>
      <w:r>
        <w:t xml:space="preserve">. Vóór invoering per 1-1-2028 wordt deze raming geactualiseerd. </w:t>
      </w:r>
      <w:r w:rsidRPr="00C82CDF" w:rsidR="00C82CDF">
        <w:t>De modernisering leidt naar verwachting op transactiebasis tot een structurele budgettaire opbrengst van € 19</w:t>
      </w:r>
      <w:r w:rsidR="00DA26B5">
        <w:t>6</w:t>
      </w:r>
      <w:r w:rsidRPr="00C82CDF" w:rsidR="00C82CDF">
        <w:t xml:space="preserve"> miljoen (tabel </w:t>
      </w:r>
      <w:r w:rsidR="00C82CDF">
        <w:t>1</w:t>
      </w:r>
      <w:r w:rsidRPr="00C82CDF" w:rsidR="00C82CDF">
        <w:t>)</w:t>
      </w:r>
      <w:r w:rsidR="00C82CDF">
        <w:t xml:space="preserve">. </w:t>
      </w:r>
      <w:r w:rsidRPr="00286C5C" w:rsidR="00286C5C">
        <w:t xml:space="preserve">De opbrengst is lastenrelevant. De forfaits zijn lange tijd niet geactualiseerd. Door de forfaits nu te moderniseren en actueel te houden wijzigt het staand beleid. Toekomstige actualisaties zijn niet lastenrelevant, omdat deze voortvloeien uit de huidige keuze om de forfaits te moderniseren en in de toekomst actueel te houden. </w:t>
      </w:r>
      <w:r w:rsidR="00286C5C">
        <w:t xml:space="preserve">Voor papieren schenkingen en rentedragende </w:t>
      </w:r>
      <w:proofErr w:type="spellStart"/>
      <w:r w:rsidR="00286C5C">
        <w:t>onderbedelingsvorderingen</w:t>
      </w:r>
      <w:proofErr w:type="spellEnd"/>
      <w:r w:rsidR="00286C5C">
        <w:t xml:space="preserve"> is h</w:t>
      </w:r>
      <w:r w:rsidRPr="00286C5C" w:rsidR="00286C5C">
        <w:t xml:space="preserve">et lastenrelevante effect de vlakke reeks met dezelfde netto-contante-waarde (tabel </w:t>
      </w:r>
      <w:r w:rsidR="00286C5C">
        <w:t>2</w:t>
      </w:r>
      <w:r w:rsidRPr="00286C5C" w:rsidR="00286C5C">
        <w:t>).</w:t>
      </w:r>
    </w:p>
    <w:p w:rsidR="00D7204D" w:rsidP="00D7204D" w:rsidRDefault="00D7204D" w14:paraId="515CEBB6" w14:textId="77777777">
      <w:pPr>
        <w:contextualSpacing/>
        <w:jc w:val="both"/>
      </w:pPr>
    </w:p>
    <w:p w:rsidRPr="00D43DBA" w:rsidR="00E07B63" w:rsidP="00D7204D" w:rsidRDefault="00D7204D" w14:paraId="74CB853F" w14:textId="77777777">
      <w:pPr>
        <w:keepNext/>
        <w:spacing w:line="240" w:lineRule="auto"/>
        <w:contextualSpacing/>
        <w:rPr>
          <w:rFonts w:eastAsia="Verdana" w:cs="Times New Roman"/>
          <w:bCs/>
          <w:color w:val="4F81BD"/>
        </w:rPr>
      </w:pPr>
      <w:r w:rsidRPr="00E07B63">
        <w:t xml:space="preserve">Tabel </w:t>
      </w:r>
      <w:proofErr w:type="gramStart"/>
      <w:r w:rsidRPr="00E07B63">
        <w:t xml:space="preserve">1  </w:t>
      </w:r>
      <w:r w:rsidRPr="00C82CDF" w:rsidR="00C82CDF">
        <w:t>budgettair</w:t>
      </w:r>
      <w:proofErr w:type="gramEnd"/>
      <w:r w:rsidRPr="00C82CDF" w:rsidR="00C82CDF">
        <w:t xml:space="preserve"> effect (transactiebasis, </w:t>
      </w:r>
      <w:proofErr w:type="spellStart"/>
      <w:r w:rsidRPr="00C82CDF" w:rsidR="00C82CDF">
        <w:t>mln</w:t>
      </w:r>
      <w:proofErr w:type="spellEnd"/>
      <w:r w:rsidRPr="00C82CDF" w:rsidR="00C82CDF">
        <w:t xml:space="preserve"> euro, + is </w:t>
      </w:r>
      <w:proofErr w:type="spellStart"/>
      <w:r w:rsidRPr="00C82CDF" w:rsidR="00C82CDF">
        <w:t>saldoverbeterend</w:t>
      </w:r>
      <w:proofErr w:type="spellEnd"/>
      <w:r w:rsidRPr="00C82CDF" w:rsidR="00C82CDF">
        <w:t xml:space="preserve">) </w:t>
      </w:r>
    </w:p>
    <w:tbl>
      <w:tblPr>
        <w:tblStyle w:val="Lichtelijst-accent111"/>
        <w:tblW w:w="9052" w:type="dxa"/>
        <w:tblInd w:w="-10" w:type="dxa"/>
        <w:tblLook w:val="04A0" w:firstRow="1" w:lastRow="0" w:firstColumn="1" w:lastColumn="0" w:noHBand="0" w:noVBand="1"/>
      </w:tblPr>
      <w:tblGrid>
        <w:gridCol w:w="3392"/>
        <w:gridCol w:w="912"/>
        <w:gridCol w:w="790"/>
        <w:gridCol w:w="790"/>
        <w:gridCol w:w="790"/>
        <w:gridCol w:w="790"/>
        <w:gridCol w:w="821"/>
        <w:gridCol w:w="767"/>
      </w:tblGrid>
      <w:tr w:rsidRPr="00D43DBA" w:rsidR="00D7204D" w:rsidTr="00E07B63" w14:paraId="2D2EC1E6"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D7204D" w:rsidP="0038771B" w:rsidRDefault="00D7204D" w14:paraId="3EC3C3D0" w14:textId="77777777">
            <w:pPr>
              <w:adjustRightInd w:val="0"/>
              <w:contextualSpacing/>
              <w:jc w:val="center"/>
              <w:rPr>
                <w:rFonts w:asciiTheme="minorHAnsi" w:hAnsiTheme="minorHAnsi" w:cstheme="minorHAnsi"/>
                <w:noProof/>
              </w:rPr>
            </w:pPr>
          </w:p>
        </w:tc>
        <w:tc>
          <w:tcPr>
            <w:tcW w:w="912" w:type="dxa"/>
            <w:hideMark/>
          </w:tcPr>
          <w:p w:rsidRPr="00E07B63" w:rsidR="00D7204D" w:rsidP="0038771B" w:rsidRDefault="00D7204D" w14:paraId="773BDB33"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2027</w:t>
            </w:r>
          </w:p>
        </w:tc>
        <w:tc>
          <w:tcPr>
            <w:tcW w:w="790" w:type="dxa"/>
            <w:hideMark/>
          </w:tcPr>
          <w:p w:rsidRPr="00E07B63" w:rsidR="00D7204D" w:rsidP="0038771B" w:rsidRDefault="00D7204D" w14:paraId="4E552F29"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2028</w:t>
            </w:r>
          </w:p>
        </w:tc>
        <w:tc>
          <w:tcPr>
            <w:tcW w:w="790" w:type="dxa"/>
            <w:hideMark/>
          </w:tcPr>
          <w:p w:rsidRPr="00E07B63" w:rsidR="00D7204D" w:rsidP="0038771B" w:rsidRDefault="00D7204D" w14:paraId="34FF06A5"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2029</w:t>
            </w:r>
          </w:p>
        </w:tc>
        <w:tc>
          <w:tcPr>
            <w:tcW w:w="790" w:type="dxa"/>
            <w:hideMark/>
          </w:tcPr>
          <w:p w:rsidRPr="00E07B63" w:rsidR="00D7204D" w:rsidP="0038771B" w:rsidRDefault="00D7204D" w14:paraId="36AEBE1C"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2030</w:t>
            </w:r>
          </w:p>
        </w:tc>
        <w:tc>
          <w:tcPr>
            <w:tcW w:w="790" w:type="dxa"/>
          </w:tcPr>
          <w:p w:rsidRPr="00E07B63" w:rsidR="00D7204D" w:rsidP="0038771B" w:rsidRDefault="00D7204D" w14:paraId="68C00DAA"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E07B63" w:rsidR="00D7204D" w:rsidP="0038771B" w:rsidRDefault="00D7204D" w14:paraId="2AD91644"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w:t>
            </w:r>
          </w:p>
        </w:tc>
        <w:tc>
          <w:tcPr>
            <w:tcW w:w="767" w:type="dxa"/>
          </w:tcPr>
          <w:p w:rsidRPr="00E07B63" w:rsidR="00D7204D" w:rsidP="0038771B" w:rsidRDefault="00D7204D" w14:paraId="6537EA92"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 in</w:t>
            </w:r>
          </w:p>
        </w:tc>
      </w:tr>
      <w:tr w:rsidRPr="00D43DBA" w:rsidR="00DA26B5" w:rsidTr="00E07B63" w14:paraId="7F81B1E3"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00DA26B5" w:rsidP="00DA26B5" w:rsidRDefault="00DA26B5" w14:paraId="75D16CBE"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D43DBA" w:rsidR="00DA26B5" w:rsidP="00DA26B5" w:rsidRDefault="00DA26B5" w14:paraId="7E45AD34" w14:textId="77777777">
            <w:pPr>
              <w:contextualSpacing/>
              <w:rPr>
                <w:rFonts w:asciiTheme="minorHAnsi" w:hAnsiTheme="minorHAnsi" w:cstheme="minorHAnsi"/>
                <w:b w:val="0"/>
                <w:bCs w:val="0"/>
              </w:rPr>
            </w:pPr>
            <w:proofErr w:type="gramStart"/>
            <w:r w:rsidRPr="00D43DBA">
              <w:rPr>
                <w:rFonts w:asciiTheme="minorHAnsi" w:hAnsiTheme="minorHAnsi" w:cstheme="minorHAnsi"/>
                <w:b w:val="0"/>
                <w:bCs w:val="0"/>
              </w:rPr>
              <w:t>vorderingen</w:t>
            </w:r>
            <w:proofErr w:type="gramEnd"/>
          </w:p>
        </w:tc>
        <w:tc>
          <w:tcPr>
            <w:tcW w:w="912" w:type="dxa"/>
            <w:vAlign w:val="center"/>
          </w:tcPr>
          <w:p w:rsidRPr="0006063E" w:rsidR="00DA26B5" w:rsidP="00DA26B5" w:rsidRDefault="00DA26B5" w14:paraId="5212B19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06063E" w:rsidR="00DA26B5" w:rsidP="00DA26B5" w:rsidRDefault="00DA26B5" w14:paraId="32336730"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790A6FE8"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2073FE7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1CF5ACFE"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21" w:type="dxa"/>
            <w:vAlign w:val="center"/>
          </w:tcPr>
          <w:p w:rsidRPr="00D43DBA" w:rsidR="00DA26B5" w:rsidP="00DA26B5" w:rsidRDefault="00DA26B5" w14:paraId="17FA41A0"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67" w:type="dxa"/>
            <w:vAlign w:val="center"/>
          </w:tcPr>
          <w:p w:rsidRPr="00D43DBA" w:rsidR="00DA26B5" w:rsidP="00DA26B5" w:rsidRDefault="00DA26B5" w14:paraId="76B45730"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E07B63" w14:paraId="4651F38D"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DA26B5" w:rsidP="00DA26B5" w:rsidRDefault="00DA26B5" w14:paraId="2D924F92"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12" w:type="dxa"/>
            <w:vAlign w:val="center"/>
          </w:tcPr>
          <w:p w:rsidRPr="0006063E" w:rsidR="00DA26B5" w:rsidP="00DA26B5" w:rsidRDefault="00DA26B5" w14:paraId="6103627D"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06063E" w:rsidR="00DA26B5" w:rsidP="00DA26B5" w:rsidRDefault="00DA26B5" w14:paraId="59E63611"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90" w:type="dxa"/>
            <w:vAlign w:val="center"/>
          </w:tcPr>
          <w:p w:rsidRPr="0006063E" w:rsidR="00DA26B5" w:rsidP="00DA26B5" w:rsidRDefault="00DA26B5" w14:paraId="6FB51027"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90" w:type="dxa"/>
            <w:vAlign w:val="center"/>
          </w:tcPr>
          <w:p w:rsidRPr="0006063E" w:rsidR="00DA26B5" w:rsidP="00DA26B5" w:rsidRDefault="00DA26B5" w14:paraId="10398A2D"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90" w:type="dxa"/>
            <w:vAlign w:val="center"/>
          </w:tcPr>
          <w:p w:rsidRPr="0006063E" w:rsidR="00DA26B5" w:rsidP="00DA26B5" w:rsidRDefault="00DA26B5" w14:paraId="0A76AA4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w:t>
            </w:r>
          </w:p>
        </w:tc>
        <w:tc>
          <w:tcPr>
            <w:tcW w:w="821" w:type="dxa"/>
            <w:vAlign w:val="center"/>
          </w:tcPr>
          <w:p w:rsidRPr="00D43DBA" w:rsidR="00DA26B5" w:rsidP="00DA26B5" w:rsidRDefault="00DA26B5" w14:paraId="05703088"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133</w:t>
            </w:r>
          </w:p>
        </w:tc>
        <w:tc>
          <w:tcPr>
            <w:tcW w:w="767" w:type="dxa"/>
            <w:vAlign w:val="center"/>
          </w:tcPr>
          <w:p w:rsidRPr="00D43DBA" w:rsidR="00DA26B5" w:rsidP="00DA26B5" w:rsidRDefault="00DA26B5" w14:paraId="3C027BB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206</w:t>
            </w:r>
            <w:r>
              <w:rPr>
                <w:rFonts w:asciiTheme="minorHAnsi" w:hAnsiTheme="minorHAnsi" w:cstheme="minorHAnsi"/>
                <w:bCs/>
                <w:noProof/>
              </w:rPr>
              <w:t>7</w:t>
            </w:r>
          </w:p>
        </w:tc>
      </w:tr>
      <w:tr w:rsidRPr="00D43DBA" w:rsidR="00DA26B5" w:rsidTr="00E07B63" w14:paraId="26D236FD"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50F945A8" w14:textId="77777777">
            <w:pPr>
              <w:contextualSpacing/>
              <w:rPr>
                <w:rFonts w:asciiTheme="minorHAnsi" w:hAnsiTheme="minorHAnsi" w:cstheme="minorHAnsi"/>
                <w:b w:val="0"/>
                <w:bCs w:val="0"/>
              </w:rPr>
            </w:pPr>
            <w:r w:rsidRPr="00B166ED">
              <w:rPr>
                <w:rFonts w:asciiTheme="minorHAnsi" w:hAnsiTheme="minorHAnsi" w:cstheme="minorHAnsi"/>
                <w:b w:val="0"/>
                <w:bCs w:val="0"/>
              </w:rPr>
              <w:t>Papieren schenkingen</w:t>
            </w:r>
          </w:p>
        </w:tc>
        <w:tc>
          <w:tcPr>
            <w:tcW w:w="912" w:type="dxa"/>
            <w:vAlign w:val="center"/>
          </w:tcPr>
          <w:p w:rsidRPr="00B166ED" w:rsidR="00DA26B5" w:rsidP="00DA26B5" w:rsidRDefault="00DA26B5" w14:paraId="05F22B48"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18</w:t>
            </w:r>
          </w:p>
        </w:tc>
        <w:tc>
          <w:tcPr>
            <w:tcW w:w="790" w:type="dxa"/>
            <w:vAlign w:val="center"/>
          </w:tcPr>
          <w:p w:rsidRPr="00B166ED" w:rsidR="00DA26B5" w:rsidP="00DA26B5" w:rsidRDefault="00DA26B5" w14:paraId="36731630"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11</w:t>
            </w:r>
          </w:p>
        </w:tc>
        <w:tc>
          <w:tcPr>
            <w:tcW w:w="790" w:type="dxa"/>
            <w:vAlign w:val="center"/>
          </w:tcPr>
          <w:p w:rsidRPr="00B166ED" w:rsidR="00DA26B5" w:rsidP="00DA26B5" w:rsidRDefault="00DA26B5" w14:paraId="78270FA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12</w:t>
            </w:r>
          </w:p>
        </w:tc>
        <w:tc>
          <w:tcPr>
            <w:tcW w:w="790" w:type="dxa"/>
            <w:vAlign w:val="center"/>
          </w:tcPr>
          <w:p w:rsidRPr="00B166ED" w:rsidR="00DA26B5" w:rsidP="00DA26B5" w:rsidRDefault="00DA26B5" w14:paraId="0D900F7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w:t>
            </w:r>
          </w:p>
        </w:tc>
        <w:tc>
          <w:tcPr>
            <w:tcW w:w="790" w:type="dxa"/>
            <w:vAlign w:val="center"/>
          </w:tcPr>
          <w:p w:rsidRPr="00B166ED" w:rsidR="00DA26B5" w:rsidP="00DA26B5" w:rsidRDefault="00DA26B5" w14:paraId="6AAE696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16</w:t>
            </w:r>
          </w:p>
        </w:tc>
        <w:tc>
          <w:tcPr>
            <w:tcW w:w="821" w:type="dxa"/>
            <w:vAlign w:val="center"/>
          </w:tcPr>
          <w:p w:rsidRPr="00B166ED" w:rsidR="00DA26B5" w:rsidP="00DA26B5" w:rsidRDefault="00DA26B5" w14:paraId="400E6318"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51</w:t>
            </w:r>
          </w:p>
        </w:tc>
        <w:tc>
          <w:tcPr>
            <w:tcW w:w="767" w:type="dxa"/>
            <w:vAlign w:val="center"/>
          </w:tcPr>
          <w:p w:rsidRPr="00B166ED" w:rsidR="00DA26B5" w:rsidP="00DA26B5" w:rsidRDefault="00DA26B5" w14:paraId="02FC5EEC"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w:t>
            </w:r>
            <w:r>
              <w:rPr>
                <w:rFonts w:asciiTheme="minorHAnsi" w:hAnsiTheme="minorHAnsi" w:cstheme="minorHAnsi"/>
                <w:bCs/>
                <w:noProof/>
              </w:rPr>
              <w:t>74</w:t>
            </w:r>
          </w:p>
        </w:tc>
      </w:tr>
      <w:tr w:rsidRPr="00D43DBA" w:rsidR="00DA26B5" w:rsidTr="00E07B63" w14:paraId="59965402"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699444AD" w14:textId="77777777">
            <w:pPr>
              <w:contextualSpacing/>
              <w:rPr>
                <w:rFonts w:asciiTheme="minorHAnsi" w:hAnsiTheme="minorHAnsi" w:cstheme="minorHAnsi"/>
                <w:b w:val="0"/>
                <w:bCs w:val="0"/>
              </w:rPr>
            </w:pPr>
            <w:r w:rsidRPr="00B166ED">
              <w:rPr>
                <w:rFonts w:asciiTheme="minorHAnsi" w:hAnsiTheme="minorHAnsi" w:cstheme="minorHAnsi"/>
                <w:b w:val="0"/>
                <w:bCs w:val="0"/>
              </w:rPr>
              <w:t>Overige toepassingen</w:t>
            </w:r>
          </w:p>
        </w:tc>
        <w:tc>
          <w:tcPr>
            <w:tcW w:w="912" w:type="dxa"/>
            <w:vAlign w:val="center"/>
          </w:tcPr>
          <w:p w:rsidRPr="00B166ED" w:rsidR="00DA26B5" w:rsidP="00DA26B5" w:rsidRDefault="00DA26B5" w14:paraId="781B9D9A"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B166ED" w:rsidR="00DA26B5" w:rsidP="00DA26B5" w:rsidRDefault="00DA26B5" w14:paraId="567A0758"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2278921D"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068A1F88"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7BE85255"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21" w:type="dxa"/>
            <w:vAlign w:val="center"/>
          </w:tcPr>
          <w:p w:rsidRPr="00B166ED" w:rsidR="00DA26B5" w:rsidP="00DA26B5" w:rsidRDefault="00DA26B5" w14:paraId="1AAB9459"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67" w:type="dxa"/>
            <w:vAlign w:val="center"/>
          </w:tcPr>
          <w:p w:rsidRPr="00B166ED" w:rsidR="00DA26B5" w:rsidP="00DA26B5" w:rsidRDefault="00DA26B5" w14:paraId="4366CB69"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E07B63" w14:paraId="5CA6118A"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7721BAE6" w14:textId="77777777">
            <w:pPr>
              <w:contextualSpacing/>
              <w:rPr>
                <w:rFonts w:asciiTheme="minorHAnsi" w:hAnsiTheme="minorHAnsi" w:cstheme="minorHAnsi"/>
                <w:b w:val="0"/>
                <w:bCs w:val="0"/>
              </w:rPr>
            </w:pPr>
            <w:r w:rsidRPr="00B166ED">
              <w:rPr>
                <w:rFonts w:asciiTheme="minorHAnsi" w:hAnsiTheme="minorHAnsi" w:cstheme="minorHAnsi"/>
                <w:b w:val="0"/>
                <w:bCs w:val="0"/>
              </w:rPr>
              <w:t>TOTAAL</w:t>
            </w:r>
          </w:p>
        </w:tc>
        <w:tc>
          <w:tcPr>
            <w:tcW w:w="912" w:type="dxa"/>
            <w:vAlign w:val="center"/>
          </w:tcPr>
          <w:p w:rsidRPr="00B166ED" w:rsidR="00DA26B5" w:rsidP="00DA26B5" w:rsidRDefault="00DA26B5" w14:paraId="640BF22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18</w:t>
            </w:r>
          </w:p>
        </w:tc>
        <w:tc>
          <w:tcPr>
            <w:tcW w:w="790" w:type="dxa"/>
            <w:vAlign w:val="center"/>
          </w:tcPr>
          <w:p w:rsidRPr="00B166ED" w:rsidR="00DA26B5" w:rsidP="00DA26B5" w:rsidRDefault="00DA26B5" w14:paraId="3955B1E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22</w:t>
            </w:r>
          </w:p>
        </w:tc>
        <w:tc>
          <w:tcPr>
            <w:tcW w:w="790" w:type="dxa"/>
            <w:vAlign w:val="center"/>
          </w:tcPr>
          <w:p w:rsidRPr="00B166ED" w:rsidR="00DA26B5" w:rsidP="00DA26B5" w:rsidRDefault="00DA26B5" w14:paraId="279624A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24</w:t>
            </w:r>
          </w:p>
        </w:tc>
        <w:tc>
          <w:tcPr>
            <w:tcW w:w="790" w:type="dxa"/>
            <w:vAlign w:val="center"/>
          </w:tcPr>
          <w:p w:rsidRPr="00B166ED" w:rsidR="00DA26B5" w:rsidP="00DA26B5" w:rsidRDefault="00DA26B5" w14:paraId="46084C85"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26</w:t>
            </w:r>
          </w:p>
        </w:tc>
        <w:tc>
          <w:tcPr>
            <w:tcW w:w="790" w:type="dxa"/>
            <w:vAlign w:val="center"/>
          </w:tcPr>
          <w:p w:rsidRPr="00B166ED" w:rsidR="00DA26B5" w:rsidP="00DA26B5" w:rsidRDefault="00DA26B5" w14:paraId="476C52D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30</w:t>
            </w:r>
          </w:p>
        </w:tc>
        <w:tc>
          <w:tcPr>
            <w:tcW w:w="821" w:type="dxa"/>
            <w:vAlign w:val="center"/>
          </w:tcPr>
          <w:p w:rsidRPr="00B166ED" w:rsidR="00DA26B5" w:rsidP="00DA26B5" w:rsidRDefault="00DA26B5" w14:paraId="21B3221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19</w:t>
            </w:r>
            <w:r>
              <w:rPr>
                <w:rFonts w:asciiTheme="minorHAnsi" w:hAnsiTheme="minorHAnsi" w:cstheme="minorHAnsi"/>
                <w:noProof/>
              </w:rPr>
              <w:t>6</w:t>
            </w:r>
          </w:p>
        </w:tc>
        <w:tc>
          <w:tcPr>
            <w:tcW w:w="767" w:type="dxa"/>
            <w:vAlign w:val="center"/>
          </w:tcPr>
          <w:p w:rsidRPr="00B166ED" w:rsidR="00DA26B5" w:rsidP="00DA26B5" w:rsidRDefault="00DA26B5" w14:paraId="702F2B8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w:t>
            </w:r>
            <w:r>
              <w:rPr>
                <w:rFonts w:asciiTheme="minorHAnsi" w:hAnsiTheme="minorHAnsi" w:cstheme="minorHAnsi"/>
                <w:bCs/>
                <w:noProof/>
              </w:rPr>
              <w:t>74</w:t>
            </w:r>
          </w:p>
        </w:tc>
      </w:tr>
    </w:tbl>
    <w:p w:rsidR="00D7204D" w:rsidP="00D7204D" w:rsidRDefault="00D7204D" w14:paraId="69FBD530" w14:textId="77777777">
      <w:pPr>
        <w:contextualSpacing/>
        <w:jc w:val="both"/>
      </w:pPr>
    </w:p>
    <w:p w:rsidRPr="00D43DBA" w:rsidR="00286C5C" w:rsidP="00286C5C" w:rsidRDefault="00286C5C" w14:paraId="7D2E8E84" w14:textId="77777777">
      <w:pPr>
        <w:keepNext/>
        <w:spacing w:line="240" w:lineRule="auto"/>
        <w:contextualSpacing/>
        <w:rPr>
          <w:rFonts w:eastAsia="Verdana" w:cs="Times New Roman"/>
          <w:bCs/>
          <w:color w:val="4F81BD"/>
        </w:rPr>
      </w:pPr>
      <w:r w:rsidRPr="00E07B63">
        <w:t xml:space="preserve">Tabel </w:t>
      </w:r>
      <w:proofErr w:type="gramStart"/>
      <w:r>
        <w:t>2</w:t>
      </w:r>
      <w:r w:rsidRPr="00E07B63">
        <w:t xml:space="preserve">  </w:t>
      </w:r>
      <w:r>
        <w:t>lastenrelevant</w:t>
      </w:r>
      <w:proofErr w:type="gramEnd"/>
      <w:r w:rsidRPr="00C82CDF">
        <w:t xml:space="preserve"> effect (</w:t>
      </w:r>
      <w:proofErr w:type="spellStart"/>
      <w:r w:rsidRPr="00C82CDF">
        <w:t>mln</w:t>
      </w:r>
      <w:proofErr w:type="spellEnd"/>
      <w:r w:rsidRPr="00C82CDF">
        <w:t xml:space="preserve"> euro) </w:t>
      </w:r>
    </w:p>
    <w:tbl>
      <w:tblPr>
        <w:tblStyle w:val="Lichtelijst-accent111"/>
        <w:tblW w:w="9052" w:type="dxa"/>
        <w:tblInd w:w="-10" w:type="dxa"/>
        <w:tblLook w:val="04A0" w:firstRow="1" w:lastRow="0" w:firstColumn="1" w:lastColumn="0" w:noHBand="0" w:noVBand="1"/>
      </w:tblPr>
      <w:tblGrid>
        <w:gridCol w:w="3392"/>
        <w:gridCol w:w="912"/>
        <w:gridCol w:w="790"/>
        <w:gridCol w:w="790"/>
        <w:gridCol w:w="790"/>
        <w:gridCol w:w="790"/>
        <w:gridCol w:w="821"/>
        <w:gridCol w:w="767"/>
      </w:tblGrid>
      <w:tr w:rsidRPr="00D43DBA" w:rsidR="00286C5C" w:rsidTr="003664F0" w14:paraId="0FCF3ED8"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286C5C" w:rsidP="003664F0" w:rsidRDefault="00286C5C" w14:paraId="7E1E565C" w14:textId="77777777">
            <w:pPr>
              <w:adjustRightInd w:val="0"/>
              <w:contextualSpacing/>
              <w:jc w:val="center"/>
              <w:rPr>
                <w:rFonts w:asciiTheme="minorHAnsi" w:hAnsiTheme="minorHAnsi" w:cstheme="minorHAnsi"/>
                <w:noProof/>
              </w:rPr>
            </w:pPr>
          </w:p>
        </w:tc>
        <w:tc>
          <w:tcPr>
            <w:tcW w:w="912" w:type="dxa"/>
            <w:hideMark/>
          </w:tcPr>
          <w:p w:rsidRPr="00E07B63" w:rsidR="00286C5C" w:rsidP="003664F0" w:rsidRDefault="00286C5C" w14:paraId="6CE403BA"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2027</w:t>
            </w:r>
          </w:p>
        </w:tc>
        <w:tc>
          <w:tcPr>
            <w:tcW w:w="790" w:type="dxa"/>
            <w:hideMark/>
          </w:tcPr>
          <w:p w:rsidRPr="00E07B63" w:rsidR="00286C5C" w:rsidP="003664F0" w:rsidRDefault="00286C5C" w14:paraId="026FDD9A"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2028</w:t>
            </w:r>
          </w:p>
        </w:tc>
        <w:tc>
          <w:tcPr>
            <w:tcW w:w="790" w:type="dxa"/>
            <w:hideMark/>
          </w:tcPr>
          <w:p w:rsidRPr="00E07B63" w:rsidR="00286C5C" w:rsidP="003664F0" w:rsidRDefault="00286C5C" w14:paraId="18950722"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2029</w:t>
            </w:r>
          </w:p>
        </w:tc>
        <w:tc>
          <w:tcPr>
            <w:tcW w:w="790" w:type="dxa"/>
            <w:hideMark/>
          </w:tcPr>
          <w:p w:rsidRPr="00E07B63" w:rsidR="00286C5C" w:rsidP="003664F0" w:rsidRDefault="00286C5C" w14:paraId="283F60F2"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2030</w:t>
            </w:r>
          </w:p>
        </w:tc>
        <w:tc>
          <w:tcPr>
            <w:tcW w:w="790" w:type="dxa"/>
          </w:tcPr>
          <w:p w:rsidRPr="00E07B63" w:rsidR="00286C5C" w:rsidP="003664F0" w:rsidRDefault="00286C5C" w14:paraId="2276FA3C"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E07B63" w:rsidR="00286C5C" w:rsidP="003664F0" w:rsidRDefault="00286C5C" w14:paraId="496A8CDD"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w:t>
            </w:r>
          </w:p>
        </w:tc>
        <w:tc>
          <w:tcPr>
            <w:tcW w:w="767" w:type="dxa"/>
          </w:tcPr>
          <w:p w:rsidRPr="00E07B63" w:rsidR="00286C5C" w:rsidP="003664F0" w:rsidRDefault="00286C5C" w14:paraId="17AAD58D"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 in</w:t>
            </w:r>
          </w:p>
        </w:tc>
      </w:tr>
      <w:tr w:rsidRPr="00D43DBA" w:rsidR="00DA26B5" w:rsidTr="003664F0" w14:paraId="0E59A502"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00DA26B5" w:rsidP="00DA26B5" w:rsidRDefault="00DA26B5" w14:paraId="1CAA95ED"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D43DBA" w:rsidR="00DA26B5" w:rsidP="00DA26B5" w:rsidRDefault="00DA26B5" w14:paraId="57465414" w14:textId="77777777">
            <w:pPr>
              <w:contextualSpacing/>
              <w:rPr>
                <w:rFonts w:asciiTheme="minorHAnsi" w:hAnsiTheme="minorHAnsi" w:cstheme="minorHAnsi"/>
                <w:b w:val="0"/>
                <w:bCs w:val="0"/>
              </w:rPr>
            </w:pPr>
            <w:proofErr w:type="gramStart"/>
            <w:r w:rsidRPr="00D43DBA">
              <w:rPr>
                <w:rFonts w:asciiTheme="minorHAnsi" w:hAnsiTheme="minorHAnsi" w:cstheme="minorHAnsi"/>
                <w:b w:val="0"/>
                <w:bCs w:val="0"/>
              </w:rPr>
              <w:t>vorderingen</w:t>
            </w:r>
            <w:proofErr w:type="gramEnd"/>
          </w:p>
        </w:tc>
        <w:tc>
          <w:tcPr>
            <w:tcW w:w="912" w:type="dxa"/>
            <w:vAlign w:val="center"/>
          </w:tcPr>
          <w:p w:rsidRPr="0006063E" w:rsidR="00DA26B5" w:rsidP="00DA26B5" w:rsidRDefault="00DA26B5" w14:paraId="401458D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06063E" w:rsidR="00DA26B5" w:rsidP="00DA26B5" w:rsidRDefault="00DA26B5" w14:paraId="67A0CDD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1F06024F"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44934992"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90" w:type="dxa"/>
            <w:vAlign w:val="center"/>
          </w:tcPr>
          <w:p w:rsidRPr="0006063E" w:rsidR="00DA26B5" w:rsidP="00DA26B5" w:rsidRDefault="00DA26B5" w14:paraId="617A3AB5"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21" w:type="dxa"/>
            <w:vAlign w:val="center"/>
          </w:tcPr>
          <w:p w:rsidRPr="00D43DBA" w:rsidR="00DA26B5" w:rsidP="00DA26B5" w:rsidRDefault="00DA26B5" w14:paraId="292B155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67" w:type="dxa"/>
            <w:vAlign w:val="center"/>
          </w:tcPr>
          <w:p w:rsidRPr="00D43DBA" w:rsidR="00DA26B5" w:rsidP="00DA26B5" w:rsidRDefault="00DA26B5" w14:paraId="74DE471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3664F0" w14:paraId="1CCD3C45"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DA26B5" w:rsidP="00DA26B5" w:rsidRDefault="00DA26B5" w14:paraId="201BF001"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12" w:type="dxa"/>
            <w:vAlign w:val="center"/>
          </w:tcPr>
          <w:p w:rsidRPr="0006063E" w:rsidR="00DA26B5" w:rsidP="00DA26B5" w:rsidRDefault="00DA26B5" w14:paraId="6AD32BA1"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06063E" w:rsidR="00DA26B5" w:rsidP="00DA26B5" w:rsidRDefault="00DA26B5" w14:paraId="423DB474"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54408E72"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4BA5901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2996AD89"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821" w:type="dxa"/>
            <w:vAlign w:val="center"/>
          </w:tcPr>
          <w:p w:rsidRPr="00D43DBA" w:rsidR="00DA26B5" w:rsidP="00DA26B5" w:rsidRDefault="00DA26B5" w14:paraId="148C240F"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67" w:type="dxa"/>
            <w:vAlign w:val="center"/>
          </w:tcPr>
          <w:p w:rsidRPr="00D43DBA" w:rsidR="00DA26B5" w:rsidP="00DA26B5" w:rsidRDefault="00DA26B5" w14:paraId="5F500B45"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3664F0" w14:paraId="54634366"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088DF39E" w14:textId="77777777">
            <w:pPr>
              <w:contextualSpacing/>
              <w:rPr>
                <w:rFonts w:asciiTheme="minorHAnsi" w:hAnsiTheme="minorHAnsi" w:cstheme="minorHAnsi"/>
                <w:b w:val="0"/>
                <w:bCs w:val="0"/>
              </w:rPr>
            </w:pPr>
            <w:r w:rsidRPr="00B166ED">
              <w:rPr>
                <w:rFonts w:asciiTheme="minorHAnsi" w:hAnsiTheme="minorHAnsi" w:cstheme="minorHAnsi"/>
                <w:b w:val="0"/>
                <w:bCs w:val="0"/>
              </w:rPr>
              <w:t>Papieren schenkingen</w:t>
            </w:r>
          </w:p>
        </w:tc>
        <w:tc>
          <w:tcPr>
            <w:tcW w:w="912" w:type="dxa"/>
            <w:vAlign w:val="center"/>
          </w:tcPr>
          <w:p w:rsidRPr="00B166ED" w:rsidR="00DA26B5" w:rsidP="00DA26B5" w:rsidRDefault="00DA26B5" w14:paraId="48C7B1F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B166ED" w:rsidR="00DA26B5" w:rsidP="00DA26B5" w:rsidRDefault="00DA26B5" w14:paraId="30041C9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90" w:type="dxa"/>
            <w:vAlign w:val="center"/>
          </w:tcPr>
          <w:p w:rsidRPr="00B166ED" w:rsidR="00DA26B5" w:rsidP="00DA26B5" w:rsidRDefault="00DA26B5" w14:paraId="28C992F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90" w:type="dxa"/>
            <w:vAlign w:val="center"/>
          </w:tcPr>
          <w:p w:rsidRPr="00B166ED" w:rsidR="00DA26B5" w:rsidP="00DA26B5" w:rsidRDefault="00DA26B5" w14:paraId="5818CE5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90" w:type="dxa"/>
            <w:vAlign w:val="center"/>
          </w:tcPr>
          <w:p w:rsidRPr="00B166ED" w:rsidR="00DA26B5" w:rsidP="00DA26B5" w:rsidRDefault="00DA26B5" w14:paraId="4AB10F6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821" w:type="dxa"/>
            <w:vAlign w:val="center"/>
          </w:tcPr>
          <w:p w:rsidRPr="00B166ED" w:rsidR="00DA26B5" w:rsidP="00DA26B5" w:rsidRDefault="00DA26B5" w14:paraId="05A827C1"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67" w:type="dxa"/>
            <w:vAlign w:val="center"/>
          </w:tcPr>
          <w:p w:rsidRPr="00B166ED" w:rsidR="00DA26B5" w:rsidP="00DA26B5" w:rsidRDefault="00DA26B5" w14:paraId="1F09C1F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3664F0" w14:paraId="7CA07C38"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7F1D8701" w14:textId="77777777">
            <w:pPr>
              <w:contextualSpacing/>
              <w:rPr>
                <w:rFonts w:asciiTheme="minorHAnsi" w:hAnsiTheme="minorHAnsi" w:cstheme="minorHAnsi"/>
                <w:b w:val="0"/>
                <w:bCs w:val="0"/>
              </w:rPr>
            </w:pPr>
            <w:r w:rsidRPr="00B166ED">
              <w:rPr>
                <w:rFonts w:asciiTheme="minorHAnsi" w:hAnsiTheme="minorHAnsi" w:cstheme="minorHAnsi"/>
                <w:b w:val="0"/>
                <w:bCs w:val="0"/>
              </w:rPr>
              <w:t>Overige toepassingen</w:t>
            </w:r>
          </w:p>
        </w:tc>
        <w:tc>
          <w:tcPr>
            <w:tcW w:w="912" w:type="dxa"/>
            <w:vAlign w:val="center"/>
          </w:tcPr>
          <w:p w:rsidRPr="00B166ED" w:rsidR="00DA26B5" w:rsidP="00DA26B5" w:rsidRDefault="00DA26B5" w14:paraId="2AD1213C"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B166ED" w:rsidR="00DA26B5" w:rsidP="00DA26B5" w:rsidRDefault="00DA26B5" w14:paraId="33F4B59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4DE8386D"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60C9991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90" w:type="dxa"/>
            <w:vAlign w:val="center"/>
          </w:tcPr>
          <w:p w:rsidRPr="00B166ED" w:rsidR="00DA26B5" w:rsidP="00DA26B5" w:rsidRDefault="00DA26B5" w14:paraId="310406D7"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21" w:type="dxa"/>
            <w:vAlign w:val="center"/>
          </w:tcPr>
          <w:p w:rsidRPr="00B166ED" w:rsidR="00DA26B5" w:rsidP="00DA26B5" w:rsidRDefault="00DA26B5" w14:paraId="02873203"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67" w:type="dxa"/>
            <w:vAlign w:val="center"/>
          </w:tcPr>
          <w:p w:rsidRPr="00B166ED" w:rsidR="00DA26B5" w:rsidP="00DA26B5" w:rsidRDefault="00DA26B5" w14:paraId="179650A5"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D43DBA" w:rsidR="00DA26B5" w:rsidTr="003664F0" w14:paraId="4CCCFD10"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B166ED" w:rsidR="00DA26B5" w:rsidP="00DA26B5" w:rsidRDefault="00DA26B5" w14:paraId="33CA5C9E" w14:textId="77777777">
            <w:pPr>
              <w:contextualSpacing/>
              <w:rPr>
                <w:rFonts w:asciiTheme="minorHAnsi" w:hAnsiTheme="minorHAnsi" w:cstheme="minorHAnsi"/>
                <w:b w:val="0"/>
                <w:bCs w:val="0"/>
              </w:rPr>
            </w:pPr>
            <w:r w:rsidRPr="00B166ED">
              <w:rPr>
                <w:rFonts w:asciiTheme="minorHAnsi" w:hAnsiTheme="minorHAnsi" w:cstheme="minorHAnsi"/>
                <w:b w:val="0"/>
                <w:bCs w:val="0"/>
              </w:rPr>
              <w:t>TOTAAL</w:t>
            </w:r>
          </w:p>
        </w:tc>
        <w:tc>
          <w:tcPr>
            <w:tcW w:w="912" w:type="dxa"/>
            <w:vAlign w:val="center"/>
          </w:tcPr>
          <w:p w:rsidRPr="00B166ED" w:rsidR="00DA26B5" w:rsidP="00DA26B5" w:rsidRDefault="00DA26B5" w14:paraId="754FDF01"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90" w:type="dxa"/>
            <w:vAlign w:val="center"/>
          </w:tcPr>
          <w:p w:rsidRPr="00B166ED" w:rsidR="00DA26B5" w:rsidP="00DA26B5" w:rsidRDefault="00DA26B5" w14:paraId="142B1FC1"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90" w:type="dxa"/>
            <w:vAlign w:val="center"/>
          </w:tcPr>
          <w:p w:rsidRPr="00B166ED" w:rsidR="00DA26B5" w:rsidP="00DA26B5" w:rsidRDefault="00DA26B5" w14:paraId="556DE24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90" w:type="dxa"/>
            <w:vAlign w:val="center"/>
          </w:tcPr>
          <w:p w:rsidRPr="00B166ED" w:rsidR="00DA26B5" w:rsidP="00DA26B5" w:rsidRDefault="00DA26B5" w14:paraId="738F0D0B"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90" w:type="dxa"/>
            <w:vAlign w:val="center"/>
          </w:tcPr>
          <w:p w:rsidRPr="00B166ED" w:rsidR="00DA26B5" w:rsidP="00DA26B5" w:rsidRDefault="00DA26B5" w14:paraId="51F448DE"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821" w:type="dxa"/>
            <w:vAlign w:val="center"/>
          </w:tcPr>
          <w:p w:rsidRPr="00B166ED" w:rsidR="00DA26B5" w:rsidP="00DA26B5" w:rsidRDefault="00DA26B5" w14:paraId="239C5FD1"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67" w:type="dxa"/>
            <w:vAlign w:val="center"/>
          </w:tcPr>
          <w:p w:rsidRPr="00B166ED" w:rsidR="00DA26B5" w:rsidP="00DA26B5" w:rsidRDefault="00DA26B5" w14:paraId="41148F5F"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bl>
    <w:p w:rsidR="00286C5C" w:rsidP="00D7204D" w:rsidRDefault="00286C5C" w14:paraId="6F152893" w14:textId="77777777">
      <w:pPr>
        <w:contextualSpacing/>
        <w:jc w:val="both"/>
      </w:pPr>
    </w:p>
    <w:p w:rsidR="00D7204D" w:rsidP="00D7204D" w:rsidRDefault="00D7204D" w14:paraId="19C28079" w14:textId="77777777">
      <w:pPr>
        <w:contextualSpacing/>
        <w:jc w:val="both"/>
      </w:pPr>
    </w:p>
    <w:p w:rsidRPr="00AE2C0B" w:rsidR="00D7204D" w:rsidP="00D7204D" w:rsidRDefault="00D7204D" w14:paraId="55C7592E" w14:textId="77777777">
      <w:pPr>
        <w:pStyle w:val="Lijstalinea"/>
        <w:numPr>
          <w:ilvl w:val="0"/>
          <w:numId w:val="6"/>
        </w:numPr>
        <w:jc w:val="both"/>
        <w:rPr>
          <w:b/>
          <w:bCs/>
        </w:rPr>
      </w:pPr>
      <w:r>
        <w:rPr>
          <w:b/>
          <w:bCs/>
        </w:rPr>
        <w:lastRenderedPageBreak/>
        <w:t xml:space="preserve">Budgettaire effecten </w:t>
      </w:r>
      <w:proofErr w:type="spellStart"/>
      <w:r>
        <w:rPr>
          <w:b/>
          <w:bCs/>
        </w:rPr>
        <w:t>o</w:t>
      </w:r>
      <w:r w:rsidRPr="00AE2C0B">
        <w:rPr>
          <w:b/>
          <w:bCs/>
        </w:rPr>
        <w:t>nderbedelingsvorderingen</w:t>
      </w:r>
      <w:proofErr w:type="spellEnd"/>
    </w:p>
    <w:p w:rsidR="00D7204D" w:rsidP="00D7204D" w:rsidRDefault="00D7204D" w14:paraId="5BB50E87" w14:textId="77777777">
      <w:pPr>
        <w:contextualSpacing/>
        <w:jc w:val="both"/>
        <w:rPr>
          <w:b/>
          <w:bCs/>
        </w:rPr>
      </w:pPr>
    </w:p>
    <w:p w:rsidR="00E10FE0" w:rsidP="00E10FE0" w:rsidRDefault="00E10FE0" w14:paraId="4BFB428F" w14:textId="77777777">
      <w:pPr>
        <w:contextualSpacing/>
        <w:jc w:val="both"/>
      </w:pPr>
      <w:r>
        <w:t xml:space="preserve">In dit hoofdstuk wordt allereerst in beeld gebracht hoe de modernisering verschillend uitpakt voor de erfbelasting die de ervende kinderen verschuldigd zijn. Bij het in beeld brengen van deze spreiding worden de effecten steeds uitgesplitst naar de hoogte van het verkregen vermogen en naar de leeftijd van de langstlevende partner op het moment van overlijden van diens partner (eerste overlijden), zoals weergegeven in tabel </w:t>
      </w:r>
      <w:r w:rsidR="0078689A">
        <w:t>3</w:t>
      </w:r>
      <w:r>
        <w:t xml:space="preserve">. Deze leeftijd bepaalt de verwachte looptijd van (het vruchtgebruik van) de </w:t>
      </w:r>
      <w:proofErr w:type="spellStart"/>
      <w:r>
        <w:t>onderbedelingsvordering</w:t>
      </w:r>
      <w:proofErr w:type="spellEnd"/>
      <w:r>
        <w:t>. Hoe langer de looptijd en dus hoe jonger de langstlevende partner, des te sterker de modernisering van de forfaits doorwerkt in de waardering van (het vruchtgebruik van) de vordering</w:t>
      </w:r>
      <w:r>
        <w:rPr>
          <w:rStyle w:val="Voetnootmarkering"/>
        </w:rPr>
        <w:footnoteReference w:id="2"/>
      </w:r>
      <w:r>
        <w:t xml:space="preserve"> en daarmee ook in de hoogte van de erfbelasting. Het zwaartepunt van de tabel ligt aan de linkerkant. In 2021 bedroeg bij bijna twee derde van de ervende kinderen het verkregen vermogen minder dan € 100.000 en was de langstlevende partner 61 jaar of ouder. </w:t>
      </w:r>
    </w:p>
    <w:p w:rsidR="00E10FE0" w:rsidP="00D7204D" w:rsidRDefault="00E10FE0" w14:paraId="013548E9" w14:textId="77777777">
      <w:pPr>
        <w:contextualSpacing/>
        <w:jc w:val="both"/>
      </w:pPr>
    </w:p>
    <w:p w:rsidR="00D7204D" w:rsidP="00D7204D" w:rsidRDefault="00D7204D" w14:paraId="743AC7C4" w14:textId="77777777">
      <w:pPr>
        <w:contextualSpacing/>
        <w:jc w:val="both"/>
      </w:pPr>
      <w:r>
        <w:t xml:space="preserve">Tabel </w:t>
      </w:r>
      <w:r w:rsidR="0078689A">
        <w:t>3</w:t>
      </w:r>
      <w:r>
        <w:tab/>
        <w:t xml:space="preserve"> Verdeling ervende kinderen binnen nalatenschappen die afgewikkeld zijn met een </w:t>
      </w:r>
      <w:proofErr w:type="spellStart"/>
      <w:r>
        <w:t>onderbedelingsvordering</w:t>
      </w:r>
      <w:proofErr w:type="spellEnd"/>
      <w:r>
        <w:t xml:space="preserve"> (overlijden eerste ouder) en waarvoor aangifte erfbelasting is gedaan 2021</w:t>
      </w:r>
    </w:p>
    <w:tbl>
      <w:tblPr>
        <w:tblStyle w:val="Rastertabel4-Accent1"/>
        <w:tblpPr w:leftFromText="141" w:rightFromText="141" w:vertAnchor="text" w:horzAnchor="margin" w:tblpY="116"/>
        <w:tblW w:w="9033" w:type="dxa"/>
        <w:tblLook w:val="04A0" w:firstRow="1" w:lastRow="0" w:firstColumn="1" w:lastColumn="0" w:noHBand="0" w:noVBand="1"/>
      </w:tblPr>
      <w:tblGrid>
        <w:gridCol w:w="1281"/>
        <w:gridCol w:w="1266"/>
        <w:gridCol w:w="1086"/>
        <w:gridCol w:w="1331"/>
        <w:gridCol w:w="18"/>
        <w:gridCol w:w="1316"/>
        <w:gridCol w:w="34"/>
        <w:gridCol w:w="1306"/>
        <w:gridCol w:w="44"/>
        <w:gridCol w:w="1310"/>
        <w:gridCol w:w="41"/>
      </w:tblGrid>
      <w:tr w:rsidRPr="00B00EB7" w:rsidR="00D7204D" w:rsidTr="00E07B63" w14:paraId="0D431ADA"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47" w:type="dxa"/>
            <w:gridSpan w:val="2"/>
          </w:tcPr>
          <w:p w:rsidRPr="00E07B63" w:rsidR="00D7204D" w:rsidP="0038771B" w:rsidRDefault="00D7204D" w14:paraId="0E0EA218" w14:textId="77777777">
            <w:pPr>
              <w:spacing w:line="276" w:lineRule="auto"/>
              <w:contextualSpacing/>
              <w:rPr>
                <w:rFonts w:cstheme="minorHAnsi"/>
                <w:b w:val="0"/>
                <w:bCs w:val="0"/>
                <w:i/>
                <w:iCs/>
                <w:color w:val="FFFFFF" w:themeColor="background1"/>
                <w:sz w:val="16"/>
                <w:szCs w:val="16"/>
              </w:rPr>
            </w:pPr>
            <w:r w:rsidRPr="00E07B63">
              <w:rPr>
                <w:rFonts w:cstheme="minorHAnsi"/>
                <w:b w:val="0"/>
                <w:bCs w:val="0"/>
                <w:color w:val="FFFFFF" w:themeColor="background1"/>
                <w:sz w:val="16"/>
                <w:szCs w:val="16"/>
              </w:rPr>
              <w:t xml:space="preserve">Nagelaten vermogen per </w:t>
            </w:r>
            <w:proofErr w:type="gramStart"/>
            <w:r w:rsidRPr="00E07B63">
              <w:rPr>
                <w:rFonts w:cstheme="minorHAnsi"/>
                <w:b w:val="0"/>
                <w:bCs w:val="0"/>
                <w:color w:val="FFFFFF" w:themeColor="background1"/>
                <w:sz w:val="16"/>
                <w:szCs w:val="16"/>
              </w:rPr>
              <w:t>erfgenaam  eerste</w:t>
            </w:r>
            <w:proofErr w:type="gramEnd"/>
            <w:r w:rsidRPr="00E07B63">
              <w:rPr>
                <w:rFonts w:cstheme="minorHAnsi"/>
                <w:b w:val="0"/>
                <w:bCs w:val="0"/>
                <w:color w:val="FFFFFF" w:themeColor="background1"/>
                <w:sz w:val="16"/>
                <w:szCs w:val="16"/>
              </w:rPr>
              <w:t xml:space="preserve"> overlijden</w:t>
            </w:r>
          </w:p>
        </w:tc>
        <w:tc>
          <w:tcPr>
            <w:tcW w:w="1086" w:type="dxa"/>
          </w:tcPr>
          <w:p w:rsidRPr="00E07B63" w:rsidR="00D7204D" w:rsidP="0038771B" w:rsidRDefault="00D7204D" w14:paraId="626D235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€ 0 – € 25.000</w:t>
            </w:r>
          </w:p>
        </w:tc>
        <w:tc>
          <w:tcPr>
            <w:tcW w:w="1349" w:type="dxa"/>
            <w:gridSpan w:val="2"/>
          </w:tcPr>
          <w:p w:rsidRPr="00E07B63" w:rsidR="00D7204D" w:rsidP="0038771B" w:rsidRDefault="00D7204D" w14:paraId="0FF1E2C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€ 25.000 - € 75.000</w:t>
            </w:r>
          </w:p>
        </w:tc>
        <w:tc>
          <w:tcPr>
            <w:tcW w:w="1350" w:type="dxa"/>
            <w:gridSpan w:val="2"/>
          </w:tcPr>
          <w:p w:rsidRPr="00E07B63" w:rsidR="00D7204D" w:rsidP="0038771B" w:rsidRDefault="00D7204D" w14:paraId="4D94BC4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€ 75.000 - € 100.000</w:t>
            </w:r>
          </w:p>
        </w:tc>
        <w:tc>
          <w:tcPr>
            <w:tcW w:w="1350" w:type="dxa"/>
            <w:gridSpan w:val="2"/>
          </w:tcPr>
          <w:p w:rsidRPr="00E07B63" w:rsidR="00D7204D" w:rsidP="0038771B" w:rsidRDefault="00D7204D" w14:paraId="5E0822DF"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€ 100.000 - € 250.000</w:t>
            </w:r>
          </w:p>
        </w:tc>
        <w:tc>
          <w:tcPr>
            <w:tcW w:w="1351" w:type="dxa"/>
            <w:gridSpan w:val="2"/>
          </w:tcPr>
          <w:p w:rsidRPr="00E07B63" w:rsidR="00D7204D" w:rsidP="0038771B" w:rsidRDefault="00D7204D" w14:paraId="792EA37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&gt; 250.000</w:t>
            </w:r>
          </w:p>
        </w:tc>
      </w:tr>
      <w:tr w:rsidRPr="00B00EB7" w:rsidR="00D7204D" w:rsidTr="00E07B63" w14:paraId="38529A57"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83"/>
        </w:trPr>
        <w:tc>
          <w:tcPr>
            <w:cnfStyle w:val="001000000000" w:firstRow="0" w:lastRow="0" w:firstColumn="1" w:lastColumn="0" w:oddVBand="0" w:evenVBand="0" w:oddHBand="0" w:evenHBand="0" w:firstRowFirstColumn="0" w:firstRowLastColumn="0" w:lastRowFirstColumn="0" w:lastRowLastColumn="0"/>
            <w:tcW w:w="1281" w:type="dxa"/>
            <w:vMerge w:val="restart"/>
            <w:textDirection w:val="btLr"/>
          </w:tcPr>
          <w:p w:rsidRPr="00E07B63" w:rsidR="00D7204D" w:rsidP="0038771B" w:rsidRDefault="00D7204D" w14:paraId="6269DD42" w14:textId="77777777">
            <w:pPr>
              <w:ind w:left="113" w:right="113"/>
              <w:jc w:val="center"/>
              <w:rPr>
                <w:rFonts w:cstheme="minorHAnsi"/>
                <w:b w:val="0"/>
                <w:bCs w:val="0"/>
                <w:color w:val="000000" w:themeColor="text1"/>
                <w:sz w:val="16"/>
                <w:szCs w:val="16"/>
              </w:rPr>
            </w:pPr>
            <w:r w:rsidRPr="00E07B63">
              <w:rPr>
                <w:rFonts w:cstheme="minorHAnsi"/>
                <w:b w:val="0"/>
                <w:bCs w:val="0"/>
                <w:color w:val="000000" w:themeColor="text1"/>
                <w:sz w:val="16"/>
                <w:szCs w:val="16"/>
              </w:rPr>
              <w:t xml:space="preserve">Leeftijd langstlevende partner bij eerste overlijden </w:t>
            </w:r>
          </w:p>
        </w:tc>
        <w:tc>
          <w:tcPr>
            <w:tcW w:w="1266" w:type="dxa"/>
          </w:tcPr>
          <w:p w:rsidRPr="00E07B63" w:rsidR="00D7204D" w:rsidP="0038771B" w:rsidRDefault="00D7204D" w14:paraId="125A126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50 jaar of jonger</w:t>
            </w:r>
          </w:p>
        </w:tc>
        <w:tc>
          <w:tcPr>
            <w:tcW w:w="1086" w:type="dxa"/>
            <w:vAlign w:val="bottom"/>
          </w:tcPr>
          <w:p w:rsidRPr="00E07B63" w:rsidR="00D7204D" w:rsidP="0038771B" w:rsidRDefault="00D7204D" w14:paraId="2481DD8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c>
          <w:tcPr>
            <w:tcW w:w="1331" w:type="dxa"/>
            <w:vAlign w:val="bottom"/>
          </w:tcPr>
          <w:p w:rsidRPr="00E07B63" w:rsidR="00D7204D" w:rsidP="0038771B" w:rsidRDefault="00D7204D" w14:paraId="251D510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c>
          <w:tcPr>
            <w:tcW w:w="1334" w:type="dxa"/>
            <w:gridSpan w:val="2"/>
            <w:vAlign w:val="bottom"/>
          </w:tcPr>
          <w:p w:rsidRPr="00E07B63" w:rsidR="00D7204D" w:rsidP="0038771B" w:rsidRDefault="00D7204D" w14:paraId="70BA351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0%</w:t>
            </w:r>
          </w:p>
        </w:tc>
        <w:tc>
          <w:tcPr>
            <w:tcW w:w="1340" w:type="dxa"/>
            <w:gridSpan w:val="2"/>
            <w:vAlign w:val="bottom"/>
          </w:tcPr>
          <w:p w:rsidRPr="00E07B63" w:rsidR="00D7204D" w:rsidP="0038771B" w:rsidRDefault="00D7204D" w14:paraId="32945C8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0%</w:t>
            </w:r>
          </w:p>
        </w:tc>
        <w:tc>
          <w:tcPr>
            <w:tcW w:w="1354" w:type="dxa"/>
            <w:gridSpan w:val="2"/>
            <w:vAlign w:val="bottom"/>
          </w:tcPr>
          <w:p w:rsidRPr="00E07B63" w:rsidR="00D7204D" w:rsidP="0038771B" w:rsidRDefault="00D7204D" w14:paraId="00AE432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0%</w:t>
            </w:r>
          </w:p>
        </w:tc>
      </w:tr>
      <w:tr w:rsidRPr="00B00EB7" w:rsidR="00D7204D" w:rsidTr="00E07B63" w14:paraId="4B074B62"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53F7C26A" w14:textId="77777777">
            <w:pPr>
              <w:jc w:val="center"/>
              <w:rPr>
                <w:rFonts w:cstheme="minorHAnsi"/>
                <w:color w:val="000000" w:themeColor="text1"/>
                <w:sz w:val="16"/>
                <w:szCs w:val="16"/>
              </w:rPr>
            </w:pPr>
          </w:p>
        </w:tc>
        <w:tc>
          <w:tcPr>
            <w:tcW w:w="1266" w:type="dxa"/>
          </w:tcPr>
          <w:p w:rsidRPr="00E07B63" w:rsidR="00D7204D" w:rsidP="0038771B" w:rsidRDefault="00D7204D" w14:paraId="62EA3466"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51 t/m 60</w:t>
            </w:r>
          </w:p>
        </w:tc>
        <w:tc>
          <w:tcPr>
            <w:tcW w:w="1086" w:type="dxa"/>
            <w:vAlign w:val="bottom"/>
          </w:tcPr>
          <w:p w:rsidRPr="00E07B63" w:rsidR="00D7204D" w:rsidP="0038771B" w:rsidRDefault="00D7204D" w14:paraId="4DE9095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c>
          <w:tcPr>
            <w:tcW w:w="1331" w:type="dxa"/>
            <w:vAlign w:val="bottom"/>
          </w:tcPr>
          <w:p w:rsidRPr="00E07B63" w:rsidR="00D7204D" w:rsidP="0038771B" w:rsidRDefault="00D7204D" w14:paraId="00192C9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Calibri"/>
                <w:sz w:val="16"/>
                <w:szCs w:val="16"/>
              </w:rPr>
              <w:t>3%</w:t>
            </w:r>
          </w:p>
        </w:tc>
        <w:tc>
          <w:tcPr>
            <w:tcW w:w="1334" w:type="dxa"/>
            <w:gridSpan w:val="2"/>
            <w:vAlign w:val="bottom"/>
          </w:tcPr>
          <w:p w:rsidRPr="00E07B63" w:rsidR="00D7204D" w:rsidP="0038771B" w:rsidRDefault="00D7204D" w14:paraId="60D0AE1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c>
          <w:tcPr>
            <w:tcW w:w="1340" w:type="dxa"/>
            <w:gridSpan w:val="2"/>
            <w:vAlign w:val="bottom"/>
          </w:tcPr>
          <w:p w:rsidRPr="00E07B63" w:rsidR="00D7204D" w:rsidP="0038771B" w:rsidRDefault="00D7204D" w14:paraId="40B29CC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c>
          <w:tcPr>
            <w:tcW w:w="1354" w:type="dxa"/>
            <w:gridSpan w:val="2"/>
            <w:vAlign w:val="bottom"/>
          </w:tcPr>
          <w:p w:rsidRPr="00E07B63" w:rsidR="00D7204D" w:rsidP="0038771B" w:rsidRDefault="00D7204D" w14:paraId="1F34E37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r>
      <w:tr w:rsidRPr="00B00EB7" w:rsidR="00D7204D" w:rsidTr="00E07B63" w14:paraId="3D082FF8"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71E3D1CE" w14:textId="77777777">
            <w:pPr>
              <w:jc w:val="center"/>
              <w:rPr>
                <w:rFonts w:cstheme="minorHAnsi"/>
                <w:color w:val="000000" w:themeColor="text1"/>
                <w:sz w:val="16"/>
                <w:szCs w:val="16"/>
              </w:rPr>
            </w:pPr>
          </w:p>
        </w:tc>
        <w:tc>
          <w:tcPr>
            <w:tcW w:w="1266" w:type="dxa"/>
          </w:tcPr>
          <w:p w:rsidRPr="00E07B63" w:rsidR="00D7204D" w:rsidP="0038771B" w:rsidRDefault="00D7204D" w14:paraId="4BF4B88E"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61 t/m 70</w:t>
            </w:r>
          </w:p>
        </w:tc>
        <w:tc>
          <w:tcPr>
            <w:tcW w:w="1086" w:type="dxa"/>
            <w:vAlign w:val="bottom"/>
          </w:tcPr>
          <w:p w:rsidRPr="00E07B63" w:rsidR="00D7204D" w:rsidP="0038771B" w:rsidRDefault="00D7204D" w14:paraId="06590F0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2%</w:t>
            </w:r>
          </w:p>
        </w:tc>
        <w:tc>
          <w:tcPr>
            <w:tcW w:w="1331" w:type="dxa"/>
            <w:vAlign w:val="bottom"/>
          </w:tcPr>
          <w:p w:rsidRPr="00E07B63" w:rsidR="00D7204D" w:rsidP="0038771B" w:rsidRDefault="00D7204D" w14:paraId="21A1770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8%</w:t>
            </w:r>
          </w:p>
        </w:tc>
        <w:tc>
          <w:tcPr>
            <w:tcW w:w="1334" w:type="dxa"/>
            <w:gridSpan w:val="2"/>
            <w:vAlign w:val="bottom"/>
          </w:tcPr>
          <w:p w:rsidRPr="00E07B63" w:rsidR="00D7204D" w:rsidP="0038771B" w:rsidRDefault="00D7204D" w14:paraId="4A5FFCF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3%</w:t>
            </w:r>
          </w:p>
        </w:tc>
        <w:tc>
          <w:tcPr>
            <w:tcW w:w="1340" w:type="dxa"/>
            <w:gridSpan w:val="2"/>
            <w:vAlign w:val="bottom"/>
          </w:tcPr>
          <w:p w:rsidRPr="00E07B63" w:rsidR="00D7204D" w:rsidP="0038771B" w:rsidRDefault="00D7204D" w14:paraId="5F787D2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4%</w:t>
            </w:r>
          </w:p>
        </w:tc>
        <w:tc>
          <w:tcPr>
            <w:tcW w:w="1354" w:type="dxa"/>
            <w:gridSpan w:val="2"/>
            <w:vAlign w:val="bottom"/>
          </w:tcPr>
          <w:p w:rsidRPr="00E07B63" w:rsidR="00D7204D" w:rsidP="0038771B" w:rsidRDefault="00D7204D" w14:paraId="2C6515F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Calibri"/>
                <w:sz w:val="16"/>
                <w:szCs w:val="16"/>
              </w:rPr>
              <w:t>1%</w:t>
            </w:r>
          </w:p>
        </w:tc>
      </w:tr>
      <w:tr w:rsidRPr="00B00EB7" w:rsidR="00D7204D" w:rsidTr="00E07B63" w14:paraId="5D9FFFCD"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7E25205F" w14:textId="77777777">
            <w:pPr>
              <w:jc w:val="center"/>
              <w:rPr>
                <w:rFonts w:cstheme="minorHAnsi"/>
                <w:color w:val="000000" w:themeColor="text1"/>
                <w:sz w:val="16"/>
                <w:szCs w:val="16"/>
              </w:rPr>
            </w:pPr>
          </w:p>
        </w:tc>
        <w:tc>
          <w:tcPr>
            <w:tcW w:w="1266" w:type="dxa"/>
          </w:tcPr>
          <w:p w:rsidRPr="00E07B63" w:rsidR="00D7204D" w:rsidP="0038771B" w:rsidRDefault="00D7204D" w14:paraId="7157D033"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71 t/m 75</w:t>
            </w:r>
          </w:p>
        </w:tc>
        <w:tc>
          <w:tcPr>
            <w:tcW w:w="1086" w:type="dxa"/>
            <w:vAlign w:val="bottom"/>
          </w:tcPr>
          <w:p w:rsidRPr="00E07B63" w:rsidR="00D7204D" w:rsidP="0038771B" w:rsidRDefault="00D7204D" w14:paraId="50DB1FC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2%</w:t>
            </w:r>
          </w:p>
        </w:tc>
        <w:tc>
          <w:tcPr>
            <w:tcW w:w="1331" w:type="dxa"/>
            <w:vAlign w:val="bottom"/>
          </w:tcPr>
          <w:p w:rsidRPr="00E07B63" w:rsidR="00D7204D" w:rsidP="0038771B" w:rsidRDefault="00D7204D" w14:paraId="015DDFE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8%</w:t>
            </w:r>
          </w:p>
        </w:tc>
        <w:tc>
          <w:tcPr>
            <w:tcW w:w="1334" w:type="dxa"/>
            <w:gridSpan w:val="2"/>
            <w:vAlign w:val="bottom"/>
          </w:tcPr>
          <w:p w:rsidRPr="00E07B63" w:rsidR="00D7204D" w:rsidP="0038771B" w:rsidRDefault="00D7204D" w14:paraId="0963113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3%</w:t>
            </w:r>
          </w:p>
        </w:tc>
        <w:tc>
          <w:tcPr>
            <w:tcW w:w="1340" w:type="dxa"/>
            <w:gridSpan w:val="2"/>
            <w:vAlign w:val="bottom"/>
          </w:tcPr>
          <w:p w:rsidRPr="00E07B63" w:rsidR="00D7204D" w:rsidP="0038771B" w:rsidRDefault="00D7204D" w14:paraId="38970C5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4%</w:t>
            </w:r>
          </w:p>
        </w:tc>
        <w:tc>
          <w:tcPr>
            <w:tcW w:w="1354" w:type="dxa"/>
            <w:gridSpan w:val="2"/>
            <w:vAlign w:val="bottom"/>
          </w:tcPr>
          <w:p w:rsidRPr="00E07B63" w:rsidR="00D7204D" w:rsidP="0038771B" w:rsidRDefault="00D7204D" w14:paraId="15C264C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1%</w:t>
            </w:r>
          </w:p>
        </w:tc>
      </w:tr>
      <w:tr w:rsidRPr="00B00EB7" w:rsidR="00D7204D" w:rsidTr="00E07B63" w14:paraId="40CFC66E"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5E254472" w14:textId="77777777">
            <w:pPr>
              <w:jc w:val="center"/>
              <w:rPr>
                <w:rFonts w:cstheme="minorHAnsi"/>
                <w:color w:val="000000" w:themeColor="text1"/>
                <w:sz w:val="16"/>
                <w:szCs w:val="16"/>
              </w:rPr>
            </w:pPr>
          </w:p>
        </w:tc>
        <w:tc>
          <w:tcPr>
            <w:tcW w:w="1266" w:type="dxa"/>
          </w:tcPr>
          <w:p w:rsidRPr="00E07B63" w:rsidR="00D7204D" w:rsidP="0038771B" w:rsidRDefault="00D7204D" w14:paraId="56BFB59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76 t/m 80</w:t>
            </w:r>
          </w:p>
        </w:tc>
        <w:tc>
          <w:tcPr>
            <w:tcW w:w="1086" w:type="dxa"/>
            <w:vAlign w:val="bottom"/>
          </w:tcPr>
          <w:p w:rsidRPr="00E07B63" w:rsidR="00D7204D" w:rsidP="0038771B" w:rsidRDefault="00D7204D" w14:paraId="13A7069A"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2%</w:t>
            </w:r>
          </w:p>
        </w:tc>
        <w:tc>
          <w:tcPr>
            <w:tcW w:w="1331" w:type="dxa"/>
            <w:vAlign w:val="bottom"/>
          </w:tcPr>
          <w:p w:rsidRPr="00E07B63" w:rsidR="00D7204D" w:rsidP="0038771B" w:rsidRDefault="00D7204D" w14:paraId="09B50F2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9%</w:t>
            </w:r>
          </w:p>
        </w:tc>
        <w:tc>
          <w:tcPr>
            <w:tcW w:w="1334" w:type="dxa"/>
            <w:gridSpan w:val="2"/>
            <w:vAlign w:val="bottom"/>
          </w:tcPr>
          <w:p w:rsidRPr="00E07B63" w:rsidR="00D7204D" w:rsidP="0038771B" w:rsidRDefault="00D7204D" w14:paraId="0211F58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3%</w:t>
            </w:r>
          </w:p>
        </w:tc>
        <w:tc>
          <w:tcPr>
            <w:tcW w:w="1340" w:type="dxa"/>
            <w:gridSpan w:val="2"/>
            <w:vAlign w:val="bottom"/>
          </w:tcPr>
          <w:p w:rsidRPr="00E07B63" w:rsidR="00D7204D" w:rsidP="0038771B" w:rsidRDefault="00D7204D" w14:paraId="0605DB2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5%</w:t>
            </w:r>
          </w:p>
        </w:tc>
        <w:tc>
          <w:tcPr>
            <w:tcW w:w="1354" w:type="dxa"/>
            <w:gridSpan w:val="2"/>
            <w:vAlign w:val="bottom"/>
          </w:tcPr>
          <w:p w:rsidRPr="00E07B63" w:rsidR="00D7204D" w:rsidP="0038771B" w:rsidRDefault="00D7204D" w14:paraId="29B5DC4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1%</w:t>
            </w:r>
          </w:p>
        </w:tc>
      </w:tr>
      <w:tr w:rsidRPr="00B00EB7" w:rsidR="00D7204D" w:rsidTr="00E07B63" w14:paraId="3FE20E6B"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7DFC3B38" w14:textId="77777777">
            <w:pPr>
              <w:jc w:val="center"/>
              <w:rPr>
                <w:rFonts w:cstheme="minorHAnsi"/>
                <w:color w:val="000000" w:themeColor="text1"/>
                <w:sz w:val="16"/>
                <w:szCs w:val="16"/>
              </w:rPr>
            </w:pPr>
          </w:p>
        </w:tc>
        <w:tc>
          <w:tcPr>
            <w:tcW w:w="1266" w:type="dxa"/>
          </w:tcPr>
          <w:p w:rsidRPr="00E07B63" w:rsidR="00D7204D" w:rsidP="0038771B" w:rsidRDefault="00D7204D" w14:paraId="5078BFFD"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81 t/m 85</w:t>
            </w:r>
          </w:p>
        </w:tc>
        <w:tc>
          <w:tcPr>
            <w:tcW w:w="1086" w:type="dxa"/>
            <w:vAlign w:val="bottom"/>
          </w:tcPr>
          <w:p w:rsidRPr="00E07B63" w:rsidR="00D7204D" w:rsidP="0038771B" w:rsidRDefault="00D7204D" w14:paraId="436A356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2%</w:t>
            </w:r>
          </w:p>
        </w:tc>
        <w:tc>
          <w:tcPr>
            <w:tcW w:w="1331" w:type="dxa"/>
            <w:vAlign w:val="bottom"/>
          </w:tcPr>
          <w:p w:rsidRPr="00E07B63" w:rsidR="00D7204D" w:rsidP="0038771B" w:rsidRDefault="00D7204D" w14:paraId="5C90CC1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9%</w:t>
            </w:r>
          </w:p>
        </w:tc>
        <w:tc>
          <w:tcPr>
            <w:tcW w:w="1334" w:type="dxa"/>
            <w:gridSpan w:val="2"/>
            <w:vAlign w:val="bottom"/>
          </w:tcPr>
          <w:p w:rsidRPr="00E07B63" w:rsidR="00D7204D" w:rsidP="0038771B" w:rsidRDefault="00D7204D" w14:paraId="39F1CC3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3%</w:t>
            </w:r>
          </w:p>
        </w:tc>
        <w:tc>
          <w:tcPr>
            <w:tcW w:w="1340" w:type="dxa"/>
            <w:gridSpan w:val="2"/>
            <w:vAlign w:val="bottom"/>
          </w:tcPr>
          <w:p w:rsidRPr="00E07B63" w:rsidR="00D7204D" w:rsidP="0038771B" w:rsidRDefault="00D7204D" w14:paraId="0C33651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4%</w:t>
            </w:r>
          </w:p>
        </w:tc>
        <w:tc>
          <w:tcPr>
            <w:tcW w:w="1354" w:type="dxa"/>
            <w:gridSpan w:val="2"/>
            <w:vAlign w:val="bottom"/>
          </w:tcPr>
          <w:p w:rsidRPr="00E07B63" w:rsidR="00D7204D" w:rsidP="0038771B" w:rsidRDefault="00D7204D" w14:paraId="2ABA15C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1%</w:t>
            </w:r>
          </w:p>
        </w:tc>
      </w:tr>
      <w:tr w:rsidRPr="00B00EB7" w:rsidR="00D7204D" w:rsidTr="00E07B63" w14:paraId="5388A206"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5E4FEF45" w14:textId="77777777">
            <w:pPr>
              <w:jc w:val="center"/>
              <w:rPr>
                <w:rFonts w:cstheme="minorHAnsi"/>
                <w:color w:val="000000" w:themeColor="text1"/>
                <w:sz w:val="16"/>
                <w:szCs w:val="16"/>
              </w:rPr>
            </w:pPr>
          </w:p>
        </w:tc>
        <w:tc>
          <w:tcPr>
            <w:tcW w:w="1266" w:type="dxa"/>
          </w:tcPr>
          <w:p w:rsidRPr="00E07B63" w:rsidR="00D7204D" w:rsidP="0038771B" w:rsidRDefault="00D7204D" w14:paraId="3B9B0016"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86 t/m 90</w:t>
            </w:r>
          </w:p>
        </w:tc>
        <w:tc>
          <w:tcPr>
            <w:tcW w:w="1086" w:type="dxa"/>
            <w:vAlign w:val="bottom"/>
          </w:tcPr>
          <w:p w:rsidRPr="00E07B63" w:rsidR="00D7204D" w:rsidP="0038771B" w:rsidRDefault="00D7204D" w14:paraId="445F138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2%</w:t>
            </w:r>
          </w:p>
        </w:tc>
        <w:tc>
          <w:tcPr>
            <w:tcW w:w="1331" w:type="dxa"/>
            <w:vAlign w:val="bottom"/>
          </w:tcPr>
          <w:p w:rsidRPr="00E07B63" w:rsidR="00D7204D" w:rsidP="0038771B" w:rsidRDefault="00D7204D" w14:paraId="0E7DCD9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6%</w:t>
            </w:r>
          </w:p>
        </w:tc>
        <w:tc>
          <w:tcPr>
            <w:tcW w:w="1334" w:type="dxa"/>
            <w:gridSpan w:val="2"/>
            <w:vAlign w:val="bottom"/>
          </w:tcPr>
          <w:p w:rsidRPr="00E07B63" w:rsidR="00D7204D" w:rsidP="0038771B" w:rsidRDefault="00D7204D" w14:paraId="0B4594C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1%</w:t>
            </w:r>
          </w:p>
        </w:tc>
        <w:tc>
          <w:tcPr>
            <w:tcW w:w="1340" w:type="dxa"/>
            <w:gridSpan w:val="2"/>
            <w:vAlign w:val="bottom"/>
          </w:tcPr>
          <w:p w:rsidRPr="00E07B63" w:rsidR="00D7204D" w:rsidP="0038771B" w:rsidRDefault="00D7204D" w14:paraId="0769EF4A"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2%</w:t>
            </w:r>
          </w:p>
        </w:tc>
        <w:tc>
          <w:tcPr>
            <w:tcW w:w="1354" w:type="dxa"/>
            <w:gridSpan w:val="2"/>
            <w:vAlign w:val="bottom"/>
          </w:tcPr>
          <w:p w:rsidRPr="00E07B63" w:rsidR="00D7204D" w:rsidP="0038771B" w:rsidRDefault="00D7204D" w14:paraId="060D9E9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07B63">
              <w:rPr>
                <w:rFonts w:cs="Calibri"/>
                <w:sz w:val="16"/>
                <w:szCs w:val="16"/>
              </w:rPr>
              <w:t>1%</w:t>
            </w:r>
          </w:p>
        </w:tc>
      </w:tr>
      <w:tr w:rsidRPr="00B00EB7" w:rsidR="00D7204D" w:rsidTr="00E07B63" w14:paraId="407C329C"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7204D" w:rsidP="0038771B" w:rsidRDefault="00D7204D" w14:paraId="3BBCA45C" w14:textId="77777777">
            <w:pPr>
              <w:jc w:val="center"/>
              <w:rPr>
                <w:rFonts w:cstheme="minorHAnsi"/>
                <w:color w:val="000000" w:themeColor="text1"/>
                <w:sz w:val="16"/>
                <w:szCs w:val="16"/>
              </w:rPr>
            </w:pPr>
          </w:p>
        </w:tc>
        <w:tc>
          <w:tcPr>
            <w:tcW w:w="1266" w:type="dxa"/>
          </w:tcPr>
          <w:p w:rsidRPr="00E07B63" w:rsidR="00D7204D" w:rsidP="0038771B" w:rsidRDefault="00D7204D" w14:paraId="4EFA31A4"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07B63">
              <w:rPr>
                <w:rFonts w:cstheme="minorHAnsi"/>
                <w:color w:val="000000" w:themeColor="text1"/>
                <w:sz w:val="16"/>
                <w:szCs w:val="16"/>
              </w:rPr>
              <w:t>91 jaar of ouder</w:t>
            </w:r>
          </w:p>
        </w:tc>
        <w:tc>
          <w:tcPr>
            <w:tcW w:w="1086" w:type="dxa"/>
            <w:vAlign w:val="bottom"/>
          </w:tcPr>
          <w:p w:rsidRPr="00E07B63" w:rsidR="00D7204D" w:rsidP="0038771B" w:rsidRDefault="00D7204D" w14:paraId="6F4F40B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1%</w:t>
            </w:r>
          </w:p>
        </w:tc>
        <w:tc>
          <w:tcPr>
            <w:tcW w:w="1331" w:type="dxa"/>
            <w:vAlign w:val="bottom"/>
          </w:tcPr>
          <w:p w:rsidRPr="00E07B63" w:rsidR="00D7204D" w:rsidP="0038771B" w:rsidRDefault="00D7204D" w14:paraId="4E7261AE"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2%</w:t>
            </w:r>
          </w:p>
        </w:tc>
        <w:tc>
          <w:tcPr>
            <w:tcW w:w="1334" w:type="dxa"/>
            <w:gridSpan w:val="2"/>
            <w:vAlign w:val="bottom"/>
          </w:tcPr>
          <w:p w:rsidRPr="00E07B63" w:rsidR="00D7204D" w:rsidP="0038771B" w:rsidRDefault="00D7204D" w14:paraId="151A28D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0%</w:t>
            </w:r>
          </w:p>
        </w:tc>
        <w:tc>
          <w:tcPr>
            <w:tcW w:w="1340" w:type="dxa"/>
            <w:gridSpan w:val="2"/>
            <w:vAlign w:val="bottom"/>
          </w:tcPr>
          <w:p w:rsidRPr="00E07B63" w:rsidR="00D7204D" w:rsidP="0038771B" w:rsidRDefault="00D7204D" w14:paraId="279E087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1%</w:t>
            </w:r>
          </w:p>
        </w:tc>
        <w:tc>
          <w:tcPr>
            <w:tcW w:w="1354" w:type="dxa"/>
            <w:gridSpan w:val="2"/>
            <w:vAlign w:val="bottom"/>
          </w:tcPr>
          <w:p w:rsidRPr="00E07B63" w:rsidR="00D7204D" w:rsidP="0038771B" w:rsidRDefault="00D7204D" w14:paraId="74B78BD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7B63">
              <w:rPr>
                <w:rFonts w:cs="Calibri"/>
                <w:sz w:val="16"/>
                <w:szCs w:val="16"/>
              </w:rPr>
              <w:t>0%</w:t>
            </w:r>
          </w:p>
        </w:tc>
      </w:tr>
    </w:tbl>
    <w:p w:rsidR="00D7204D" w:rsidP="00D7204D" w:rsidRDefault="00D7204D" w14:paraId="77AE6867" w14:textId="77777777">
      <w:pPr>
        <w:contextualSpacing/>
        <w:jc w:val="both"/>
        <w:rPr>
          <w:i/>
          <w:iCs/>
          <w:sz w:val="16"/>
          <w:szCs w:val="16"/>
        </w:rPr>
      </w:pPr>
    </w:p>
    <w:p w:rsidR="00CF508C" w:rsidP="00D7204D" w:rsidRDefault="00CF508C" w14:paraId="78E84089" w14:textId="77777777">
      <w:pPr>
        <w:contextualSpacing/>
        <w:jc w:val="both"/>
        <w:rPr>
          <w:i/>
          <w:iCs/>
          <w:sz w:val="16"/>
          <w:szCs w:val="16"/>
        </w:rPr>
      </w:pPr>
    </w:p>
    <w:p w:rsidR="00CF508C" w:rsidP="00D7204D" w:rsidRDefault="00CF508C" w14:paraId="0100B133" w14:textId="77777777">
      <w:pPr>
        <w:contextualSpacing/>
        <w:jc w:val="both"/>
        <w:rPr>
          <w:i/>
          <w:iCs/>
          <w:sz w:val="16"/>
          <w:szCs w:val="16"/>
        </w:rPr>
      </w:pPr>
    </w:p>
    <w:p w:rsidR="00CF508C" w:rsidP="00D7204D" w:rsidRDefault="00CF508C" w14:paraId="129A9486" w14:textId="77777777">
      <w:pPr>
        <w:contextualSpacing/>
        <w:jc w:val="both"/>
        <w:rPr>
          <w:i/>
          <w:iCs/>
          <w:sz w:val="16"/>
          <w:szCs w:val="16"/>
        </w:rPr>
      </w:pPr>
    </w:p>
    <w:p w:rsidR="00CF508C" w:rsidP="00D7204D" w:rsidRDefault="00CF508C" w14:paraId="4F40857D" w14:textId="77777777">
      <w:pPr>
        <w:contextualSpacing/>
        <w:jc w:val="both"/>
        <w:rPr>
          <w:i/>
          <w:iCs/>
          <w:sz w:val="16"/>
          <w:szCs w:val="16"/>
        </w:rPr>
      </w:pPr>
    </w:p>
    <w:p w:rsidR="00CF508C" w:rsidP="00D7204D" w:rsidRDefault="00CF508C" w14:paraId="794DE336" w14:textId="77777777">
      <w:pPr>
        <w:contextualSpacing/>
        <w:jc w:val="both"/>
        <w:rPr>
          <w:i/>
          <w:iCs/>
          <w:sz w:val="16"/>
          <w:szCs w:val="16"/>
        </w:rPr>
      </w:pPr>
    </w:p>
    <w:p w:rsidR="00CF508C" w:rsidP="00D7204D" w:rsidRDefault="00CF508C" w14:paraId="3C128C33" w14:textId="77777777">
      <w:pPr>
        <w:contextualSpacing/>
        <w:jc w:val="both"/>
        <w:rPr>
          <w:i/>
          <w:iCs/>
          <w:sz w:val="16"/>
          <w:szCs w:val="16"/>
        </w:rPr>
      </w:pPr>
    </w:p>
    <w:p w:rsidR="00CF508C" w:rsidP="00D7204D" w:rsidRDefault="00CF508C" w14:paraId="2E99447D" w14:textId="77777777">
      <w:pPr>
        <w:contextualSpacing/>
        <w:jc w:val="both"/>
        <w:rPr>
          <w:i/>
          <w:iCs/>
          <w:sz w:val="16"/>
          <w:szCs w:val="16"/>
        </w:rPr>
      </w:pPr>
    </w:p>
    <w:p w:rsidR="00CF508C" w:rsidP="00D7204D" w:rsidRDefault="00CF508C" w14:paraId="48E53F95" w14:textId="77777777">
      <w:pPr>
        <w:contextualSpacing/>
        <w:jc w:val="both"/>
        <w:rPr>
          <w:i/>
          <w:iCs/>
          <w:sz w:val="16"/>
          <w:szCs w:val="16"/>
        </w:rPr>
      </w:pPr>
    </w:p>
    <w:p w:rsidR="00CF508C" w:rsidP="00D7204D" w:rsidRDefault="00CF508C" w14:paraId="1DC51E9B" w14:textId="77777777">
      <w:pPr>
        <w:contextualSpacing/>
        <w:jc w:val="both"/>
        <w:rPr>
          <w:i/>
          <w:iCs/>
          <w:sz w:val="16"/>
          <w:szCs w:val="16"/>
        </w:rPr>
      </w:pPr>
    </w:p>
    <w:p w:rsidR="00CF508C" w:rsidP="00D7204D" w:rsidRDefault="00CF508C" w14:paraId="2E33F43B" w14:textId="77777777">
      <w:pPr>
        <w:contextualSpacing/>
        <w:jc w:val="both"/>
        <w:rPr>
          <w:i/>
          <w:iCs/>
          <w:sz w:val="16"/>
          <w:szCs w:val="16"/>
        </w:rPr>
      </w:pPr>
    </w:p>
    <w:p w:rsidR="00CF508C" w:rsidP="00D7204D" w:rsidRDefault="00CF508C" w14:paraId="1A2D3FB2" w14:textId="77777777">
      <w:pPr>
        <w:contextualSpacing/>
        <w:jc w:val="both"/>
        <w:rPr>
          <w:i/>
          <w:iCs/>
          <w:sz w:val="16"/>
          <w:szCs w:val="16"/>
        </w:rPr>
      </w:pPr>
    </w:p>
    <w:p w:rsidR="00CF508C" w:rsidP="00D7204D" w:rsidRDefault="00CF508C" w14:paraId="54F15559" w14:textId="77777777">
      <w:pPr>
        <w:contextualSpacing/>
        <w:jc w:val="both"/>
        <w:rPr>
          <w:i/>
          <w:iCs/>
          <w:sz w:val="16"/>
          <w:szCs w:val="16"/>
        </w:rPr>
      </w:pPr>
    </w:p>
    <w:p w:rsidR="00CF508C" w:rsidP="00D7204D" w:rsidRDefault="00CF508C" w14:paraId="49640E53" w14:textId="77777777">
      <w:pPr>
        <w:contextualSpacing/>
        <w:jc w:val="both"/>
        <w:rPr>
          <w:i/>
          <w:iCs/>
          <w:sz w:val="16"/>
          <w:szCs w:val="16"/>
        </w:rPr>
      </w:pPr>
    </w:p>
    <w:p w:rsidR="00CF508C" w:rsidP="00D7204D" w:rsidRDefault="00CF508C" w14:paraId="1E865B93" w14:textId="77777777">
      <w:pPr>
        <w:contextualSpacing/>
        <w:jc w:val="both"/>
        <w:rPr>
          <w:i/>
          <w:iCs/>
          <w:sz w:val="16"/>
          <w:szCs w:val="16"/>
        </w:rPr>
      </w:pPr>
    </w:p>
    <w:p w:rsidR="00A55189" w:rsidP="00A55189" w:rsidRDefault="00A55189" w14:paraId="2373CC94" w14:textId="77777777">
      <w:pPr>
        <w:pStyle w:val="Lijstalinea"/>
        <w:ind w:left="1065"/>
        <w:jc w:val="both"/>
        <w:rPr>
          <w:b/>
          <w:bCs/>
        </w:rPr>
      </w:pPr>
    </w:p>
    <w:p w:rsidRPr="00717985" w:rsidR="00D7204D" w:rsidP="00D7204D" w:rsidRDefault="00D7204D" w14:paraId="2C7C09C2" w14:textId="77777777">
      <w:pPr>
        <w:pStyle w:val="Lijstalinea"/>
        <w:numPr>
          <w:ilvl w:val="1"/>
          <w:numId w:val="6"/>
        </w:numPr>
        <w:jc w:val="both"/>
        <w:rPr>
          <w:b/>
          <w:bCs/>
        </w:rPr>
      </w:pPr>
      <w:r w:rsidRPr="00717985">
        <w:rPr>
          <w:b/>
          <w:bCs/>
        </w:rPr>
        <w:t>Beschrijving budgettaire effecten</w:t>
      </w:r>
    </w:p>
    <w:p w:rsidR="00D7204D" w:rsidP="00D7204D" w:rsidRDefault="00D7204D" w14:paraId="2D8F0F99" w14:textId="77777777">
      <w:pPr>
        <w:contextualSpacing/>
        <w:jc w:val="both"/>
      </w:pPr>
      <w:r>
        <w:t xml:space="preserve">Om de budgettaire effecten beter te kunnen interpreteren wordt allereerst toegelicht hoe het moderniseren van de forfaits doorwerkt in de verschuldigde erfbelasting. De hoogte van de overeengekomen rente is namelijk van invloed op welke manier en op welk moment in de tijd modernisering doorwerkt (zie samenvatting in tabel </w:t>
      </w:r>
      <w:r w:rsidR="0078689A">
        <w:t>4</w:t>
      </w:r>
      <w:r>
        <w:t xml:space="preserve">). </w:t>
      </w:r>
    </w:p>
    <w:p w:rsidR="00D7204D" w:rsidP="00D7204D" w:rsidRDefault="00D7204D" w14:paraId="64563C4B" w14:textId="77777777">
      <w:pPr>
        <w:contextualSpacing/>
        <w:jc w:val="both"/>
      </w:pPr>
    </w:p>
    <w:p w:rsidR="00D7204D" w:rsidP="00D7204D" w:rsidRDefault="00D7204D" w14:paraId="5B53EFAC" w14:textId="77777777">
      <w:pPr>
        <w:contextualSpacing/>
        <w:jc w:val="both"/>
      </w:pPr>
      <w:r>
        <w:t xml:space="preserve">Tabel </w:t>
      </w:r>
      <w:r w:rsidR="0078689A">
        <w:t>4</w:t>
      </w:r>
      <w:r>
        <w:tab/>
        <w:t xml:space="preserve"> Verdeling </w:t>
      </w:r>
      <w:proofErr w:type="spellStart"/>
      <w:r>
        <w:t>onderbedelingsvorderingen</w:t>
      </w:r>
      <w:proofErr w:type="spellEnd"/>
      <w:r>
        <w:t xml:space="preserve"> naar hoogte overeengekomen rente (2021)</w:t>
      </w:r>
    </w:p>
    <w:tbl>
      <w:tblPr>
        <w:tblStyle w:val="Rastertabel4-Accent1"/>
        <w:tblW w:w="9067" w:type="dxa"/>
        <w:tblLayout w:type="fixed"/>
        <w:tblLook w:val="04A0" w:firstRow="1" w:lastRow="0" w:firstColumn="1" w:lastColumn="0" w:noHBand="0" w:noVBand="1"/>
      </w:tblPr>
      <w:tblGrid>
        <w:gridCol w:w="1555"/>
        <w:gridCol w:w="1347"/>
        <w:gridCol w:w="2445"/>
        <w:gridCol w:w="3720"/>
      </w:tblGrid>
      <w:tr w:rsidRPr="00031989" w:rsidR="00D7204D" w:rsidTr="0038771B" w14:paraId="76D940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rsidRPr="00E07B63" w:rsidR="00D7204D" w:rsidP="0038771B" w:rsidRDefault="00D7204D" w14:paraId="3E1E7EF0" w14:textId="77777777">
            <w:pPr>
              <w:spacing w:after="160" w:line="259" w:lineRule="auto"/>
              <w:contextualSpacing/>
              <w:jc w:val="both"/>
              <w:rPr>
                <w:color w:val="FFFFFF" w:themeColor="background1"/>
                <w:sz w:val="16"/>
                <w:szCs w:val="16"/>
              </w:rPr>
            </w:pPr>
            <w:r w:rsidRPr="00E07B63">
              <w:rPr>
                <w:color w:val="FFFFFF" w:themeColor="background1"/>
                <w:sz w:val="16"/>
                <w:szCs w:val="16"/>
              </w:rPr>
              <w:t xml:space="preserve">Overeengekomen rente </w:t>
            </w:r>
          </w:p>
        </w:tc>
        <w:tc>
          <w:tcPr>
            <w:tcW w:w="1347" w:type="dxa"/>
          </w:tcPr>
          <w:p w:rsidRPr="00E07B63" w:rsidR="00D7204D" w:rsidP="0038771B" w:rsidRDefault="00D7204D" w14:paraId="32F894C8"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07B63">
              <w:rPr>
                <w:color w:val="FFFFFF" w:themeColor="background1"/>
                <w:sz w:val="16"/>
                <w:szCs w:val="16"/>
              </w:rPr>
              <w:t>Nagelaten vermogen (</w:t>
            </w:r>
            <w:proofErr w:type="spellStart"/>
            <w:r w:rsidRPr="00E07B63">
              <w:rPr>
                <w:color w:val="FFFFFF" w:themeColor="background1"/>
                <w:sz w:val="16"/>
                <w:szCs w:val="16"/>
              </w:rPr>
              <w:t>mld</w:t>
            </w:r>
            <w:proofErr w:type="spellEnd"/>
            <w:r w:rsidRPr="00E07B63">
              <w:rPr>
                <w:color w:val="FFFFFF" w:themeColor="background1"/>
                <w:sz w:val="16"/>
                <w:szCs w:val="16"/>
              </w:rPr>
              <w:t xml:space="preserve"> €)</w:t>
            </w:r>
          </w:p>
        </w:tc>
        <w:tc>
          <w:tcPr>
            <w:tcW w:w="2445" w:type="dxa"/>
          </w:tcPr>
          <w:p w:rsidRPr="00E07B63" w:rsidR="00D7204D" w:rsidP="0038771B" w:rsidRDefault="00D7204D" w14:paraId="05707D19"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07B63">
              <w:rPr>
                <w:color w:val="FFFFFF" w:themeColor="background1"/>
                <w:sz w:val="16"/>
                <w:szCs w:val="16"/>
              </w:rPr>
              <w:t>Moment(en) budgettair effect</w:t>
            </w:r>
          </w:p>
        </w:tc>
        <w:tc>
          <w:tcPr>
            <w:tcW w:w="3720" w:type="dxa"/>
          </w:tcPr>
          <w:p w:rsidRPr="00E07B63" w:rsidR="00D7204D" w:rsidP="0038771B" w:rsidRDefault="00D7204D" w14:paraId="477BE3A6" w14:textId="77777777">
            <w:pPr>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07B63">
              <w:rPr>
                <w:color w:val="FFFFFF" w:themeColor="background1"/>
                <w:sz w:val="16"/>
                <w:szCs w:val="16"/>
              </w:rPr>
              <w:t>Beknopte omschrijving budgettair effect</w:t>
            </w:r>
          </w:p>
        </w:tc>
      </w:tr>
      <w:tr w:rsidRPr="001D794E" w:rsidR="00D7204D" w:rsidTr="0038771B" w14:paraId="4F981C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07B63" w:rsidR="00D7204D" w:rsidP="0038771B" w:rsidRDefault="00D7204D" w14:paraId="07922F59" w14:textId="77777777">
            <w:pPr>
              <w:contextualSpacing/>
              <w:jc w:val="both"/>
              <w:rPr>
                <w:b w:val="0"/>
                <w:bCs w:val="0"/>
                <w:sz w:val="16"/>
                <w:szCs w:val="16"/>
              </w:rPr>
            </w:pPr>
            <w:r w:rsidRPr="00E07B63">
              <w:rPr>
                <w:b w:val="0"/>
                <w:bCs w:val="0"/>
                <w:sz w:val="16"/>
                <w:szCs w:val="16"/>
              </w:rPr>
              <w:t>0%</w:t>
            </w:r>
          </w:p>
        </w:tc>
        <w:tc>
          <w:tcPr>
            <w:tcW w:w="1347" w:type="dxa"/>
          </w:tcPr>
          <w:p w:rsidRPr="00E07B63" w:rsidR="00D7204D" w:rsidP="0038771B" w:rsidRDefault="00D7204D" w14:paraId="0E2F135F"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3,0</w:t>
            </w:r>
          </w:p>
        </w:tc>
        <w:tc>
          <w:tcPr>
            <w:tcW w:w="2445" w:type="dxa"/>
          </w:tcPr>
          <w:p w:rsidRPr="00E07B63" w:rsidR="00D7204D" w:rsidP="0038771B" w:rsidRDefault="00D7204D" w14:paraId="3F06D32B" w14:textId="77777777">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Bij overlijden kortst levende partner</w:t>
            </w:r>
          </w:p>
        </w:tc>
        <w:tc>
          <w:tcPr>
            <w:tcW w:w="3720" w:type="dxa"/>
          </w:tcPr>
          <w:p w:rsidRPr="00E07B63" w:rsidR="00D7204D" w:rsidP="0038771B" w:rsidRDefault="00D7204D" w14:paraId="03DFE02E" w14:textId="77777777">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 xml:space="preserve">Lagere waardering fictief vruchtgebruik langstlevende partner.  Hogere verkrijging </w:t>
            </w:r>
            <w:r w:rsidRPr="00E07B63">
              <w:rPr>
                <w:sz w:val="16"/>
                <w:szCs w:val="16"/>
              </w:rPr>
              <w:lastRenderedPageBreak/>
              <w:t>kinderen en hogere erfbelasting kinderen. Lagere verkrijging langstlevende partner, maar in veel gevallen viel verkrijging al onder hoge partnervrijstelling en treedt er bij de langstlevende partner geen budgettair effect op.</w:t>
            </w:r>
          </w:p>
          <w:p w:rsidRPr="00E07B63" w:rsidR="00D7204D" w:rsidP="0038771B" w:rsidRDefault="00D7204D" w14:paraId="3EA80A18" w14:textId="77777777">
            <w:pPr>
              <w:contextualSpacing/>
              <w:cnfStyle w:val="000000100000" w:firstRow="0" w:lastRow="0" w:firstColumn="0" w:lastColumn="0" w:oddVBand="0" w:evenVBand="0" w:oddHBand="1" w:evenHBand="0" w:firstRowFirstColumn="0" w:firstRowLastColumn="0" w:lastRowFirstColumn="0" w:lastRowLastColumn="0"/>
              <w:rPr>
                <w:sz w:val="16"/>
                <w:szCs w:val="16"/>
              </w:rPr>
            </w:pPr>
          </w:p>
        </w:tc>
      </w:tr>
      <w:tr w:rsidRPr="001D794E" w:rsidR="00D7204D" w:rsidTr="0038771B" w14:paraId="2EF0C9F7" w14:textId="77777777">
        <w:tc>
          <w:tcPr>
            <w:cnfStyle w:val="001000000000" w:firstRow="0" w:lastRow="0" w:firstColumn="1" w:lastColumn="0" w:oddVBand="0" w:evenVBand="0" w:oddHBand="0" w:evenHBand="0" w:firstRowFirstColumn="0" w:firstRowLastColumn="0" w:lastRowFirstColumn="0" w:lastRowLastColumn="0"/>
            <w:tcW w:w="1555" w:type="dxa"/>
            <w:hideMark/>
          </w:tcPr>
          <w:p w:rsidRPr="00E07B63" w:rsidR="00D7204D" w:rsidP="0038771B" w:rsidRDefault="00D7204D" w14:paraId="197EB66F" w14:textId="77777777">
            <w:pPr>
              <w:spacing w:after="160" w:line="259" w:lineRule="auto"/>
              <w:contextualSpacing/>
              <w:jc w:val="both"/>
              <w:rPr>
                <w:b w:val="0"/>
                <w:bCs w:val="0"/>
                <w:sz w:val="16"/>
                <w:szCs w:val="16"/>
              </w:rPr>
            </w:pPr>
            <w:r w:rsidRPr="00E07B63">
              <w:rPr>
                <w:b w:val="0"/>
                <w:bCs w:val="0"/>
                <w:sz w:val="16"/>
                <w:szCs w:val="16"/>
              </w:rPr>
              <w:lastRenderedPageBreak/>
              <w:t>Gelijk aan rekenrente (nu 6%)</w:t>
            </w:r>
          </w:p>
        </w:tc>
        <w:tc>
          <w:tcPr>
            <w:tcW w:w="1347" w:type="dxa"/>
          </w:tcPr>
          <w:p w:rsidRPr="00E07B63" w:rsidR="00D7204D" w:rsidP="0038771B" w:rsidRDefault="00D7204D" w14:paraId="2D297500" w14:textId="77777777">
            <w:pPr>
              <w:contextualSpacing/>
              <w:jc w:val="center"/>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1,8</w:t>
            </w:r>
          </w:p>
        </w:tc>
        <w:tc>
          <w:tcPr>
            <w:tcW w:w="2445" w:type="dxa"/>
          </w:tcPr>
          <w:p w:rsidRPr="00E07B63" w:rsidR="00D7204D" w:rsidP="0038771B" w:rsidRDefault="00D7204D" w14:paraId="2A7A4F14" w14:textId="77777777">
            <w:pPr>
              <w:contextualSpacing/>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Bij overlijden langstlevende partner</w:t>
            </w:r>
          </w:p>
        </w:tc>
        <w:tc>
          <w:tcPr>
            <w:tcW w:w="3720" w:type="dxa"/>
          </w:tcPr>
          <w:p w:rsidRPr="00E07B63" w:rsidR="00D7204D" w:rsidP="0038771B" w:rsidRDefault="00D7204D" w14:paraId="31387015" w14:textId="77777777">
            <w:pPr>
              <w:contextualSpacing/>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 xml:space="preserve">Minder oprenting vordering. Hogere nalatenschap langstlevende partner en hogere verschuldigde erfbelasting kinderen.  </w:t>
            </w:r>
          </w:p>
          <w:p w:rsidRPr="00E07B63" w:rsidR="00D7204D" w:rsidP="0038771B" w:rsidRDefault="00D7204D" w14:paraId="5D30A9D9" w14:textId="77777777">
            <w:pPr>
              <w:contextualSpacing/>
              <w:cnfStyle w:val="000000000000" w:firstRow="0" w:lastRow="0" w:firstColumn="0" w:lastColumn="0" w:oddVBand="0" w:evenVBand="0" w:oddHBand="0" w:evenHBand="0" w:firstRowFirstColumn="0" w:firstRowLastColumn="0" w:lastRowFirstColumn="0" w:lastRowLastColumn="0"/>
              <w:rPr>
                <w:sz w:val="16"/>
                <w:szCs w:val="16"/>
              </w:rPr>
            </w:pPr>
          </w:p>
        </w:tc>
      </w:tr>
      <w:tr w:rsidRPr="001D794E" w:rsidR="00D7204D" w:rsidTr="0038771B" w14:paraId="7B7CF1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07B63" w:rsidR="00D7204D" w:rsidP="0038771B" w:rsidRDefault="00D7204D" w14:paraId="6680E44A" w14:textId="77777777">
            <w:pPr>
              <w:spacing w:after="160" w:line="259" w:lineRule="auto"/>
              <w:contextualSpacing/>
              <w:jc w:val="both"/>
              <w:rPr>
                <w:sz w:val="16"/>
                <w:szCs w:val="16"/>
              </w:rPr>
            </w:pPr>
            <w:r w:rsidRPr="00E07B63">
              <w:rPr>
                <w:b w:val="0"/>
                <w:bCs w:val="0"/>
                <w:sz w:val="16"/>
                <w:szCs w:val="16"/>
              </w:rPr>
              <w:t>Tussen 0%</w:t>
            </w:r>
            <w:r w:rsidRPr="00E07B63">
              <w:rPr>
                <w:rStyle w:val="Voetnootmarkering"/>
                <w:b w:val="0"/>
                <w:bCs w:val="0"/>
                <w:sz w:val="16"/>
                <w:szCs w:val="16"/>
              </w:rPr>
              <w:footnoteReference w:id="3"/>
            </w:r>
            <w:r w:rsidRPr="00E07B63">
              <w:rPr>
                <w:b w:val="0"/>
                <w:bCs w:val="0"/>
                <w:sz w:val="16"/>
                <w:szCs w:val="16"/>
              </w:rPr>
              <w:t xml:space="preserve"> en rekenrente (nu 6%) </w:t>
            </w:r>
          </w:p>
          <w:p w:rsidRPr="00E07B63" w:rsidR="00D7204D" w:rsidP="0038771B" w:rsidRDefault="00D7204D" w14:paraId="79C2E9BC" w14:textId="77777777">
            <w:pPr>
              <w:contextualSpacing/>
              <w:jc w:val="both"/>
              <w:rPr>
                <w:sz w:val="16"/>
                <w:szCs w:val="16"/>
              </w:rPr>
            </w:pPr>
          </w:p>
        </w:tc>
        <w:tc>
          <w:tcPr>
            <w:tcW w:w="1347" w:type="dxa"/>
          </w:tcPr>
          <w:p w:rsidRPr="00E07B63" w:rsidR="00D7204D" w:rsidP="0038771B" w:rsidRDefault="00D7204D" w14:paraId="458DBEFE" w14:textId="77777777">
            <w:pPr>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1,0</w:t>
            </w:r>
          </w:p>
        </w:tc>
        <w:tc>
          <w:tcPr>
            <w:tcW w:w="2445" w:type="dxa"/>
          </w:tcPr>
          <w:p w:rsidRPr="00E07B63" w:rsidR="00D7204D" w:rsidP="0038771B" w:rsidRDefault="00D7204D" w14:paraId="69E4ED1D" w14:textId="77777777">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Bij overlijden kortst levende partner en overlijden langstlevende partner</w:t>
            </w:r>
          </w:p>
        </w:tc>
        <w:tc>
          <w:tcPr>
            <w:tcW w:w="3720" w:type="dxa"/>
          </w:tcPr>
          <w:p w:rsidRPr="00E07B63" w:rsidR="00D7204D" w:rsidP="0038771B" w:rsidRDefault="00D7204D" w14:paraId="0E695F62" w14:textId="77777777">
            <w:pPr>
              <w:contextualSpacing/>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Combinatie van bovenstaande effecten</w:t>
            </w:r>
          </w:p>
        </w:tc>
      </w:tr>
    </w:tbl>
    <w:p w:rsidR="00D7204D" w:rsidP="00D7204D" w:rsidRDefault="00D7204D" w14:paraId="03370C0F" w14:textId="77777777">
      <w:pPr>
        <w:contextualSpacing/>
        <w:jc w:val="both"/>
      </w:pPr>
    </w:p>
    <w:p w:rsidR="00E10FE0" w:rsidP="00E10FE0" w:rsidRDefault="00E10FE0" w14:paraId="71D65A9C" w14:textId="77777777">
      <w:pPr>
        <w:contextualSpacing/>
        <w:jc w:val="both"/>
      </w:pPr>
      <w:r>
        <w:t>Voor</w:t>
      </w:r>
      <w:r w:rsidRPr="00397CCB">
        <w:t xml:space="preserve"> renteloze </w:t>
      </w:r>
      <w:proofErr w:type="spellStart"/>
      <w:r w:rsidRPr="00397CCB">
        <w:t>onderbedelingsvorderingen</w:t>
      </w:r>
      <w:proofErr w:type="spellEnd"/>
      <w:r w:rsidRPr="00397CCB">
        <w:t xml:space="preserve"> treedt er </w:t>
      </w:r>
      <w:r>
        <w:t xml:space="preserve">bij modernisering van de forfaits </w:t>
      </w:r>
      <w:r w:rsidRPr="00397CCB">
        <w:t xml:space="preserve">alleen een budgettair effect op bij het eerste overlijden. </w:t>
      </w:r>
      <w:r>
        <w:t>Door de lagere rekenrente is sprake van een lager fictief vruchtgebruik van de langstlevende waardoor de verkrijgingen van de kinderen minder worden verlaagd</w:t>
      </w:r>
      <w:r>
        <w:rPr>
          <w:rStyle w:val="Voetnootmarkering"/>
        </w:rPr>
        <w:footnoteReference w:id="4"/>
      </w:r>
      <w:r w:rsidRPr="00397CCB">
        <w:t xml:space="preserve">. Dit leidt voor de </w:t>
      </w:r>
      <w:r>
        <w:t xml:space="preserve">langstlevende partner tot een lagere heffingsgrondslag voor de erfbelasting en voor de </w:t>
      </w:r>
      <w:r w:rsidRPr="00397CCB">
        <w:t xml:space="preserve">kinderen tot een hogere </w:t>
      </w:r>
      <w:r>
        <w:t>heffingsgrondslag</w:t>
      </w:r>
      <w:r w:rsidRPr="00397CCB">
        <w:t xml:space="preserve">, en </w:t>
      </w:r>
      <w:r>
        <w:t xml:space="preserve">daarmee voor hen </w:t>
      </w:r>
      <w:r w:rsidRPr="00397CCB">
        <w:t xml:space="preserve">in veel gevallen tot een hogere erfbelasting. </w:t>
      </w:r>
      <w:r>
        <w:t xml:space="preserve">De lagere heffingsgrondslag bij de langstlevende zal </w:t>
      </w:r>
      <w:r w:rsidRPr="00397CCB">
        <w:t xml:space="preserve">in veel gevallen niet tot een </w:t>
      </w:r>
      <w:r>
        <w:t xml:space="preserve">lagere </w:t>
      </w:r>
      <w:r w:rsidRPr="00397CCB">
        <w:t>erfbelasting leiden</w:t>
      </w:r>
      <w:r>
        <w:t>, omdat de heffingsgrondslag vóór de modernisering in de meeste gevallen al onder de partnervrijstelling uitkwam</w:t>
      </w:r>
      <w:r w:rsidRPr="00397CCB">
        <w:t xml:space="preserve">. </w:t>
      </w:r>
      <w:r>
        <w:t xml:space="preserve">Bij het tweede overlijden zijn er geen budgettaire effecten voor </w:t>
      </w:r>
      <w:r w:rsidRPr="00397CCB">
        <w:t xml:space="preserve">renteloze </w:t>
      </w:r>
      <w:proofErr w:type="spellStart"/>
      <w:r w:rsidRPr="00397CCB">
        <w:t>onderbedelingsvorderingen</w:t>
      </w:r>
      <w:proofErr w:type="spellEnd"/>
      <w:r>
        <w:t>. Op de vorderingen wordt immers geen rente bijgeschreven.</w:t>
      </w:r>
    </w:p>
    <w:p w:rsidRPr="00CD465B" w:rsidR="00D7204D" w:rsidP="00D7204D" w:rsidRDefault="00D7204D" w14:paraId="475F1799" w14:textId="77777777">
      <w:pPr>
        <w:contextualSpacing/>
        <w:jc w:val="both"/>
        <w:rPr>
          <w:highlight w:val="yellow"/>
        </w:rPr>
      </w:pPr>
    </w:p>
    <w:p w:rsidR="00E07B63" w:rsidP="00D7204D" w:rsidRDefault="00D7204D" w14:paraId="26191BFB" w14:textId="77777777">
      <w:pPr>
        <w:contextualSpacing/>
        <w:jc w:val="both"/>
      </w:pPr>
      <w:r w:rsidRPr="00E935E0">
        <w:t xml:space="preserve">Voor rentedragende </w:t>
      </w:r>
      <w:proofErr w:type="spellStart"/>
      <w:r w:rsidRPr="00E935E0">
        <w:t>onderbedelingsvorderingen</w:t>
      </w:r>
      <w:proofErr w:type="spellEnd"/>
      <w:r w:rsidRPr="00E935E0">
        <w:t xml:space="preserve"> waarbij de </w:t>
      </w:r>
      <w:r>
        <w:t>overeengekomen</w:t>
      </w:r>
      <w:r w:rsidRPr="00E935E0">
        <w:t xml:space="preserve"> rente precies gelijk is aan de </w:t>
      </w:r>
      <w:r>
        <w:t>gemoderniseerde</w:t>
      </w:r>
      <w:r w:rsidRPr="00E935E0">
        <w:t xml:space="preserve"> rekenrente treedt </w:t>
      </w:r>
      <w:r>
        <w:t xml:space="preserve">juist </w:t>
      </w:r>
      <w:r w:rsidRPr="00E935E0">
        <w:t xml:space="preserve">alleen een effect op bij het </w:t>
      </w:r>
      <w:r>
        <w:t>tweede overlijden</w:t>
      </w:r>
      <w:r w:rsidRPr="00E935E0">
        <w:t xml:space="preserve">. Door de lagere rekenrente zal er gedurende de looptijd </w:t>
      </w:r>
      <w:r>
        <w:t xml:space="preserve">in deze gevallen </w:t>
      </w:r>
      <w:r w:rsidRPr="00E935E0">
        <w:t xml:space="preserve">minder rente worden bijgeschreven op de vordering. Hierdoor wordt </w:t>
      </w:r>
      <w:r>
        <w:t xml:space="preserve">een lagere </w:t>
      </w:r>
      <w:r w:rsidRPr="00E935E0">
        <w:t>schuld in mindering gebracht op de bezittingen van de langstlevende partner</w:t>
      </w:r>
      <w:r>
        <w:t xml:space="preserve"> bij diens overlijden waardoor </w:t>
      </w:r>
      <w:r w:rsidRPr="00E935E0">
        <w:t xml:space="preserve">de nalatenschap van de langstlevende partner dus </w:t>
      </w:r>
      <w:r>
        <w:t>hoger uitvalt dan bij de huidige rekenrente van 6%</w:t>
      </w:r>
      <w:r w:rsidRPr="00E935E0">
        <w:t xml:space="preserve">. </w:t>
      </w:r>
      <w:r>
        <w:t xml:space="preserve">Daarmee is bij het tweede overlijden </w:t>
      </w:r>
      <w:r w:rsidRPr="00E935E0">
        <w:t>meer erfbelasting verschuldigd</w:t>
      </w:r>
      <w:r>
        <w:t xml:space="preserve"> door de kinderen</w:t>
      </w:r>
      <w:r w:rsidRPr="00E935E0">
        <w:t>. Bij het eerste overlijden treedt geen budgettair effect op, omdat</w:t>
      </w:r>
      <w:r>
        <w:t xml:space="preserve"> er zoals gezegd </w:t>
      </w:r>
      <w:r w:rsidRPr="00E935E0">
        <w:t xml:space="preserve">geen </w:t>
      </w:r>
      <w:r>
        <w:t>sprake is van fictief vruchtgebruik</w:t>
      </w:r>
      <w:r w:rsidRPr="00E935E0">
        <w:t xml:space="preserve"> </w:t>
      </w:r>
      <w:r>
        <w:t>door de langstlevende</w:t>
      </w:r>
      <w:r w:rsidRPr="00E935E0">
        <w:t xml:space="preserve">. </w:t>
      </w:r>
    </w:p>
    <w:p w:rsidRPr="001D794E" w:rsidR="00D7204D" w:rsidP="00D7204D" w:rsidRDefault="00D7204D" w14:paraId="2C532608" w14:textId="77777777">
      <w:pPr>
        <w:contextualSpacing/>
        <w:jc w:val="both"/>
        <w:rPr>
          <w:b/>
          <w:bCs/>
        </w:rPr>
      </w:pPr>
    </w:p>
    <w:p w:rsidRPr="00717985" w:rsidR="00D7204D" w:rsidP="00D7204D" w:rsidRDefault="00D7204D" w14:paraId="0CE6BD14" w14:textId="77777777">
      <w:pPr>
        <w:pStyle w:val="Lijstalinea"/>
        <w:numPr>
          <w:ilvl w:val="1"/>
          <w:numId w:val="6"/>
        </w:numPr>
        <w:jc w:val="both"/>
        <w:rPr>
          <w:b/>
          <w:bCs/>
        </w:rPr>
      </w:pPr>
      <w:r w:rsidRPr="00717985">
        <w:rPr>
          <w:b/>
          <w:bCs/>
        </w:rPr>
        <w:t>Budgettaire effecten op microniveau</w:t>
      </w:r>
    </w:p>
    <w:p w:rsidR="00D7204D" w:rsidP="00D7204D" w:rsidRDefault="00D7204D" w14:paraId="0AF05646" w14:textId="77777777">
      <w:pPr>
        <w:contextualSpacing/>
        <w:jc w:val="both"/>
      </w:pPr>
      <w:r>
        <w:t>De budgettaire effecten zijn gebaseerd op doorrekeningen van aanslaggegevens van de erfbelasting over het jaar 2021</w:t>
      </w:r>
      <w:r>
        <w:rPr>
          <w:rStyle w:val="Voetnootmarkering"/>
        </w:rPr>
        <w:footnoteReference w:id="5"/>
      </w:r>
      <w:r>
        <w:t xml:space="preserve">. De bedragen zijn geïndexeerd naar bedragen van het beoogde invoeringsjaar 2028 aan de </w:t>
      </w:r>
      <w:r>
        <w:lastRenderedPageBreak/>
        <w:t>hand van de meest actuele begrotingsraming van het ministerie van Financiën van de inkomsten uit de schenk- en erfbelasting in 2028 die zijn gebaseerd op de macro-economische voorspelling van het CPB</w:t>
      </w:r>
      <w:r>
        <w:rPr>
          <w:rStyle w:val="Voetnootmarkering"/>
        </w:rPr>
        <w:footnoteReference w:id="6"/>
      </w:r>
      <w:r>
        <w:t xml:space="preserve">. Ook de belastingparameters (zoals de vrijstellingen respectievelijk de schijfgrenzen) zijn geïndexeerd naar het beoogde invoeringsjaar. Vervolgens is voor alle erfrechtelijke verkrijgers de verschuldigde erfbelasting in de situatie waarin de forfaits ongewijzigd blijven vergeleken met de situatie waarin de forfaits worden gemoderniseerd. Op deze wijze wordt niet alleen het totale budgettaire effect verkregen, maar is er ook zicht op de onderliggende spreiding van de budgettaire effecten. Allereerst wordt de spreiding gepresenteerd en vervolgens het totale budgettaire effect. </w:t>
      </w:r>
    </w:p>
    <w:p w:rsidR="00D7204D" w:rsidP="00D7204D" w:rsidRDefault="00D7204D" w14:paraId="412A8323" w14:textId="77777777">
      <w:pPr>
        <w:contextualSpacing/>
        <w:jc w:val="both"/>
      </w:pPr>
    </w:p>
    <w:p w:rsidRPr="00607471" w:rsidR="00D7204D" w:rsidP="00D7204D" w:rsidRDefault="00D7204D" w14:paraId="16F5A90A" w14:textId="77777777">
      <w:pPr>
        <w:contextualSpacing/>
        <w:jc w:val="both"/>
        <w:rPr>
          <w:i/>
          <w:iCs/>
        </w:rPr>
      </w:pPr>
      <w:r>
        <w:rPr>
          <w:i/>
          <w:iCs/>
        </w:rPr>
        <w:t xml:space="preserve">Budgettaire effecten renteloze </w:t>
      </w:r>
      <w:proofErr w:type="spellStart"/>
      <w:r>
        <w:rPr>
          <w:i/>
          <w:iCs/>
        </w:rPr>
        <w:t>onderbedelingsvorderingen</w:t>
      </w:r>
      <w:proofErr w:type="spellEnd"/>
      <w:r>
        <w:rPr>
          <w:i/>
          <w:iCs/>
        </w:rPr>
        <w:t xml:space="preserve"> </w:t>
      </w:r>
      <w:r w:rsidRPr="00DA2D03">
        <w:rPr>
          <w:i/>
          <w:iCs/>
        </w:rPr>
        <w:t>bij het eerste overlijden</w:t>
      </w:r>
    </w:p>
    <w:p w:rsidR="00D7204D" w:rsidP="00D7204D" w:rsidRDefault="00D7204D" w14:paraId="69629782" w14:textId="77777777">
      <w:pPr>
        <w:contextualSpacing/>
        <w:jc w:val="both"/>
      </w:pPr>
      <w:r>
        <w:t xml:space="preserve">Naar verwachting heeft </w:t>
      </w:r>
      <w:r w:rsidRPr="00B91316">
        <w:t xml:space="preserve">voor </w:t>
      </w:r>
      <w:proofErr w:type="gramStart"/>
      <w:r w:rsidRPr="00B91316">
        <w:t>circa</w:t>
      </w:r>
      <w:proofErr w:type="gramEnd"/>
      <w:r w:rsidRPr="00B91316">
        <w:t xml:space="preserve"> 98% van de langstlevende partners de modernisering geen invloed op de door hem of haar verschuldigde erfbelasting bij</w:t>
      </w:r>
      <w:r>
        <w:t xml:space="preserve"> het eerste overlijden. De lagere rekenrente zorgt weliswaar voor een lagere waardering van het fictief vruchtgebruik en daarmee voor een lagere heffingsgrondslag, maar in het gros van de gevallen was de langstlevende bij de huidige rekenrente ook nu al geen erfbelasting verschuldigd, omdat de heffingsgrondslag onder de partnervrijstelling uitkomt</w:t>
      </w:r>
      <w:r>
        <w:rPr>
          <w:rStyle w:val="Voetnootmarkering"/>
        </w:rPr>
        <w:t xml:space="preserve"> </w:t>
      </w:r>
      <w:r>
        <w:rPr>
          <w:rStyle w:val="Voetnootmarkering"/>
        </w:rPr>
        <w:footnoteReference w:id="7"/>
      </w:r>
      <w:r>
        <w:t xml:space="preserve">. </w:t>
      </w:r>
    </w:p>
    <w:p w:rsidR="00D7204D" w:rsidP="00D7204D" w:rsidRDefault="00D7204D" w14:paraId="065B3CE2" w14:textId="77777777">
      <w:pPr>
        <w:contextualSpacing/>
        <w:jc w:val="both"/>
      </w:pPr>
    </w:p>
    <w:p w:rsidR="00D7204D" w:rsidP="00D7204D" w:rsidRDefault="00D7204D" w14:paraId="753B57BB" w14:textId="77777777">
      <w:pPr>
        <w:contextualSpacing/>
        <w:jc w:val="both"/>
      </w:pPr>
      <w:r>
        <w:t xml:space="preserve">Tabel </w:t>
      </w:r>
      <w:r w:rsidR="0078689A">
        <w:t>5</w:t>
      </w:r>
      <w:r>
        <w:t xml:space="preserve"> toont de verwachte mediane mutatie van de belastingdruk voor de ervende kinderen. Voor </w:t>
      </w:r>
      <w:proofErr w:type="gramStart"/>
      <w:r>
        <w:t>circa</w:t>
      </w:r>
      <w:proofErr w:type="gramEnd"/>
      <w:r>
        <w:t xml:space="preserve"> </w:t>
      </w:r>
      <w:r w:rsidRPr="00B91316">
        <w:t>25% heeft</w:t>
      </w:r>
      <w:r>
        <w:t xml:space="preserve"> modernisering van de forfaits geen effect op de erfbelasting bij het eerste overlijden. Weliswaar komt de waarde van de vordering door de lagere rekenrente hoger uit met een hogere heffingsgrondslag tot gevolg, maar komt de hogere heffingsgrondslag in deze gevallen niet boven de (klein)</w:t>
      </w:r>
      <w:proofErr w:type="spellStart"/>
      <w:r>
        <w:t>kindvrijstelling</w:t>
      </w:r>
      <w:proofErr w:type="spellEnd"/>
      <w:r>
        <w:t xml:space="preserve"> in de </w:t>
      </w:r>
      <w:r w:rsidRPr="00B91316">
        <w:t>erfbelasting uit. Voor de overige 75% neemt de te betalen erfbelasting bij het eerste overlijden toe. Voor het gros binnen deze groep (</w:t>
      </w:r>
      <w:proofErr w:type="gramStart"/>
      <w:r w:rsidRPr="00B91316">
        <w:t>circa</w:t>
      </w:r>
      <w:proofErr w:type="gramEnd"/>
      <w:r w:rsidRPr="00B91316">
        <w:t xml:space="preserve"> 90%) neemt de belastingdruk met hooguit 0,9%-punt toe.</w:t>
      </w:r>
      <w:r>
        <w:t xml:space="preserve"> </w:t>
      </w:r>
    </w:p>
    <w:p w:rsidR="00D7204D" w:rsidP="00D7204D" w:rsidRDefault="00D7204D" w14:paraId="00A19287" w14:textId="77777777">
      <w:pPr>
        <w:contextualSpacing/>
        <w:jc w:val="both"/>
      </w:pPr>
    </w:p>
    <w:p w:rsidR="00D7204D" w:rsidP="00D7204D" w:rsidRDefault="00D7204D" w14:paraId="517F069B" w14:textId="77777777">
      <w:pPr>
        <w:contextualSpacing/>
        <w:jc w:val="both"/>
      </w:pPr>
      <w:r>
        <w:t xml:space="preserve">Tabel </w:t>
      </w:r>
      <w:r w:rsidR="0078689A">
        <w:t>5</w:t>
      </w:r>
      <w:r>
        <w:tab/>
        <w:t xml:space="preserve"> </w:t>
      </w:r>
      <w:r w:rsidRPr="007F1A73">
        <w:t>Mediane stijging belastingdruk</w:t>
      </w:r>
      <w:r w:rsidR="00F37838">
        <w:rPr>
          <w:rStyle w:val="Voetnootmarkering"/>
        </w:rPr>
        <w:footnoteReference w:id="8"/>
      </w:r>
      <w:r w:rsidRPr="007F1A73">
        <w:t xml:space="preserve"> erfbelasting </w:t>
      </w:r>
      <w:r>
        <w:t>per kind</w:t>
      </w:r>
      <w:r w:rsidRPr="007F1A73">
        <w:t xml:space="preserve"> </w:t>
      </w:r>
      <w:r>
        <w:t>door modernisering</w:t>
      </w:r>
      <w:r w:rsidRPr="007F1A73">
        <w:t xml:space="preserve"> </w:t>
      </w:r>
      <w:r>
        <w:t xml:space="preserve">forfaits </w:t>
      </w:r>
      <w:r w:rsidRPr="007F1A73">
        <w:t xml:space="preserve">bij het eerste overlijden, renteloze </w:t>
      </w:r>
      <w:proofErr w:type="spellStart"/>
      <w:r w:rsidRPr="007F1A73">
        <w:t>onderbedelingsvorderingen</w:t>
      </w:r>
      <w:proofErr w:type="spellEnd"/>
      <w:r>
        <w:t xml:space="preserve"> (</w:t>
      </w:r>
      <w:r w:rsidRPr="007F1A73">
        <w:t>in procentpunten</w:t>
      </w:r>
      <w:r>
        <w:t>)</w:t>
      </w:r>
    </w:p>
    <w:tbl>
      <w:tblPr>
        <w:tblStyle w:val="Rastertabel4-Accent1"/>
        <w:tblpPr w:leftFromText="141" w:rightFromText="141" w:vertAnchor="text" w:horzAnchor="margin" w:tblpY="116"/>
        <w:tblW w:w="9033" w:type="dxa"/>
        <w:tblLook w:val="04A0" w:firstRow="1" w:lastRow="0" w:firstColumn="1" w:lastColumn="0" w:noHBand="0" w:noVBand="1"/>
      </w:tblPr>
      <w:tblGrid>
        <w:gridCol w:w="1281"/>
        <w:gridCol w:w="1124"/>
        <w:gridCol w:w="1228"/>
        <w:gridCol w:w="1331"/>
        <w:gridCol w:w="18"/>
        <w:gridCol w:w="1316"/>
        <w:gridCol w:w="34"/>
        <w:gridCol w:w="1306"/>
        <w:gridCol w:w="44"/>
        <w:gridCol w:w="1310"/>
        <w:gridCol w:w="41"/>
      </w:tblGrid>
      <w:tr w:rsidRPr="00B00EB7" w:rsidR="00D7204D" w:rsidTr="00E07B63" w14:paraId="2C2C958C"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05" w:type="dxa"/>
            <w:gridSpan w:val="2"/>
          </w:tcPr>
          <w:p w:rsidRPr="00E07B63" w:rsidR="00D7204D" w:rsidP="0038771B" w:rsidRDefault="00D7204D" w14:paraId="112D3FAE" w14:textId="77777777">
            <w:pPr>
              <w:spacing w:line="276" w:lineRule="auto"/>
              <w:contextualSpacing/>
              <w:rPr>
                <w:rFonts w:cstheme="minorHAnsi"/>
                <w:b w:val="0"/>
                <w:bCs w:val="0"/>
                <w:i/>
                <w:iCs/>
                <w:color w:val="FFFFFF" w:themeColor="background1"/>
                <w:sz w:val="16"/>
                <w:szCs w:val="16"/>
              </w:rPr>
            </w:pPr>
            <w:r w:rsidRPr="00E07B63">
              <w:rPr>
                <w:rFonts w:cstheme="minorHAnsi"/>
                <w:b w:val="0"/>
                <w:bCs w:val="0"/>
                <w:color w:val="FFFFFF" w:themeColor="background1"/>
                <w:sz w:val="16"/>
                <w:szCs w:val="16"/>
              </w:rPr>
              <w:t xml:space="preserve">Nagelaten vermogen per </w:t>
            </w:r>
            <w:proofErr w:type="gramStart"/>
            <w:r w:rsidRPr="00E07B63">
              <w:rPr>
                <w:rFonts w:cstheme="minorHAnsi"/>
                <w:b w:val="0"/>
                <w:bCs w:val="0"/>
                <w:color w:val="FFFFFF" w:themeColor="background1"/>
                <w:sz w:val="16"/>
                <w:szCs w:val="16"/>
              </w:rPr>
              <w:t>erfgenaam  eerste</w:t>
            </w:r>
            <w:proofErr w:type="gramEnd"/>
            <w:r w:rsidRPr="00E07B63">
              <w:rPr>
                <w:rFonts w:cstheme="minorHAnsi"/>
                <w:b w:val="0"/>
                <w:bCs w:val="0"/>
                <w:color w:val="FFFFFF" w:themeColor="background1"/>
                <w:sz w:val="16"/>
                <w:szCs w:val="16"/>
              </w:rPr>
              <w:t xml:space="preserve"> overlijden</w:t>
            </w:r>
          </w:p>
        </w:tc>
        <w:tc>
          <w:tcPr>
            <w:tcW w:w="1228" w:type="dxa"/>
          </w:tcPr>
          <w:p w:rsidRPr="00E07B63" w:rsidR="00D7204D" w:rsidP="0038771B" w:rsidRDefault="00D7204D" w14:paraId="0FF0AD3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€ 0 – € 25.000</w:t>
            </w:r>
          </w:p>
        </w:tc>
        <w:tc>
          <w:tcPr>
            <w:tcW w:w="1349" w:type="dxa"/>
            <w:gridSpan w:val="2"/>
          </w:tcPr>
          <w:p w:rsidRPr="00E07B63" w:rsidR="00D7204D" w:rsidP="0038771B" w:rsidRDefault="00D7204D" w14:paraId="1F31B08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€ 25.000 - € 75.000</w:t>
            </w:r>
          </w:p>
        </w:tc>
        <w:tc>
          <w:tcPr>
            <w:tcW w:w="1350" w:type="dxa"/>
            <w:gridSpan w:val="2"/>
          </w:tcPr>
          <w:p w:rsidRPr="00E07B63" w:rsidR="00D7204D" w:rsidP="0038771B" w:rsidRDefault="00D7204D" w14:paraId="504E28E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€ 75.000 - € 100.000</w:t>
            </w:r>
          </w:p>
        </w:tc>
        <w:tc>
          <w:tcPr>
            <w:tcW w:w="1350" w:type="dxa"/>
            <w:gridSpan w:val="2"/>
          </w:tcPr>
          <w:p w:rsidRPr="00E07B63" w:rsidR="00D7204D" w:rsidP="0038771B" w:rsidRDefault="00D7204D" w14:paraId="6184C59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€ 100.000 - € 250.000</w:t>
            </w:r>
          </w:p>
        </w:tc>
        <w:tc>
          <w:tcPr>
            <w:tcW w:w="1351" w:type="dxa"/>
            <w:gridSpan w:val="2"/>
          </w:tcPr>
          <w:p w:rsidRPr="00E07B63" w:rsidR="00D7204D" w:rsidP="0038771B" w:rsidRDefault="00D7204D" w14:paraId="3D9C31B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E07B63">
              <w:rPr>
                <w:rFonts w:cstheme="minorHAnsi"/>
                <w:color w:val="FFFFFF" w:themeColor="background1"/>
                <w:sz w:val="16"/>
                <w:szCs w:val="16"/>
              </w:rPr>
              <w:t>€ &gt; 250.000</w:t>
            </w:r>
          </w:p>
        </w:tc>
      </w:tr>
      <w:tr w:rsidRPr="00B00EB7" w:rsidR="00D24CC5" w:rsidTr="00E07B63" w14:paraId="7242379E"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83"/>
        </w:trPr>
        <w:tc>
          <w:tcPr>
            <w:cnfStyle w:val="001000000000" w:firstRow="0" w:lastRow="0" w:firstColumn="1" w:lastColumn="0" w:oddVBand="0" w:evenVBand="0" w:oddHBand="0" w:evenHBand="0" w:firstRowFirstColumn="0" w:firstRowLastColumn="0" w:lastRowFirstColumn="0" w:lastRowLastColumn="0"/>
            <w:tcW w:w="1281" w:type="dxa"/>
            <w:vMerge w:val="restart"/>
            <w:textDirection w:val="btLr"/>
          </w:tcPr>
          <w:p w:rsidRPr="00E07B63" w:rsidR="00D24CC5" w:rsidP="00D24CC5" w:rsidRDefault="00D24CC5" w14:paraId="4571E1B1" w14:textId="77777777">
            <w:pPr>
              <w:ind w:left="113" w:right="113"/>
              <w:jc w:val="center"/>
              <w:rPr>
                <w:rFonts w:cstheme="minorHAnsi"/>
                <w:b w:val="0"/>
                <w:bCs w:val="0"/>
                <w:color w:val="000000" w:themeColor="text1"/>
                <w:sz w:val="16"/>
                <w:szCs w:val="16"/>
              </w:rPr>
            </w:pPr>
            <w:r w:rsidRPr="00E07B63">
              <w:rPr>
                <w:rFonts w:cstheme="minorHAnsi"/>
                <w:b w:val="0"/>
                <w:bCs w:val="0"/>
                <w:color w:val="000000" w:themeColor="text1"/>
                <w:sz w:val="16"/>
                <w:szCs w:val="16"/>
              </w:rPr>
              <w:t>Leeftijd langstlevende partner bij eerste overlijden</w:t>
            </w:r>
          </w:p>
        </w:tc>
        <w:tc>
          <w:tcPr>
            <w:tcW w:w="1124" w:type="dxa"/>
          </w:tcPr>
          <w:p w:rsidRPr="00D24CC5" w:rsidR="00D24CC5" w:rsidP="00D24CC5" w:rsidRDefault="00D24CC5" w14:paraId="3CEC283B"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50 jaar of jonger</w:t>
            </w:r>
          </w:p>
        </w:tc>
        <w:tc>
          <w:tcPr>
            <w:tcW w:w="1228" w:type="dxa"/>
            <w:vAlign w:val="bottom"/>
          </w:tcPr>
          <w:p w:rsidRPr="00D24CC5" w:rsidR="00D24CC5" w:rsidP="00D24CC5" w:rsidRDefault="00D24CC5" w14:paraId="4AD02C9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2F4C39F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1A584B5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40" w:type="dxa"/>
            <w:gridSpan w:val="2"/>
            <w:vAlign w:val="bottom"/>
          </w:tcPr>
          <w:p w:rsidRPr="00D24CC5" w:rsidR="00D24CC5" w:rsidP="00D24CC5" w:rsidRDefault="00D24CC5" w14:paraId="484E17B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0,9%</w:t>
            </w:r>
          </w:p>
        </w:tc>
        <w:tc>
          <w:tcPr>
            <w:tcW w:w="1354" w:type="dxa"/>
            <w:gridSpan w:val="2"/>
            <w:vAlign w:val="bottom"/>
          </w:tcPr>
          <w:p w:rsidRPr="00D24CC5" w:rsidR="00D24CC5" w:rsidP="00D24CC5" w:rsidRDefault="00D24CC5" w14:paraId="76F00D7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1,2%</w:t>
            </w:r>
          </w:p>
        </w:tc>
      </w:tr>
      <w:tr w:rsidRPr="00B00EB7" w:rsidR="00D24CC5" w:rsidTr="00E07B63" w14:paraId="00F793CB"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715CA60D" w14:textId="77777777">
            <w:pPr>
              <w:jc w:val="center"/>
              <w:rPr>
                <w:rFonts w:cstheme="minorHAnsi"/>
                <w:color w:val="000000" w:themeColor="text1"/>
                <w:sz w:val="16"/>
                <w:szCs w:val="16"/>
              </w:rPr>
            </w:pPr>
          </w:p>
        </w:tc>
        <w:tc>
          <w:tcPr>
            <w:tcW w:w="1124" w:type="dxa"/>
          </w:tcPr>
          <w:p w:rsidRPr="00D24CC5" w:rsidR="00D24CC5" w:rsidP="00D24CC5" w:rsidRDefault="00D24CC5" w14:paraId="0A5B321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51 t/m 60</w:t>
            </w:r>
          </w:p>
        </w:tc>
        <w:tc>
          <w:tcPr>
            <w:tcW w:w="1228" w:type="dxa"/>
            <w:vAlign w:val="bottom"/>
          </w:tcPr>
          <w:p w:rsidRPr="00D24CC5" w:rsidR="00D24CC5" w:rsidP="00D24CC5" w:rsidRDefault="00D24CC5" w14:paraId="679D6F7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1DC9797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554609F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0,9%</w:t>
            </w:r>
          </w:p>
        </w:tc>
        <w:tc>
          <w:tcPr>
            <w:tcW w:w="1340" w:type="dxa"/>
            <w:gridSpan w:val="2"/>
            <w:vAlign w:val="bottom"/>
          </w:tcPr>
          <w:p w:rsidRPr="00D24CC5" w:rsidR="00D24CC5" w:rsidP="00D24CC5" w:rsidRDefault="00D24CC5" w14:paraId="7AF9685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0,9%</w:t>
            </w:r>
          </w:p>
        </w:tc>
        <w:tc>
          <w:tcPr>
            <w:tcW w:w="1354" w:type="dxa"/>
            <w:gridSpan w:val="2"/>
            <w:vAlign w:val="bottom"/>
          </w:tcPr>
          <w:p w:rsidRPr="00D24CC5" w:rsidR="00D24CC5" w:rsidP="00D24CC5" w:rsidRDefault="00D24CC5" w14:paraId="4D24344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0,9%</w:t>
            </w:r>
          </w:p>
        </w:tc>
      </w:tr>
      <w:tr w:rsidRPr="00B00EB7" w:rsidR="00D24CC5" w:rsidTr="00E07B63" w14:paraId="3EBF334F"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34ED8519" w14:textId="77777777">
            <w:pPr>
              <w:jc w:val="center"/>
              <w:rPr>
                <w:rFonts w:cstheme="minorHAnsi"/>
                <w:color w:val="000000" w:themeColor="text1"/>
                <w:sz w:val="16"/>
                <w:szCs w:val="16"/>
              </w:rPr>
            </w:pPr>
          </w:p>
        </w:tc>
        <w:tc>
          <w:tcPr>
            <w:tcW w:w="1124" w:type="dxa"/>
          </w:tcPr>
          <w:p w:rsidRPr="00D24CC5" w:rsidR="00D24CC5" w:rsidP="00D24CC5" w:rsidRDefault="00D24CC5" w14:paraId="1717EC5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61 t/m 70</w:t>
            </w:r>
          </w:p>
        </w:tc>
        <w:tc>
          <w:tcPr>
            <w:tcW w:w="1228" w:type="dxa"/>
            <w:vAlign w:val="bottom"/>
          </w:tcPr>
          <w:p w:rsidRPr="00D24CC5" w:rsidR="00D24CC5" w:rsidP="00D24CC5" w:rsidRDefault="00D24CC5" w14:paraId="0BD1DBC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0CE8EBD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0,3%</w:t>
            </w:r>
          </w:p>
        </w:tc>
        <w:tc>
          <w:tcPr>
            <w:tcW w:w="1334" w:type="dxa"/>
            <w:gridSpan w:val="2"/>
            <w:vAlign w:val="bottom"/>
          </w:tcPr>
          <w:p w:rsidRPr="00D24CC5" w:rsidR="00D24CC5" w:rsidP="00D24CC5" w:rsidRDefault="00D24CC5" w14:paraId="5EABB1E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0,6%</w:t>
            </w:r>
          </w:p>
        </w:tc>
        <w:tc>
          <w:tcPr>
            <w:tcW w:w="1340" w:type="dxa"/>
            <w:gridSpan w:val="2"/>
            <w:vAlign w:val="bottom"/>
          </w:tcPr>
          <w:p w:rsidRPr="00D24CC5" w:rsidR="00D24CC5" w:rsidP="00D24CC5" w:rsidRDefault="00D24CC5" w14:paraId="7BD53F4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0,6%</w:t>
            </w:r>
          </w:p>
        </w:tc>
        <w:tc>
          <w:tcPr>
            <w:tcW w:w="1354" w:type="dxa"/>
            <w:gridSpan w:val="2"/>
            <w:vAlign w:val="bottom"/>
          </w:tcPr>
          <w:p w:rsidRPr="00D24CC5" w:rsidR="00D24CC5" w:rsidP="00D24CC5" w:rsidRDefault="00D24CC5" w14:paraId="3EEA54A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1,1%</w:t>
            </w:r>
          </w:p>
        </w:tc>
      </w:tr>
      <w:tr w:rsidRPr="00B00EB7" w:rsidR="00D24CC5" w:rsidTr="00E07B63" w14:paraId="3DE1FFF9"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48203BF5" w14:textId="77777777">
            <w:pPr>
              <w:jc w:val="center"/>
              <w:rPr>
                <w:rFonts w:cstheme="minorHAnsi"/>
                <w:color w:val="000000" w:themeColor="text1"/>
                <w:sz w:val="16"/>
                <w:szCs w:val="16"/>
              </w:rPr>
            </w:pPr>
          </w:p>
        </w:tc>
        <w:tc>
          <w:tcPr>
            <w:tcW w:w="1124" w:type="dxa"/>
          </w:tcPr>
          <w:p w:rsidRPr="00D24CC5" w:rsidR="00D24CC5" w:rsidP="00D24CC5" w:rsidRDefault="00D24CC5" w14:paraId="17A9132D"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71 t/m 75</w:t>
            </w:r>
          </w:p>
        </w:tc>
        <w:tc>
          <w:tcPr>
            <w:tcW w:w="1228" w:type="dxa"/>
            <w:vAlign w:val="bottom"/>
          </w:tcPr>
          <w:p w:rsidRPr="00D24CC5" w:rsidR="00D24CC5" w:rsidP="00D24CC5" w:rsidRDefault="00D24CC5" w14:paraId="4C5171C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6B869D4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0,6%</w:t>
            </w:r>
          </w:p>
        </w:tc>
        <w:tc>
          <w:tcPr>
            <w:tcW w:w="1334" w:type="dxa"/>
            <w:gridSpan w:val="2"/>
            <w:vAlign w:val="bottom"/>
          </w:tcPr>
          <w:p w:rsidRPr="00D24CC5" w:rsidR="00D24CC5" w:rsidP="00D24CC5" w:rsidRDefault="00D24CC5" w14:paraId="264BCF2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0,6%</w:t>
            </w:r>
          </w:p>
        </w:tc>
        <w:tc>
          <w:tcPr>
            <w:tcW w:w="1340" w:type="dxa"/>
            <w:gridSpan w:val="2"/>
            <w:vAlign w:val="bottom"/>
          </w:tcPr>
          <w:p w:rsidRPr="00D24CC5" w:rsidR="00D24CC5" w:rsidP="00D24CC5" w:rsidRDefault="00D24CC5" w14:paraId="4556236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0,6%</w:t>
            </w:r>
          </w:p>
        </w:tc>
        <w:tc>
          <w:tcPr>
            <w:tcW w:w="1354" w:type="dxa"/>
            <w:gridSpan w:val="2"/>
            <w:vAlign w:val="bottom"/>
          </w:tcPr>
          <w:p w:rsidRPr="00D24CC5" w:rsidR="00D24CC5" w:rsidP="00D24CC5" w:rsidRDefault="00D24CC5" w14:paraId="14989D9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0,8%</w:t>
            </w:r>
          </w:p>
        </w:tc>
      </w:tr>
      <w:tr w:rsidRPr="00B00EB7" w:rsidR="00D24CC5" w:rsidTr="00E07B63" w14:paraId="018DB6CA"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2225B8B1" w14:textId="77777777">
            <w:pPr>
              <w:jc w:val="center"/>
              <w:rPr>
                <w:rFonts w:cstheme="minorHAnsi"/>
                <w:color w:val="000000" w:themeColor="text1"/>
                <w:sz w:val="16"/>
                <w:szCs w:val="16"/>
              </w:rPr>
            </w:pPr>
          </w:p>
        </w:tc>
        <w:tc>
          <w:tcPr>
            <w:tcW w:w="1124" w:type="dxa"/>
          </w:tcPr>
          <w:p w:rsidRPr="00D24CC5" w:rsidR="00D24CC5" w:rsidP="00D24CC5" w:rsidRDefault="00D24CC5" w14:paraId="1C2B31D9"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76 t/m 80</w:t>
            </w:r>
          </w:p>
        </w:tc>
        <w:tc>
          <w:tcPr>
            <w:tcW w:w="1228" w:type="dxa"/>
            <w:vAlign w:val="bottom"/>
          </w:tcPr>
          <w:p w:rsidRPr="00D24CC5" w:rsidR="00D24CC5" w:rsidP="00D24CC5" w:rsidRDefault="00D24CC5" w14:paraId="4024199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43F7765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0,3%</w:t>
            </w:r>
          </w:p>
        </w:tc>
        <w:tc>
          <w:tcPr>
            <w:tcW w:w="1334" w:type="dxa"/>
            <w:gridSpan w:val="2"/>
            <w:vAlign w:val="bottom"/>
          </w:tcPr>
          <w:p w:rsidRPr="00D24CC5" w:rsidR="00D24CC5" w:rsidP="00D24CC5" w:rsidRDefault="00D24CC5" w14:paraId="07832346"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0,3%</w:t>
            </w:r>
          </w:p>
        </w:tc>
        <w:tc>
          <w:tcPr>
            <w:tcW w:w="1340" w:type="dxa"/>
            <w:gridSpan w:val="2"/>
            <w:vAlign w:val="bottom"/>
          </w:tcPr>
          <w:p w:rsidRPr="00D24CC5" w:rsidR="00D24CC5" w:rsidP="00D24CC5" w:rsidRDefault="00D24CC5" w14:paraId="4CECF518"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0,3%</w:t>
            </w:r>
          </w:p>
        </w:tc>
        <w:tc>
          <w:tcPr>
            <w:tcW w:w="1354" w:type="dxa"/>
            <w:gridSpan w:val="2"/>
            <w:vAlign w:val="bottom"/>
          </w:tcPr>
          <w:p w:rsidRPr="00D24CC5" w:rsidR="00D24CC5" w:rsidP="00D24CC5" w:rsidRDefault="00D24CC5" w14:paraId="39836A31"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0,6%</w:t>
            </w:r>
          </w:p>
        </w:tc>
      </w:tr>
      <w:tr w:rsidRPr="00B00EB7" w:rsidR="00D24CC5" w:rsidTr="00E07B63" w14:paraId="339E5BE6"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34AA26D2" w14:textId="77777777">
            <w:pPr>
              <w:jc w:val="center"/>
              <w:rPr>
                <w:rFonts w:cstheme="minorHAnsi"/>
                <w:color w:val="000000" w:themeColor="text1"/>
                <w:sz w:val="16"/>
                <w:szCs w:val="16"/>
              </w:rPr>
            </w:pPr>
          </w:p>
        </w:tc>
        <w:tc>
          <w:tcPr>
            <w:tcW w:w="1124" w:type="dxa"/>
          </w:tcPr>
          <w:p w:rsidRPr="00D24CC5" w:rsidR="00D24CC5" w:rsidP="00D24CC5" w:rsidRDefault="00D24CC5" w14:paraId="7EA00C0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81 t/m 85</w:t>
            </w:r>
          </w:p>
        </w:tc>
        <w:tc>
          <w:tcPr>
            <w:tcW w:w="1228" w:type="dxa"/>
            <w:vAlign w:val="bottom"/>
          </w:tcPr>
          <w:p w:rsidRPr="00D24CC5" w:rsidR="00D24CC5" w:rsidP="00D24CC5" w:rsidRDefault="00D24CC5" w14:paraId="5CFB11D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26E7854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0,3%</w:t>
            </w:r>
          </w:p>
        </w:tc>
        <w:tc>
          <w:tcPr>
            <w:tcW w:w="1334" w:type="dxa"/>
            <w:gridSpan w:val="2"/>
            <w:vAlign w:val="bottom"/>
          </w:tcPr>
          <w:p w:rsidRPr="00D24CC5" w:rsidR="00D24CC5" w:rsidP="00D24CC5" w:rsidRDefault="00D24CC5" w14:paraId="1AF09C0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0,3%</w:t>
            </w:r>
          </w:p>
        </w:tc>
        <w:tc>
          <w:tcPr>
            <w:tcW w:w="1340" w:type="dxa"/>
            <w:gridSpan w:val="2"/>
            <w:vAlign w:val="bottom"/>
          </w:tcPr>
          <w:p w:rsidRPr="00D24CC5" w:rsidR="00D24CC5" w:rsidP="00D24CC5" w:rsidRDefault="00D24CC5" w14:paraId="1B9FA5D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0,3%</w:t>
            </w:r>
          </w:p>
        </w:tc>
        <w:tc>
          <w:tcPr>
            <w:tcW w:w="1354" w:type="dxa"/>
            <w:gridSpan w:val="2"/>
            <w:vAlign w:val="bottom"/>
          </w:tcPr>
          <w:p w:rsidRPr="00D24CC5" w:rsidR="00D24CC5" w:rsidP="00D24CC5" w:rsidRDefault="00D24CC5" w14:paraId="56A92FD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0,6%</w:t>
            </w:r>
          </w:p>
        </w:tc>
      </w:tr>
      <w:tr w:rsidRPr="00B00EB7" w:rsidR="00D24CC5" w:rsidTr="00E07B63" w14:paraId="13226D9D"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5D3850E2" w14:textId="77777777">
            <w:pPr>
              <w:jc w:val="center"/>
              <w:rPr>
                <w:rFonts w:cstheme="minorHAnsi"/>
                <w:color w:val="000000" w:themeColor="text1"/>
                <w:sz w:val="16"/>
                <w:szCs w:val="16"/>
              </w:rPr>
            </w:pPr>
          </w:p>
        </w:tc>
        <w:tc>
          <w:tcPr>
            <w:tcW w:w="1124" w:type="dxa"/>
          </w:tcPr>
          <w:p w:rsidRPr="00D24CC5" w:rsidR="00D24CC5" w:rsidP="00D24CC5" w:rsidRDefault="00D24CC5" w14:paraId="5483CF22"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86 t/m 90</w:t>
            </w:r>
          </w:p>
        </w:tc>
        <w:tc>
          <w:tcPr>
            <w:tcW w:w="1228" w:type="dxa"/>
            <w:vAlign w:val="bottom"/>
          </w:tcPr>
          <w:p w:rsidRPr="00D24CC5" w:rsidR="00D24CC5" w:rsidP="00D24CC5" w:rsidRDefault="00D24CC5" w14:paraId="5FAE2DCE"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38202B9A"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0,6%</w:t>
            </w:r>
          </w:p>
        </w:tc>
        <w:tc>
          <w:tcPr>
            <w:tcW w:w="1334" w:type="dxa"/>
            <w:gridSpan w:val="2"/>
            <w:vAlign w:val="bottom"/>
          </w:tcPr>
          <w:p w:rsidRPr="00D24CC5" w:rsidR="00D24CC5" w:rsidP="00D24CC5" w:rsidRDefault="00D24CC5" w14:paraId="45357EC6"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0,6%</w:t>
            </w:r>
          </w:p>
        </w:tc>
        <w:tc>
          <w:tcPr>
            <w:tcW w:w="1340" w:type="dxa"/>
            <w:gridSpan w:val="2"/>
            <w:vAlign w:val="bottom"/>
          </w:tcPr>
          <w:p w:rsidRPr="00D24CC5" w:rsidR="00D24CC5" w:rsidP="00D24CC5" w:rsidRDefault="00D24CC5" w14:paraId="304D44E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0,6%</w:t>
            </w:r>
          </w:p>
        </w:tc>
        <w:tc>
          <w:tcPr>
            <w:tcW w:w="1354" w:type="dxa"/>
            <w:gridSpan w:val="2"/>
            <w:vAlign w:val="bottom"/>
          </w:tcPr>
          <w:p w:rsidRPr="00D24CC5" w:rsidR="00D24CC5" w:rsidP="00D24CC5" w:rsidRDefault="00D24CC5" w14:paraId="1F58222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1,2%</w:t>
            </w:r>
          </w:p>
        </w:tc>
      </w:tr>
      <w:tr w:rsidRPr="00B00EB7" w:rsidR="00D24CC5" w:rsidTr="00E07B63" w14:paraId="44C76139"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E07B63" w:rsidR="00D24CC5" w:rsidP="00D24CC5" w:rsidRDefault="00D24CC5" w14:paraId="2AD3CBCB" w14:textId="77777777">
            <w:pPr>
              <w:jc w:val="center"/>
              <w:rPr>
                <w:rFonts w:cstheme="minorHAnsi"/>
                <w:color w:val="000000" w:themeColor="text1"/>
                <w:sz w:val="16"/>
                <w:szCs w:val="16"/>
              </w:rPr>
            </w:pPr>
          </w:p>
        </w:tc>
        <w:tc>
          <w:tcPr>
            <w:tcW w:w="1124" w:type="dxa"/>
          </w:tcPr>
          <w:p w:rsidRPr="00D24CC5" w:rsidR="00D24CC5" w:rsidP="00D24CC5" w:rsidRDefault="00D24CC5" w14:paraId="1A3E0796"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91 jaar of ouder</w:t>
            </w:r>
          </w:p>
        </w:tc>
        <w:tc>
          <w:tcPr>
            <w:tcW w:w="1228" w:type="dxa"/>
            <w:vAlign w:val="bottom"/>
          </w:tcPr>
          <w:p w:rsidRPr="00D24CC5" w:rsidR="00D24CC5" w:rsidP="00D24CC5" w:rsidRDefault="00D24CC5" w14:paraId="58B5BAF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4ED3704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0,9%</w:t>
            </w:r>
          </w:p>
        </w:tc>
        <w:tc>
          <w:tcPr>
            <w:tcW w:w="1334" w:type="dxa"/>
            <w:gridSpan w:val="2"/>
            <w:vAlign w:val="bottom"/>
          </w:tcPr>
          <w:p w:rsidRPr="00D24CC5" w:rsidR="00D24CC5" w:rsidP="00D24CC5" w:rsidRDefault="00D24CC5" w14:paraId="20870AA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0,9%</w:t>
            </w:r>
          </w:p>
        </w:tc>
        <w:tc>
          <w:tcPr>
            <w:tcW w:w="1340" w:type="dxa"/>
            <w:gridSpan w:val="2"/>
            <w:vAlign w:val="bottom"/>
          </w:tcPr>
          <w:p w:rsidRPr="00D24CC5" w:rsidR="00D24CC5" w:rsidP="00D24CC5" w:rsidRDefault="00D24CC5" w14:paraId="77B00DE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0,9%</w:t>
            </w:r>
          </w:p>
        </w:tc>
        <w:tc>
          <w:tcPr>
            <w:tcW w:w="1354" w:type="dxa"/>
            <w:gridSpan w:val="2"/>
            <w:vAlign w:val="bottom"/>
          </w:tcPr>
          <w:p w:rsidRPr="00D24CC5" w:rsidR="00D24CC5" w:rsidP="00D24CC5" w:rsidRDefault="00D24CC5" w14:paraId="3812D02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1,8%</w:t>
            </w:r>
          </w:p>
        </w:tc>
      </w:tr>
    </w:tbl>
    <w:p w:rsidR="00D7204D" w:rsidP="00D7204D" w:rsidRDefault="00D7204D" w14:paraId="2FE99C61" w14:textId="77777777">
      <w:pPr>
        <w:contextualSpacing/>
        <w:jc w:val="both"/>
      </w:pPr>
    </w:p>
    <w:p w:rsidR="00CF508C" w:rsidP="00D7204D" w:rsidRDefault="00CF508C" w14:paraId="3020F275" w14:textId="77777777">
      <w:pPr>
        <w:contextualSpacing/>
        <w:jc w:val="both"/>
      </w:pPr>
    </w:p>
    <w:p w:rsidR="00CF508C" w:rsidP="00D7204D" w:rsidRDefault="00CF508C" w14:paraId="7B023556" w14:textId="77777777">
      <w:pPr>
        <w:contextualSpacing/>
        <w:jc w:val="both"/>
      </w:pPr>
    </w:p>
    <w:p w:rsidR="00D7204D" w:rsidP="00D7204D" w:rsidRDefault="00D7204D" w14:paraId="1EC52559" w14:textId="77777777">
      <w:pPr>
        <w:contextualSpacing/>
        <w:jc w:val="both"/>
      </w:pPr>
      <w:r>
        <w:t xml:space="preserve">Tabel </w:t>
      </w:r>
      <w:r w:rsidR="0078689A">
        <w:t>6</w:t>
      </w:r>
      <w:r>
        <w:t xml:space="preserve"> Mediane belastingdruk</w:t>
      </w:r>
      <w:r w:rsidR="00422ECB">
        <w:rPr>
          <w:rStyle w:val="Voetnootmarkering"/>
        </w:rPr>
        <w:footnoteReference w:id="9"/>
      </w:r>
      <w:r>
        <w:t xml:space="preserve"> erfbelasting per kind na modernisering forfaits bij het eerste overlijden, renteloze </w:t>
      </w:r>
      <w:proofErr w:type="spellStart"/>
      <w:r>
        <w:t>onderbedelingsvorderingen</w:t>
      </w:r>
      <w:proofErr w:type="spellEnd"/>
    </w:p>
    <w:tbl>
      <w:tblPr>
        <w:tblStyle w:val="Rastertabel4-Accent1"/>
        <w:tblpPr w:leftFromText="141" w:rightFromText="141" w:vertAnchor="text" w:horzAnchor="margin" w:tblpY="116"/>
        <w:tblW w:w="9033" w:type="dxa"/>
        <w:tblLook w:val="04A0" w:firstRow="1" w:lastRow="0" w:firstColumn="1" w:lastColumn="0" w:noHBand="0" w:noVBand="1"/>
      </w:tblPr>
      <w:tblGrid>
        <w:gridCol w:w="1259"/>
        <w:gridCol w:w="1390"/>
        <w:gridCol w:w="1011"/>
        <w:gridCol w:w="1323"/>
        <w:gridCol w:w="18"/>
        <w:gridCol w:w="1311"/>
        <w:gridCol w:w="34"/>
        <w:gridCol w:w="1301"/>
        <w:gridCol w:w="44"/>
        <w:gridCol w:w="1301"/>
        <w:gridCol w:w="41"/>
      </w:tblGrid>
      <w:tr w:rsidRPr="00B00EB7" w:rsidR="00D7204D" w:rsidTr="00D24CC5" w14:paraId="312C33FE"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649" w:type="dxa"/>
            <w:gridSpan w:val="2"/>
          </w:tcPr>
          <w:p w:rsidRPr="000775BD" w:rsidR="00D7204D" w:rsidP="0038771B" w:rsidRDefault="00D7204D" w14:paraId="0C36799D" w14:textId="77777777">
            <w:pPr>
              <w:spacing w:line="276" w:lineRule="auto"/>
              <w:contextualSpacing/>
              <w:rPr>
                <w:rFonts w:cstheme="minorHAnsi"/>
                <w:b w:val="0"/>
                <w:bCs w:val="0"/>
                <w:i/>
                <w:iCs/>
                <w:color w:val="FFFFFF" w:themeColor="background1"/>
                <w:sz w:val="16"/>
                <w:szCs w:val="16"/>
              </w:rPr>
            </w:pPr>
            <w:r w:rsidRPr="000775BD">
              <w:rPr>
                <w:rFonts w:cstheme="minorHAnsi"/>
                <w:b w:val="0"/>
                <w:bCs w:val="0"/>
                <w:color w:val="FFFFFF" w:themeColor="background1"/>
                <w:sz w:val="16"/>
                <w:szCs w:val="16"/>
              </w:rPr>
              <w:t xml:space="preserve">Nagelaten vermogen per </w:t>
            </w:r>
            <w:proofErr w:type="gramStart"/>
            <w:r w:rsidRPr="000775BD">
              <w:rPr>
                <w:rFonts w:cstheme="minorHAnsi"/>
                <w:b w:val="0"/>
                <w:bCs w:val="0"/>
                <w:color w:val="FFFFFF" w:themeColor="background1"/>
                <w:sz w:val="16"/>
                <w:szCs w:val="16"/>
              </w:rPr>
              <w:t>erfgenaam  eerste</w:t>
            </w:r>
            <w:proofErr w:type="gramEnd"/>
            <w:r w:rsidRPr="000775BD">
              <w:rPr>
                <w:rFonts w:cstheme="minorHAnsi"/>
                <w:b w:val="0"/>
                <w:bCs w:val="0"/>
                <w:color w:val="FFFFFF" w:themeColor="background1"/>
                <w:sz w:val="16"/>
                <w:szCs w:val="16"/>
              </w:rPr>
              <w:t xml:space="preserve"> overlijden</w:t>
            </w:r>
          </w:p>
        </w:tc>
        <w:tc>
          <w:tcPr>
            <w:tcW w:w="1011" w:type="dxa"/>
          </w:tcPr>
          <w:p w:rsidRPr="000775BD" w:rsidR="00D7204D" w:rsidP="0038771B" w:rsidRDefault="00D7204D" w14:paraId="20E42AF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€ 0 – € 25.000</w:t>
            </w:r>
          </w:p>
        </w:tc>
        <w:tc>
          <w:tcPr>
            <w:tcW w:w="1341" w:type="dxa"/>
            <w:gridSpan w:val="2"/>
          </w:tcPr>
          <w:p w:rsidRPr="000775BD" w:rsidR="00D7204D" w:rsidP="0038771B" w:rsidRDefault="00D7204D" w14:paraId="6C502E2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€ 25.000 - € 75.000</w:t>
            </w:r>
          </w:p>
        </w:tc>
        <w:tc>
          <w:tcPr>
            <w:tcW w:w="1345" w:type="dxa"/>
            <w:gridSpan w:val="2"/>
          </w:tcPr>
          <w:p w:rsidRPr="000775BD" w:rsidR="00D7204D" w:rsidP="0038771B" w:rsidRDefault="00D7204D" w14:paraId="5B07566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€ 75.000 - € 100.000</w:t>
            </w:r>
          </w:p>
        </w:tc>
        <w:tc>
          <w:tcPr>
            <w:tcW w:w="1345" w:type="dxa"/>
            <w:gridSpan w:val="2"/>
          </w:tcPr>
          <w:p w:rsidRPr="000775BD" w:rsidR="00D7204D" w:rsidP="0038771B" w:rsidRDefault="00D7204D" w14:paraId="438A64C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€ 100.000 - € 250.000</w:t>
            </w:r>
          </w:p>
        </w:tc>
        <w:tc>
          <w:tcPr>
            <w:tcW w:w="1342" w:type="dxa"/>
            <w:gridSpan w:val="2"/>
          </w:tcPr>
          <w:p w:rsidRPr="000775BD" w:rsidR="00D7204D" w:rsidP="0038771B" w:rsidRDefault="00D7204D" w14:paraId="2F497C24"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&gt; 250.000</w:t>
            </w:r>
          </w:p>
        </w:tc>
      </w:tr>
      <w:tr w:rsidRPr="00B00EB7" w:rsidR="00D24CC5" w:rsidTr="00D24CC5" w14:paraId="1BC75BF4"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83"/>
        </w:trPr>
        <w:tc>
          <w:tcPr>
            <w:cnfStyle w:val="001000000000" w:firstRow="0" w:lastRow="0" w:firstColumn="1" w:lastColumn="0" w:oddVBand="0" w:evenVBand="0" w:oddHBand="0" w:evenHBand="0" w:firstRowFirstColumn="0" w:firstRowLastColumn="0" w:lastRowFirstColumn="0" w:lastRowLastColumn="0"/>
            <w:tcW w:w="1259" w:type="dxa"/>
            <w:vMerge w:val="restart"/>
            <w:textDirection w:val="btLr"/>
          </w:tcPr>
          <w:p w:rsidRPr="000775BD" w:rsidR="00D24CC5" w:rsidP="00D24CC5" w:rsidRDefault="00D24CC5" w14:paraId="07D3529F" w14:textId="77777777">
            <w:pPr>
              <w:ind w:left="113" w:right="113"/>
              <w:jc w:val="center"/>
              <w:rPr>
                <w:rFonts w:cstheme="minorHAnsi"/>
                <w:b w:val="0"/>
                <w:bCs w:val="0"/>
                <w:color w:val="000000" w:themeColor="text1"/>
                <w:sz w:val="16"/>
                <w:szCs w:val="16"/>
              </w:rPr>
            </w:pPr>
            <w:r w:rsidRPr="000775BD">
              <w:rPr>
                <w:rFonts w:cstheme="minorHAnsi"/>
                <w:b w:val="0"/>
                <w:bCs w:val="0"/>
                <w:color w:val="000000" w:themeColor="text1"/>
                <w:sz w:val="16"/>
                <w:szCs w:val="16"/>
              </w:rPr>
              <w:t>Leeftijd langstlevende partner bij eerste overlijden</w:t>
            </w:r>
          </w:p>
        </w:tc>
        <w:tc>
          <w:tcPr>
            <w:tcW w:w="1390" w:type="dxa"/>
          </w:tcPr>
          <w:p w:rsidRPr="000775BD" w:rsidR="00D24CC5" w:rsidP="00D24CC5" w:rsidRDefault="00D24CC5" w14:paraId="51154BD8"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50 jaar of jonger</w:t>
            </w:r>
          </w:p>
        </w:tc>
        <w:tc>
          <w:tcPr>
            <w:tcW w:w="1011" w:type="dxa"/>
            <w:vAlign w:val="bottom"/>
          </w:tcPr>
          <w:p w:rsidRPr="00D24CC5" w:rsidR="00D24CC5" w:rsidP="00D24CC5" w:rsidRDefault="00D24CC5" w14:paraId="390B6C2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23" w:type="dxa"/>
            <w:vAlign w:val="bottom"/>
          </w:tcPr>
          <w:p w:rsidRPr="00D24CC5" w:rsidR="00D24CC5" w:rsidP="00D24CC5" w:rsidRDefault="00D24CC5" w14:paraId="064096A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29" w:type="dxa"/>
            <w:gridSpan w:val="2"/>
            <w:vAlign w:val="bottom"/>
          </w:tcPr>
          <w:p w:rsidRPr="00D24CC5" w:rsidR="00D24CC5" w:rsidP="00D24CC5" w:rsidRDefault="00D24CC5" w14:paraId="76DFEB3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0,1%</w:t>
            </w:r>
          </w:p>
        </w:tc>
        <w:tc>
          <w:tcPr>
            <w:tcW w:w="1335" w:type="dxa"/>
            <w:gridSpan w:val="2"/>
            <w:vAlign w:val="bottom"/>
          </w:tcPr>
          <w:p w:rsidRPr="00D24CC5" w:rsidR="00D24CC5" w:rsidP="00D24CC5" w:rsidRDefault="00D24CC5" w14:paraId="074E99E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4,2%</w:t>
            </w:r>
          </w:p>
        </w:tc>
        <w:tc>
          <w:tcPr>
            <w:tcW w:w="1345" w:type="dxa"/>
            <w:gridSpan w:val="2"/>
            <w:vAlign w:val="bottom"/>
          </w:tcPr>
          <w:p w:rsidRPr="00D24CC5" w:rsidR="00D24CC5" w:rsidP="00D24CC5" w:rsidRDefault="00D24CC5" w14:paraId="6D74254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7,4%</w:t>
            </w:r>
          </w:p>
        </w:tc>
      </w:tr>
      <w:tr w:rsidRPr="00B00EB7" w:rsidR="00D24CC5" w:rsidTr="00D24CC5" w14:paraId="31A8F714"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4A1F71FD" w14:textId="77777777">
            <w:pPr>
              <w:jc w:val="center"/>
              <w:rPr>
                <w:rFonts w:cstheme="minorHAnsi"/>
                <w:color w:val="000000" w:themeColor="text1"/>
                <w:sz w:val="16"/>
                <w:szCs w:val="16"/>
              </w:rPr>
            </w:pPr>
          </w:p>
        </w:tc>
        <w:tc>
          <w:tcPr>
            <w:tcW w:w="1390" w:type="dxa"/>
          </w:tcPr>
          <w:p w:rsidRPr="000775BD" w:rsidR="00D24CC5" w:rsidP="00D24CC5" w:rsidRDefault="00D24CC5" w14:paraId="3364C24A"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51 t/m 60</w:t>
            </w:r>
          </w:p>
        </w:tc>
        <w:tc>
          <w:tcPr>
            <w:tcW w:w="1011" w:type="dxa"/>
            <w:vAlign w:val="bottom"/>
          </w:tcPr>
          <w:p w:rsidRPr="00D24CC5" w:rsidR="00D24CC5" w:rsidP="00D24CC5" w:rsidRDefault="00D24CC5" w14:paraId="3B7E606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23" w:type="dxa"/>
            <w:vAlign w:val="bottom"/>
          </w:tcPr>
          <w:p w:rsidRPr="00D24CC5" w:rsidR="00D24CC5" w:rsidP="00D24CC5" w:rsidRDefault="00D24CC5" w14:paraId="7A445EB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29" w:type="dxa"/>
            <w:gridSpan w:val="2"/>
            <w:vAlign w:val="bottom"/>
          </w:tcPr>
          <w:p w:rsidRPr="00D24CC5" w:rsidR="00D24CC5" w:rsidP="00D24CC5" w:rsidRDefault="00D24CC5" w14:paraId="2BF2D838"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2,7%</w:t>
            </w:r>
          </w:p>
        </w:tc>
        <w:tc>
          <w:tcPr>
            <w:tcW w:w="1335" w:type="dxa"/>
            <w:gridSpan w:val="2"/>
            <w:vAlign w:val="bottom"/>
          </w:tcPr>
          <w:p w:rsidRPr="00D24CC5" w:rsidR="00D24CC5" w:rsidP="00D24CC5" w:rsidRDefault="00D24CC5" w14:paraId="1E5D9D4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5,5%</w:t>
            </w:r>
          </w:p>
        </w:tc>
        <w:tc>
          <w:tcPr>
            <w:tcW w:w="1345" w:type="dxa"/>
            <w:gridSpan w:val="2"/>
            <w:vAlign w:val="bottom"/>
          </w:tcPr>
          <w:p w:rsidRPr="00D24CC5" w:rsidR="00D24CC5" w:rsidP="00D24CC5" w:rsidRDefault="00D24CC5" w14:paraId="0868A5B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8,5%</w:t>
            </w:r>
          </w:p>
        </w:tc>
      </w:tr>
      <w:tr w:rsidRPr="00B00EB7" w:rsidR="00D24CC5" w:rsidTr="00D24CC5" w14:paraId="33523313"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3A1B7F33" w14:textId="77777777">
            <w:pPr>
              <w:jc w:val="center"/>
              <w:rPr>
                <w:rFonts w:cstheme="minorHAnsi"/>
                <w:color w:val="000000" w:themeColor="text1"/>
                <w:sz w:val="16"/>
                <w:szCs w:val="16"/>
              </w:rPr>
            </w:pPr>
          </w:p>
        </w:tc>
        <w:tc>
          <w:tcPr>
            <w:tcW w:w="1390" w:type="dxa"/>
          </w:tcPr>
          <w:p w:rsidRPr="000775BD" w:rsidR="00D24CC5" w:rsidP="00D24CC5" w:rsidRDefault="00D24CC5" w14:paraId="4BEBA590"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61 t/m 70</w:t>
            </w:r>
          </w:p>
        </w:tc>
        <w:tc>
          <w:tcPr>
            <w:tcW w:w="1011" w:type="dxa"/>
            <w:vAlign w:val="bottom"/>
          </w:tcPr>
          <w:p w:rsidRPr="00D24CC5" w:rsidR="00D24CC5" w:rsidP="00D24CC5" w:rsidRDefault="00D24CC5" w14:paraId="2A3B5D9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23" w:type="dxa"/>
            <w:vAlign w:val="bottom"/>
          </w:tcPr>
          <w:p w:rsidRPr="00D24CC5" w:rsidR="00D24CC5" w:rsidP="00D24CC5" w:rsidRDefault="00D24CC5" w14:paraId="4281CF8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0,6%</w:t>
            </w:r>
          </w:p>
        </w:tc>
        <w:tc>
          <w:tcPr>
            <w:tcW w:w="1329" w:type="dxa"/>
            <w:gridSpan w:val="2"/>
            <w:vAlign w:val="bottom"/>
          </w:tcPr>
          <w:p w:rsidRPr="00D24CC5" w:rsidR="00D24CC5" w:rsidP="00D24CC5" w:rsidRDefault="00D24CC5" w14:paraId="09045DC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4,4%</w:t>
            </w:r>
          </w:p>
        </w:tc>
        <w:tc>
          <w:tcPr>
            <w:tcW w:w="1335" w:type="dxa"/>
            <w:gridSpan w:val="2"/>
            <w:vAlign w:val="bottom"/>
          </w:tcPr>
          <w:p w:rsidRPr="00D24CC5" w:rsidR="00D24CC5" w:rsidP="00D24CC5" w:rsidRDefault="00D24CC5" w14:paraId="078EFB1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6,5%</w:t>
            </w:r>
          </w:p>
        </w:tc>
        <w:tc>
          <w:tcPr>
            <w:tcW w:w="1345" w:type="dxa"/>
            <w:gridSpan w:val="2"/>
            <w:vAlign w:val="bottom"/>
          </w:tcPr>
          <w:p w:rsidRPr="00D24CC5" w:rsidR="00D24CC5" w:rsidP="00D24CC5" w:rsidRDefault="00D24CC5" w14:paraId="134403C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9,9%</w:t>
            </w:r>
          </w:p>
        </w:tc>
      </w:tr>
      <w:tr w:rsidRPr="00B00EB7" w:rsidR="00D24CC5" w:rsidTr="00D24CC5" w14:paraId="1C7885AC"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737E3FCF" w14:textId="77777777">
            <w:pPr>
              <w:jc w:val="center"/>
              <w:rPr>
                <w:rFonts w:cstheme="minorHAnsi"/>
                <w:color w:val="000000" w:themeColor="text1"/>
                <w:sz w:val="16"/>
                <w:szCs w:val="16"/>
              </w:rPr>
            </w:pPr>
          </w:p>
        </w:tc>
        <w:tc>
          <w:tcPr>
            <w:tcW w:w="1390" w:type="dxa"/>
          </w:tcPr>
          <w:p w:rsidRPr="000775BD" w:rsidR="00D24CC5" w:rsidP="00D24CC5" w:rsidRDefault="00D24CC5" w14:paraId="4D62D53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71 t/m 75</w:t>
            </w:r>
          </w:p>
        </w:tc>
        <w:tc>
          <w:tcPr>
            <w:tcW w:w="1011" w:type="dxa"/>
            <w:vAlign w:val="bottom"/>
          </w:tcPr>
          <w:p w:rsidRPr="00D24CC5" w:rsidR="00D24CC5" w:rsidP="00D24CC5" w:rsidRDefault="00D24CC5" w14:paraId="639AAA4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23" w:type="dxa"/>
            <w:vAlign w:val="bottom"/>
          </w:tcPr>
          <w:p w:rsidRPr="00D24CC5" w:rsidR="00D24CC5" w:rsidP="00D24CC5" w:rsidRDefault="00D24CC5" w14:paraId="3F830C9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1,9%</w:t>
            </w:r>
          </w:p>
        </w:tc>
        <w:tc>
          <w:tcPr>
            <w:tcW w:w="1329" w:type="dxa"/>
            <w:gridSpan w:val="2"/>
            <w:vAlign w:val="bottom"/>
          </w:tcPr>
          <w:p w:rsidRPr="00D24CC5" w:rsidR="00D24CC5" w:rsidP="00D24CC5" w:rsidRDefault="00D24CC5" w14:paraId="2187739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5,2%</w:t>
            </w:r>
          </w:p>
        </w:tc>
        <w:tc>
          <w:tcPr>
            <w:tcW w:w="1335" w:type="dxa"/>
            <w:gridSpan w:val="2"/>
            <w:vAlign w:val="bottom"/>
          </w:tcPr>
          <w:p w:rsidRPr="00D24CC5" w:rsidR="00D24CC5" w:rsidP="00D24CC5" w:rsidRDefault="00D24CC5" w14:paraId="646A6D8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6,9%</w:t>
            </w:r>
          </w:p>
        </w:tc>
        <w:tc>
          <w:tcPr>
            <w:tcW w:w="1345" w:type="dxa"/>
            <w:gridSpan w:val="2"/>
            <w:vAlign w:val="bottom"/>
          </w:tcPr>
          <w:p w:rsidRPr="00D24CC5" w:rsidR="00D24CC5" w:rsidP="00D24CC5" w:rsidRDefault="00D24CC5" w14:paraId="61F8AFAE"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10,9%</w:t>
            </w:r>
          </w:p>
        </w:tc>
      </w:tr>
      <w:tr w:rsidRPr="00B00EB7" w:rsidR="00D24CC5" w:rsidTr="00D24CC5" w14:paraId="3C9A9770"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56ACDAB2" w14:textId="77777777">
            <w:pPr>
              <w:jc w:val="center"/>
              <w:rPr>
                <w:rFonts w:cstheme="minorHAnsi"/>
                <w:color w:val="000000" w:themeColor="text1"/>
                <w:sz w:val="16"/>
                <w:szCs w:val="16"/>
              </w:rPr>
            </w:pPr>
          </w:p>
        </w:tc>
        <w:tc>
          <w:tcPr>
            <w:tcW w:w="1390" w:type="dxa"/>
          </w:tcPr>
          <w:p w:rsidRPr="000775BD" w:rsidR="00D24CC5" w:rsidP="00D24CC5" w:rsidRDefault="00D24CC5" w14:paraId="404EB5E2"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76 t/m 80</w:t>
            </w:r>
          </w:p>
        </w:tc>
        <w:tc>
          <w:tcPr>
            <w:tcW w:w="1011" w:type="dxa"/>
            <w:vAlign w:val="bottom"/>
          </w:tcPr>
          <w:p w:rsidRPr="00D24CC5" w:rsidR="00D24CC5" w:rsidP="00D24CC5" w:rsidRDefault="00D24CC5" w14:paraId="26A4631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23" w:type="dxa"/>
            <w:vAlign w:val="bottom"/>
          </w:tcPr>
          <w:p w:rsidRPr="00D24CC5" w:rsidR="00D24CC5" w:rsidP="00D24CC5" w:rsidRDefault="00D24CC5" w14:paraId="0B792CF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2,8%</w:t>
            </w:r>
          </w:p>
        </w:tc>
        <w:tc>
          <w:tcPr>
            <w:tcW w:w="1329" w:type="dxa"/>
            <w:gridSpan w:val="2"/>
            <w:vAlign w:val="bottom"/>
          </w:tcPr>
          <w:p w:rsidRPr="00D24CC5" w:rsidR="00D24CC5" w:rsidP="00D24CC5" w:rsidRDefault="00D24CC5" w14:paraId="42BFA706"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5,8%</w:t>
            </w:r>
          </w:p>
        </w:tc>
        <w:tc>
          <w:tcPr>
            <w:tcW w:w="1335" w:type="dxa"/>
            <w:gridSpan w:val="2"/>
            <w:vAlign w:val="bottom"/>
          </w:tcPr>
          <w:p w:rsidRPr="00D24CC5" w:rsidR="00D24CC5" w:rsidP="00D24CC5" w:rsidRDefault="00D24CC5" w14:paraId="4D77651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7,3%</w:t>
            </w:r>
          </w:p>
        </w:tc>
        <w:tc>
          <w:tcPr>
            <w:tcW w:w="1345" w:type="dxa"/>
            <w:gridSpan w:val="2"/>
            <w:vAlign w:val="bottom"/>
          </w:tcPr>
          <w:p w:rsidRPr="00D24CC5" w:rsidR="00D24CC5" w:rsidP="00D24CC5" w:rsidRDefault="00D24CC5" w14:paraId="786E5AB4"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11,6%</w:t>
            </w:r>
          </w:p>
        </w:tc>
      </w:tr>
      <w:tr w:rsidRPr="00B00EB7" w:rsidR="00D24CC5" w:rsidTr="00D24CC5" w14:paraId="1872D140"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11B07AD5" w14:textId="77777777">
            <w:pPr>
              <w:jc w:val="center"/>
              <w:rPr>
                <w:rFonts w:cstheme="minorHAnsi"/>
                <w:color w:val="000000" w:themeColor="text1"/>
                <w:sz w:val="16"/>
                <w:szCs w:val="16"/>
              </w:rPr>
            </w:pPr>
          </w:p>
        </w:tc>
        <w:tc>
          <w:tcPr>
            <w:tcW w:w="1390" w:type="dxa"/>
          </w:tcPr>
          <w:p w:rsidRPr="000775BD" w:rsidR="00D24CC5" w:rsidP="00D24CC5" w:rsidRDefault="00D24CC5" w14:paraId="3A64FA5F"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81 t/m 85</w:t>
            </w:r>
          </w:p>
        </w:tc>
        <w:tc>
          <w:tcPr>
            <w:tcW w:w="1011" w:type="dxa"/>
            <w:vAlign w:val="bottom"/>
          </w:tcPr>
          <w:p w:rsidRPr="00D24CC5" w:rsidR="00D24CC5" w:rsidP="00D24CC5" w:rsidRDefault="00D24CC5" w14:paraId="4EE5E2CE"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23" w:type="dxa"/>
            <w:vAlign w:val="bottom"/>
          </w:tcPr>
          <w:p w:rsidRPr="00D24CC5" w:rsidR="00D24CC5" w:rsidP="00D24CC5" w:rsidRDefault="00D24CC5" w14:paraId="643ADFE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3,2%</w:t>
            </w:r>
          </w:p>
        </w:tc>
        <w:tc>
          <w:tcPr>
            <w:tcW w:w="1329" w:type="dxa"/>
            <w:gridSpan w:val="2"/>
            <w:vAlign w:val="bottom"/>
          </w:tcPr>
          <w:p w:rsidRPr="00D24CC5" w:rsidR="00D24CC5" w:rsidP="00D24CC5" w:rsidRDefault="00D24CC5" w14:paraId="41ADD1A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6,1%</w:t>
            </w:r>
          </w:p>
        </w:tc>
        <w:tc>
          <w:tcPr>
            <w:tcW w:w="1335" w:type="dxa"/>
            <w:gridSpan w:val="2"/>
            <w:vAlign w:val="bottom"/>
          </w:tcPr>
          <w:p w:rsidRPr="00D24CC5" w:rsidR="00D24CC5" w:rsidP="00D24CC5" w:rsidRDefault="00D24CC5" w14:paraId="444FE65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7,5%</w:t>
            </w:r>
          </w:p>
        </w:tc>
        <w:tc>
          <w:tcPr>
            <w:tcW w:w="1345" w:type="dxa"/>
            <w:gridSpan w:val="2"/>
            <w:vAlign w:val="bottom"/>
          </w:tcPr>
          <w:p w:rsidRPr="00D24CC5" w:rsidR="00D24CC5" w:rsidP="00D24CC5" w:rsidRDefault="00D24CC5" w14:paraId="4844F4DE"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13,3%</w:t>
            </w:r>
          </w:p>
        </w:tc>
      </w:tr>
      <w:tr w:rsidRPr="00B00EB7" w:rsidR="00D24CC5" w:rsidTr="00D24CC5" w14:paraId="224822F4"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07D24D9C" w14:textId="77777777">
            <w:pPr>
              <w:jc w:val="center"/>
              <w:rPr>
                <w:rFonts w:cstheme="minorHAnsi"/>
                <w:color w:val="000000" w:themeColor="text1"/>
                <w:sz w:val="16"/>
                <w:szCs w:val="16"/>
              </w:rPr>
            </w:pPr>
          </w:p>
        </w:tc>
        <w:tc>
          <w:tcPr>
            <w:tcW w:w="1390" w:type="dxa"/>
          </w:tcPr>
          <w:p w:rsidRPr="000775BD" w:rsidR="00D24CC5" w:rsidP="00D24CC5" w:rsidRDefault="00D24CC5" w14:paraId="29F8067B"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86 t/m 90</w:t>
            </w:r>
          </w:p>
        </w:tc>
        <w:tc>
          <w:tcPr>
            <w:tcW w:w="1011" w:type="dxa"/>
            <w:vAlign w:val="bottom"/>
          </w:tcPr>
          <w:p w:rsidRPr="00D24CC5" w:rsidR="00D24CC5" w:rsidP="00D24CC5" w:rsidRDefault="00D24CC5" w14:paraId="2B1D67F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23" w:type="dxa"/>
            <w:vAlign w:val="bottom"/>
          </w:tcPr>
          <w:p w:rsidRPr="00D24CC5" w:rsidR="00D24CC5" w:rsidP="00D24CC5" w:rsidRDefault="00D24CC5" w14:paraId="222B1D71"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3,8%</w:t>
            </w:r>
          </w:p>
        </w:tc>
        <w:tc>
          <w:tcPr>
            <w:tcW w:w="1329" w:type="dxa"/>
            <w:gridSpan w:val="2"/>
            <w:vAlign w:val="bottom"/>
          </w:tcPr>
          <w:p w:rsidRPr="00D24CC5" w:rsidR="00D24CC5" w:rsidP="00D24CC5" w:rsidRDefault="00D24CC5" w14:paraId="6B154B4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6,5%</w:t>
            </w:r>
          </w:p>
        </w:tc>
        <w:tc>
          <w:tcPr>
            <w:tcW w:w="1335" w:type="dxa"/>
            <w:gridSpan w:val="2"/>
            <w:vAlign w:val="bottom"/>
          </w:tcPr>
          <w:p w:rsidRPr="00D24CC5" w:rsidR="00D24CC5" w:rsidP="00D24CC5" w:rsidRDefault="00D24CC5" w14:paraId="2AF674E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7,8%</w:t>
            </w:r>
          </w:p>
        </w:tc>
        <w:tc>
          <w:tcPr>
            <w:tcW w:w="1345" w:type="dxa"/>
            <w:gridSpan w:val="2"/>
            <w:vAlign w:val="bottom"/>
          </w:tcPr>
          <w:p w:rsidRPr="00D24CC5" w:rsidR="00D24CC5" w:rsidP="00D24CC5" w:rsidRDefault="00D24CC5" w14:paraId="4BEEC6A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13,0%</w:t>
            </w:r>
          </w:p>
        </w:tc>
      </w:tr>
      <w:tr w:rsidRPr="00B00EB7" w:rsidR="00D24CC5" w:rsidTr="00D24CC5" w14:paraId="527CE480"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59" w:type="dxa"/>
            <w:vMerge/>
          </w:tcPr>
          <w:p w:rsidRPr="000775BD" w:rsidR="00D24CC5" w:rsidP="00D24CC5" w:rsidRDefault="00D24CC5" w14:paraId="4471B126" w14:textId="77777777">
            <w:pPr>
              <w:jc w:val="center"/>
              <w:rPr>
                <w:rFonts w:cstheme="minorHAnsi"/>
                <w:color w:val="000000" w:themeColor="text1"/>
                <w:sz w:val="16"/>
                <w:szCs w:val="16"/>
              </w:rPr>
            </w:pPr>
          </w:p>
        </w:tc>
        <w:tc>
          <w:tcPr>
            <w:tcW w:w="1390" w:type="dxa"/>
          </w:tcPr>
          <w:p w:rsidRPr="000775BD" w:rsidR="00D24CC5" w:rsidP="00D24CC5" w:rsidRDefault="00D24CC5" w14:paraId="58A5D5B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775BD">
              <w:rPr>
                <w:rFonts w:cstheme="minorHAnsi"/>
                <w:color w:val="000000" w:themeColor="text1"/>
                <w:sz w:val="16"/>
                <w:szCs w:val="16"/>
              </w:rPr>
              <w:t>91 jaar of ouder</w:t>
            </w:r>
          </w:p>
        </w:tc>
        <w:tc>
          <w:tcPr>
            <w:tcW w:w="1011" w:type="dxa"/>
            <w:vAlign w:val="bottom"/>
          </w:tcPr>
          <w:p w:rsidRPr="00D24CC5" w:rsidR="00D24CC5" w:rsidP="00D24CC5" w:rsidRDefault="00D24CC5" w14:paraId="6D04E8A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23" w:type="dxa"/>
            <w:vAlign w:val="bottom"/>
          </w:tcPr>
          <w:p w:rsidRPr="00D24CC5" w:rsidR="00D24CC5" w:rsidP="00D24CC5" w:rsidRDefault="00D24CC5" w14:paraId="705E55B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4,0%</w:t>
            </w:r>
          </w:p>
        </w:tc>
        <w:tc>
          <w:tcPr>
            <w:tcW w:w="1329" w:type="dxa"/>
            <w:gridSpan w:val="2"/>
            <w:vAlign w:val="bottom"/>
          </w:tcPr>
          <w:p w:rsidRPr="00D24CC5" w:rsidR="00D24CC5" w:rsidP="00D24CC5" w:rsidRDefault="00D24CC5" w14:paraId="6E0A271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6,8%</w:t>
            </w:r>
          </w:p>
        </w:tc>
        <w:tc>
          <w:tcPr>
            <w:tcW w:w="1335" w:type="dxa"/>
            <w:gridSpan w:val="2"/>
            <w:vAlign w:val="bottom"/>
          </w:tcPr>
          <w:p w:rsidRPr="00D24CC5" w:rsidR="00D24CC5" w:rsidP="00D24CC5" w:rsidRDefault="00D24CC5" w14:paraId="168980D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7,9%</w:t>
            </w:r>
          </w:p>
        </w:tc>
        <w:tc>
          <w:tcPr>
            <w:tcW w:w="1345" w:type="dxa"/>
            <w:gridSpan w:val="2"/>
            <w:vAlign w:val="bottom"/>
          </w:tcPr>
          <w:p w:rsidRPr="00D24CC5" w:rsidR="00D24CC5" w:rsidP="00D24CC5" w:rsidRDefault="00D24CC5" w14:paraId="3420342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13,6%</w:t>
            </w:r>
          </w:p>
        </w:tc>
      </w:tr>
    </w:tbl>
    <w:p w:rsidR="00D7204D" w:rsidP="00D7204D" w:rsidRDefault="00D7204D" w14:paraId="1C56EEC6" w14:textId="77777777">
      <w:pPr>
        <w:contextualSpacing/>
        <w:jc w:val="both"/>
      </w:pPr>
    </w:p>
    <w:p w:rsidR="00D7204D" w:rsidP="00D7204D" w:rsidRDefault="00D7204D" w14:paraId="4E12E776" w14:textId="77777777">
      <w:pPr>
        <w:contextualSpacing/>
        <w:jc w:val="both"/>
        <w:rPr>
          <w:i/>
          <w:iCs/>
        </w:rPr>
      </w:pPr>
    </w:p>
    <w:p w:rsidR="00CF508C" w:rsidP="00D7204D" w:rsidRDefault="00CF508C" w14:paraId="46468949" w14:textId="77777777">
      <w:pPr>
        <w:contextualSpacing/>
        <w:jc w:val="both"/>
        <w:rPr>
          <w:i/>
          <w:iCs/>
        </w:rPr>
      </w:pPr>
    </w:p>
    <w:p w:rsidR="00CF508C" w:rsidP="00D7204D" w:rsidRDefault="00CF508C" w14:paraId="1B0D932F" w14:textId="77777777">
      <w:pPr>
        <w:contextualSpacing/>
        <w:jc w:val="both"/>
        <w:rPr>
          <w:i/>
          <w:iCs/>
        </w:rPr>
      </w:pPr>
    </w:p>
    <w:p w:rsidR="00CF508C" w:rsidP="00D7204D" w:rsidRDefault="00CF508C" w14:paraId="72D4277F" w14:textId="77777777">
      <w:pPr>
        <w:contextualSpacing/>
        <w:jc w:val="both"/>
        <w:rPr>
          <w:i/>
          <w:iCs/>
        </w:rPr>
      </w:pPr>
    </w:p>
    <w:p w:rsidR="00CF508C" w:rsidP="00D7204D" w:rsidRDefault="00CF508C" w14:paraId="4FFC2088" w14:textId="77777777">
      <w:pPr>
        <w:contextualSpacing/>
        <w:jc w:val="both"/>
        <w:rPr>
          <w:i/>
          <w:iCs/>
        </w:rPr>
      </w:pPr>
    </w:p>
    <w:p w:rsidR="00A55189" w:rsidP="00D7204D" w:rsidRDefault="00A55189" w14:paraId="1678E2BE" w14:textId="77777777">
      <w:pPr>
        <w:contextualSpacing/>
        <w:jc w:val="both"/>
        <w:rPr>
          <w:i/>
          <w:iCs/>
        </w:rPr>
      </w:pPr>
    </w:p>
    <w:p w:rsidR="00A55189" w:rsidP="00D7204D" w:rsidRDefault="00A55189" w14:paraId="369F44A0" w14:textId="77777777">
      <w:pPr>
        <w:contextualSpacing/>
        <w:jc w:val="both"/>
        <w:rPr>
          <w:i/>
          <w:iCs/>
        </w:rPr>
      </w:pPr>
    </w:p>
    <w:p w:rsidR="00A55189" w:rsidP="00D7204D" w:rsidRDefault="00A55189" w14:paraId="17189168" w14:textId="77777777">
      <w:pPr>
        <w:contextualSpacing/>
        <w:jc w:val="both"/>
        <w:rPr>
          <w:i/>
          <w:iCs/>
        </w:rPr>
      </w:pPr>
    </w:p>
    <w:p w:rsidR="00A55189" w:rsidP="00D7204D" w:rsidRDefault="00A55189" w14:paraId="248F101C" w14:textId="77777777">
      <w:pPr>
        <w:contextualSpacing/>
        <w:jc w:val="both"/>
        <w:rPr>
          <w:i/>
          <w:iCs/>
        </w:rPr>
      </w:pPr>
    </w:p>
    <w:p w:rsidR="00A55189" w:rsidP="00D7204D" w:rsidRDefault="00A55189" w14:paraId="1F69C709" w14:textId="77777777">
      <w:pPr>
        <w:contextualSpacing/>
        <w:jc w:val="both"/>
        <w:rPr>
          <w:i/>
          <w:iCs/>
        </w:rPr>
      </w:pPr>
    </w:p>
    <w:p w:rsidR="00A55189" w:rsidP="00D7204D" w:rsidRDefault="00A55189" w14:paraId="380554F9" w14:textId="77777777">
      <w:pPr>
        <w:contextualSpacing/>
        <w:jc w:val="both"/>
        <w:rPr>
          <w:i/>
          <w:iCs/>
        </w:rPr>
      </w:pPr>
    </w:p>
    <w:p w:rsidR="00A55189" w:rsidP="00D7204D" w:rsidRDefault="00A55189" w14:paraId="3F99B0D8" w14:textId="77777777">
      <w:pPr>
        <w:contextualSpacing/>
        <w:jc w:val="both"/>
        <w:rPr>
          <w:i/>
          <w:iCs/>
        </w:rPr>
      </w:pPr>
    </w:p>
    <w:p w:rsidR="00A55189" w:rsidP="00D7204D" w:rsidRDefault="00A55189" w14:paraId="062226E3" w14:textId="77777777">
      <w:pPr>
        <w:contextualSpacing/>
        <w:jc w:val="both"/>
        <w:rPr>
          <w:i/>
          <w:iCs/>
        </w:rPr>
      </w:pPr>
    </w:p>
    <w:p w:rsidR="00A55189" w:rsidP="00D7204D" w:rsidRDefault="00A55189" w14:paraId="673A92D4" w14:textId="77777777">
      <w:pPr>
        <w:contextualSpacing/>
        <w:jc w:val="both"/>
        <w:rPr>
          <w:i/>
          <w:iCs/>
        </w:rPr>
      </w:pPr>
    </w:p>
    <w:p w:rsidRPr="00607471" w:rsidR="00D7204D" w:rsidP="00D7204D" w:rsidRDefault="00D7204D" w14:paraId="4D1FA9FA" w14:textId="77777777">
      <w:pPr>
        <w:contextualSpacing/>
        <w:jc w:val="both"/>
        <w:rPr>
          <w:i/>
          <w:iCs/>
        </w:rPr>
      </w:pPr>
      <w:r>
        <w:rPr>
          <w:i/>
          <w:iCs/>
        </w:rPr>
        <w:t xml:space="preserve">Budgettaire effecten rentedragende </w:t>
      </w:r>
      <w:proofErr w:type="spellStart"/>
      <w:r>
        <w:rPr>
          <w:i/>
          <w:iCs/>
        </w:rPr>
        <w:t>onderbedelingsvorderingen</w:t>
      </w:r>
      <w:proofErr w:type="spellEnd"/>
      <w:r>
        <w:rPr>
          <w:i/>
          <w:iCs/>
        </w:rPr>
        <w:t xml:space="preserve"> </w:t>
      </w:r>
      <w:r w:rsidRPr="00DA2D03">
        <w:rPr>
          <w:i/>
          <w:iCs/>
        </w:rPr>
        <w:t>bij het tweede overlijden</w:t>
      </w:r>
    </w:p>
    <w:p w:rsidR="00D7204D" w:rsidP="00D7204D" w:rsidRDefault="00D7204D" w14:paraId="52C8C94A" w14:textId="77777777">
      <w:pPr>
        <w:contextualSpacing/>
        <w:jc w:val="both"/>
      </w:pPr>
      <w:r>
        <w:t xml:space="preserve">Uit de aangiften blijkt dat rentedragende </w:t>
      </w:r>
      <w:proofErr w:type="spellStart"/>
      <w:r>
        <w:t>onderbedelingsvermogen</w:t>
      </w:r>
      <w:proofErr w:type="spellEnd"/>
      <w:r>
        <w:t xml:space="preserve"> vaker voorkomen naarmate het vermogen hoger is (tabel </w:t>
      </w:r>
      <w:r w:rsidR="0078689A">
        <w:t>7</w:t>
      </w:r>
      <w:r>
        <w:t>). B</w:t>
      </w:r>
      <w:r w:rsidRPr="006C29AA">
        <w:t xml:space="preserve">ij rentedragende </w:t>
      </w:r>
      <w:proofErr w:type="spellStart"/>
      <w:r w:rsidRPr="006C29AA">
        <w:t>onderbedelingsvorderingen</w:t>
      </w:r>
      <w:proofErr w:type="spellEnd"/>
      <w:r w:rsidRPr="006C29AA">
        <w:t xml:space="preserve"> </w:t>
      </w:r>
      <w:r>
        <w:t xml:space="preserve">treedt </w:t>
      </w:r>
      <w:r w:rsidRPr="006C29AA">
        <w:t>alleen een effect op bij het tweede overlijden.</w:t>
      </w:r>
      <w:r>
        <w:t xml:space="preserve"> Voor</w:t>
      </w:r>
      <w:r w:rsidRPr="006C29AA">
        <w:t xml:space="preserve"> de</w:t>
      </w:r>
      <w:r>
        <w:t xml:space="preserve"> doorrekeningen </w:t>
      </w:r>
      <w:r w:rsidRPr="006C29AA">
        <w:t>is verondersteld dat</w:t>
      </w:r>
      <w:r>
        <w:t xml:space="preserve"> partners getrouwd zijn in algehele gemeenschap van goederen en dat</w:t>
      </w:r>
      <w:r w:rsidRPr="006C29AA">
        <w:t xml:space="preserve"> het vermogen van de langstlevende partner vanaf het eerste overlijden tot het tweede overlijden</w:t>
      </w:r>
      <w:r>
        <w:t>, na aftrek van de erfbelasting van de kinderen die de langstlevende partner voldoet,</w:t>
      </w:r>
      <w:r w:rsidRPr="006C29AA">
        <w:t xml:space="preserve"> </w:t>
      </w:r>
      <w:r>
        <w:t>constant blijft</w:t>
      </w:r>
      <w:r w:rsidRPr="006C29AA">
        <w:t xml:space="preserve">. </w:t>
      </w:r>
      <w:r>
        <w:t xml:space="preserve">Verder is </w:t>
      </w:r>
      <w:r w:rsidRPr="006C29AA">
        <w:t xml:space="preserve">verondersteld dat men na </w:t>
      </w:r>
      <w:r>
        <w:t>modernisering</w:t>
      </w:r>
      <w:r w:rsidRPr="006C29AA">
        <w:t xml:space="preserve"> de </w:t>
      </w:r>
      <w:r>
        <w:t>overeengekomen</w:t>
      </w:r>
      <w:r w:rsidRPr="006C29AA">
        <w:t xml:space="preserve"> rente verlaagt naar de nieuwe rekenrente om een bovenmatige rente </w:t>
      </w:r>
      <w:r w:rsidRPr="00DE2DDD">
        <w:t>te voorkomen</w:t>
      </w:r>
      <w:r w:rsidRPr="00DE2DDD">
        <w:rPr>
          <w:rStyle w:val="Voetnootmarkering"/>
        </w:rPr>
        <w:footnoteReference w:id="10"/>
      </w:r>
      <w:r w:rsidRPr="00DE2DDD">
        <w:t>.</w:t>
      </w:r>
      <w:r w:rsidRPr="006C29AA">
        <w:t xml:space="preserve"> </w:t>
      </w:r>
      <w:r>
        <w:t xml:space="preserve"> </w:t>
      </w:r>
    </w:p>
    <w:p w:rsidR="00D7204D" w:rsidP="00D7204D" w:rsidRDefault="00D7204D" w14:paraId="7BDF042E" w14:textId="77777777">
      <w:pPr>
        <w:contextualSpacing/>
        <w:jc w:val="both"/>
      </w:pPr>
    </w:p>
    <w:p w:rsidRPr="00EB4832" w:rsidR="00D7204D" w:rsidP="00D7204D" w:rsidRDefault="00D7204D" w14:paraId="35B052EC" w14:textId="77777777">
      <w:pPr>
        <w:contextualSpacing/>
        <w:jc w:val="both"/>
      </w:pPr>
      <w:r>
        <w:t xml:space="preserve">Tabel </w:t>
      </w:r>
      <w:r w:rsidR="0078689A">
        <w:t>7</w:t>
      </w:r>
      <w:r>
        <w:tab/>
        <w:t xml:space="preserve"> Verdeling renteloze en rentedragende </w:t>
      </w:r>
      <w:proofErr w:type="spellStart"/>
      <w:r>
        <w:t>onderbedelingsvorderingen</w:t>
      </w:r>
      <w:proofErr w:type="spellEnd"/>
      <w:r>
        <w:t xml:space="preserve"> 2021</w:t>
      </w:r>
    </w:p>
    <w:tbl>
      <w:tblPr>
        <w:tblStyle w:val="Rastertabel4-Accent1"/>
        <w:tblW w:w="7426" w:type="dxa"/>
        <w:tblLook w:val="04A0" w:firstRow="1" w:lastRow="0" w:firstColumn="1" w:lastColumn="0" w:noHBand="0" w:noVBand="1"/>
      </w:tblPr>
      <w:tblGrid>
        <w:gridCol w:w="3161"/>
        <w:gridCol w:w="2045"/>
        <w:gridCol w:w="2220"/>
      </w:tblGrid>
      <w:tr w:rsidRPr="00EB4832" w:rsidR="00D7204D" w:rsidTr="0038771B" w14:paraId="5C5C0E6B" w14:textId="77777777">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161" w:type="dxa"/>
            <w:hideMark/>
          </w:tcPr>
          <w:p w:rsidRPr="00E07B63" w:rsidR="00D7204D" w:rsidP="0038771B" w:rsidRDefault="00D7204D" w14:paraId="4869E51A" w14:textId="77777777">
            <w:pPr>
              <w:spacing w:after="160" w:line="259" w:lineRule="auto"/>
              <w:contextualSpacing/>
              <w:jc w:val="both"/>
              <w:rPr>
                <w:color w:val="FFFFFF" w:themeColor="background1"/>
                <w:sz w:val="16"/>
                <w:szCs w:val="16"/>
              </w:rPr>
            </w:pPr>
            <w:r w:rsidRPr="00E07B63">
              <w:rPr>
                <w:color w:val="FFFFFF" w:themeColor="background1"/>
                <w:sz w:val="16"/>
                <w:szCs w:val="16"/>
              </w:rPr>
              <w:t>Saldo nalatenschap bij eerste overlijden</w:t>
            </w:r>
          </w:p>
        </w:tc>
        <w:tc>
          <w:tcPr>
            <w:tcW w:w="2045" w:type="dxa"/>
            <w:hideMark/>
          </w:tcPr>
          <w:p w:rsidRPr="00E07B63" w:rsidR="00D7204D" w:rsidP="0038771B" w:rsidRDefault="00D7204D" w14:paraId="2186E738" w14:textId="77777777">
            <w:pPr>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07B63">
              <w:rPr>
                <w:color w:val="FFFFFF" w:themeColor="background1"/>
                <w:sz w:val="16"/>
                <w:szCs w:val="16"/>
              </w:rPr>
              <w:t>Renteloze vordering</w:t>
            </w:r>
          </w:p>
        </w:tc>
        <w:tc>
          <w:tcPr>
            <w:tcW w:w="2220" w:type="dxa"/>
            <w:hideMark/>
          </w:tcPr>
          <w:p w:rsidRPr="00E07B63" w:rsidR="00D7204D" w:rsidP="0038771B" w:rsidRDefault="00D7204D" w14:paraId="4F6121D7" w14:textId="77777777">
            <w:pPr>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E07B63">
              <w:rPr>
                <w:color w:val="FFFFFF" w:themeColor="background1"/>
                <w:sz w:val="16"/>
                <w:szCs w:val="16"/>
              </w:rPr>
              <w:t>Rentedragende vordering</w:t>
            </w:r>
          </w:p>
        </w:tc>
      </w:tr>
      <w:tr w:rsidRPr="00EB4832" w:rsidR="00D7204D" w:rsidTr="0038771B" w14:paraId="6A59FCAF"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E07B63" w:rsidR="00D7204D" w:rsidP="0038771B" w:rsidRDefault="00D7204D" w14:paraId="52A20C7E" w14:textId="77777777">
            <w:pPr>
              <w:spacing w:after="160" w:line="259" w:lineRule="auto"/>
              <w:contextualSpacing/>
              <w:jc w:val="both"/>
              <w:rPr>
                <w:b w:val="0"/>
                <w:bCs w:val="0"/>
                <w:sz w:val="16"/>
                <w:szCs w:val="16"/>
              </w:rPr>
            </w:pPr>
            <w:r w:rsidRPr="00E07B63">
              <w:rPr>
                <w:b w:val="0"/>
                <w:bCs w:val="0"/>
                <w:sz w:val="16"/>
                <w:szCs w:val="16"/>
              </w:rPr>
              <w:t>€0 – €100.000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2DC60DA6"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68%</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220664E9"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32%</w:t>
            </w:r>
          </w:p>
        </w:tc>
      </w:tr>
      <w:tr w:rsidRPr="00EB4832" w:rsidR="00D7204D" w:rsidTr="0038771B" w14:paraId="0624120A" w14:textId="77777777">
        <w:trPr>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E07B63" w:rsidR="00D7204D" w:rsidP="0038771B" w:rsidRDefault="00D7204D" w14:paraId="193FAEB4" w14:textId="77777777">
            <w:pPr>
              <w:spacing w:after="160" w:line="259" w:lineRule="auto"/>
              <w:contextualSpacing/>
              <w:jc w:val="both"/>
              <w:rPr>
                <w:b w:val="0"/>
                <w:bCs w:val="0"/>
                <w:sz w:val="16"/>
                <w:szCs w:val="16"/>
              </w:rPr>
            </w:pPr>
            <w:r w:rsidRPr="00E07B63">
              <w:rPr>
                <w:b w:val="0"/>
                <w:bCs w:val="0"/>
                <w:sz w:val="16"/>
                <w:szCs w:val="16"/>
              </w:rPr>
              <w:t>€100.000 - € 500.000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3B1DDCCC" w14:textId="77777777">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62%</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03AC5ACD" w14:textId="77777777">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38%</w:t>
            </w:r>
          </w:p>
        </w:tc>
      </w:tr>
      <w:tr w:rsidRPr="00EB4832" w:rsidR="00D7204D" w:rsidTr="0038771B" w14:paraId="0DD7C37E"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E07B63" w:rsidR="00D7204D" w:rsidP="0038771B" w:rsidRDefault="00D7204D" w14:paraId="30D4B983" w14:textId="77777777">
            <w:pPr>
              <w:spacing w:after="160" w:line="259" w:lineRule="auto"/>
              <w:contextualSpacing/>
              <w:jc w:val="both"/>
              <w:rPr>
                <w:b w:val="0"/>
                <w:bCs w:val="0"/>
                <w:sz w:val="16"/>
                <w:szCs w:val="16"/>
              </w:rPr>
            </w:pPr>
            <w:r w:rsidRPr="00E07B63">
              <w:rPr>
                <w:b w:val="0"/>
                <w:bCs w:val="0"/>
                <w:sz w:val="16"/>
                <w:szCs w:val="16"/>
              </w:rPr>
              <w:t>€500.000 - € 1.000.000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6BDDB30D"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47%</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332AD91C"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53%</w:t>
            </w:r>
          </w:p>
        </w:tc>
      </w:tr>
      <w:tr w:rsidRPr="00EB4832" w:rsidR="00D7204D" w:rsidTr="00E07B63" w14:paraId="7F6FBFC2" w14:textId="77777777">
        <w:trPr>
          <w:trHeight w:val="201"/>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E07B63" w:rsidR="00D7204D" w:rsidP="0038771B" w:rsidRDefault="00D7204D" w14:paraId="297374B8" w14:textId="77777777">
            <w:pPr>
              <w:spacing w:after="160" w:line="259" w:lineRule="auto"/>
              <w:contextualSpacing/>
              <w:jc w:val="both"/>
              <w:rPr>
                <w:b w:val="0"/>
                <w:bCs w:val="0"/>
                <w:sz w:val="16"/>
                <w:szCs w:val="16"/>
              </w:rPr>
            </w:pPr>
            <w:r w:rsidRPr="00E07B63">
              <w:rPr>
                <w:b w:val="0"/>
                <w:bCs w:val="0"/>
                <w:sz w:val="16"/>
                <w:szCs w:val="16"/>
              </w:rPr>
              <w:t>€1.000.000 -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4D51764F" w14:textId="77777777">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39%</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493488C5" w14:textId="77777777">
            <w:pPr>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sz w:val="16"/>
                <w:szCs w:val="16"/>
              </w:rPr>
            </w:pPr>
            <w:r w:rsidRPr="00E07B63">
              <w:rPr>
                <w:sz w:val="16"/>
                <w:szCs w:val="16"/>
              </w:rPr>
              <w:t>61%</w:t>
            </w:r>
          </w:p>
        </w:tc>
      </w:tr>
      <w:tr w:rsidRPr="00EB4832" w:rsidR="00D7204D" w:rsidTr="0038771B" w14:paraId="60BE02D6"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E07B63" w:rsidR="00D7204D" w:rsidP="0038771B" w:rsidRDefault="00D7204D" w14:paraId="7D1C7FA4" w14:textId="77777777">
            <w:pPr>
              <w:spacing w:after="160" w:line="259" w:lineRule="auto"/>
              <w:contextualSpacing/>
              <w:jc w:val="both"/>
              <w:rPr>
                <w:b w:val="0"/>
                <w:bCs w:val="0"/>
                <w:sz w:val="16"/>
                <w:szCs w:val="16"/>
              </w:rPr>
            </w:pPr>
            <w:r w:rsidRPr="00E07B63">
              <w:rPr>
                <w:b w:val="0"/>
                <w:bCs w:val="0"/>
                <w:sz w:val="16"/>
                <w:szCs w:val="16"/>
              </w:rPr>
              <w:t>&gt;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4959B4AF"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14%</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E07B63" w:rsidR="00D7204D" w:rsidP="0038771B" w:rsidRDefault="00D7204D" w14:paraId="11756C07" w14:textId="77777777">
            <w:pPr>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sz w:val="16"/>
                <w:szCs w:val="16"/>
              </w:rPr>
            </w:pPr>
            <w:r w:rsidRPr="00E07B63">
              <w:rPr>
                <w:sz w:val="16"/>
                <w:szCs w:val="16"/>
              </w:rPr>
              <w:t>86%</w:t>
            </w:r>
          </w:p>
        </w:tc>
      </w:tr>
    </w:tbl>
    <w:p w:rsidR="00D7204D" w:rsidP="00D7204D" w:rsidRDefault="00D7204D" w14:paraId="747FB1B7" w14:textId="77777777">
      <w:pPr>
        <w:contextualSpacing/>
        <w:jc w:val="both"/>
      </w:pPr>
    </w:p>
    <w:p w:rsidRPr="009F6A55" w:rsidR="00D7204D" w:rsidP="00D7204D" w:rsidRDefault="00D7204D" w14:paraId="61D1C1D9" w14:textId="77777777">
      <w:pPr>
        <w:contextualSpacing/>
        <w:jc w:val="both"/>
      </w:pPr>
      <w:r w:rsidRPr="00567779">
        <w:t xml:space="preserve">Door </w:t>
      </w:r>
      <w:r>
        <w:t xml:space="preserve">de </w:t>
      </w:r>
      <w:r w:rsidRPr="00567779">
        <w:t xml:space="preserve">modernisering van de </w:t>
      </w:r>
      <w:r>
        <w:t xml:space="preserve">forfaits </w:t>
      </w:r>
      <w:r w:rsidRPr="00567779">
        <w:t xml:space="preserve">wordt er </w:t>
      </w:r>
      <w:r>
        <w:t xml:space="preserve">bij rentedragende vorderingen </w:t>
      </w:r>
      <w:r w:rsidRPr="00567779">
        <w:t xml:space="preserve">minder rente bijgeschreven op de vordering van de kinderen op de langstlevende ouder en wordt de nalatenschap van de langstlevende partner minder sterk verkleind. Er wordt door de langstlevende dus </w:t>
      </w:r>
      <w:r>
        <w:t xml:space="preserve">voor de erfbelasting </w:t>
      </w:r>
      <w:r w:rsidRPr="00567779">
        <w:t xml:space="preserve">meer nagelaten aan </w:t>
      </w:r>
      <w:r w:rsidRPr="00B75131">
        <w:lastRenderedPageBreak/>
        <w:t xml:space="preserve">de kinderen. Bij circa 25% van de kinderen neemt desondanks de erfbelasting over hun verkrijging uit de nalatenschap van de langstlevende partner niet toe, </w:t>
      </w:r>
      <w:proofErr w:type="gramStart"/>
      <w:r w:rsidRPr="00B75131">
        <w:t>omdat  de</w:t>
      </w:r>
      <w:proofErr w:type="gramEnd"/>
      <w:r w:rsidRPr="00B75131">
        <w:t xml:space="preserve"> nalatenschap  onder  de vrijstellingsgrens blijft, net als bij de huidige forfaits. In </w:t>
      </w:r>
      <w:proofErr w:type="gramStart"/>
      <w:r w:rsidRPr="00B75131">
        <w:t>circa</w:t>
      </w:r>
      <w:proofErr w:type="gramEnd"/>
      <w:r w:rsidRPr="00B75131">
        <w:t xml:space="preserve"> 75% van de gevallen neemt de erfbelasting wel toe. Voor het gros binnen deze groep (</w:t>
      </w:r>
      <w:proofErr w:type="gramStart"/>
      <w:r w:rsidRPr="00B75131">
        <w:t>circa</w:t>
      </w:r>
      <w:proofErr w:type="gramEnd"/>
      <w:r w:rsidRPr="00B75131">
        <w:t xml:space="preserve"> 80%) neemt de belastingdruk met ten hoogste 2,5%-punt toe.</w:t>
      </w:r>
      <w:r w:rsidRPr="00567779">
        <w:t xml:space="preserve"> </w:t>
      </w:r>
      <w:r>
        <w:t xml:space="preserve">Tabel </w:t>
      </w:r>
      <w:r w:rsidR="0078689A">
        <w:t>8</w:t>
      </w:r>
      <w:r>
        <w:t xml:space="preserve"> laat de verwachte mediane mutatie van de belastingdruk voor de ervende kinderen zien bij het tweede overlijden. </w:t>
      </w:r>
      <w:r w:rsidRPr="00567779">
        <w:t xml:space="preserve">Tabel </w:t>
      </w:r>
      <w:r w:rsidR="0078689A">
        <w:t>9</w:t>
      </w:r>
      <w:r w:rsidRPr="00567779">
        <w:t xml:space="preserve"> toont de mediane belastingdruk na modernisering.</w:t>
      </w:r>
    </w:p>
    <w:p w:rsidR="00D7204D" w:rsidP="00D7204D" w:rsidRDefault="00D7204D" w14:paraId="47069226" w14:textId="77777777">
      <w:pPr>
        <w:contextualSpacing/>
      </w:pPr>
    </w:p>
    <w:p w:rsidR="00D7204D" w:rsidP="00D7204D" w:rsidRDefault="00D7204D" w14:paraId="6221A05B" w14:textId="77777777">
      <w:pPr>
        <w:contextualSpacing/>
        <w:jc w:val="both"/>
      </w:pPr>
      <w:r w:rsidRPr="007F1A73">
        <w:t xml:space="preserve">Tabel </w:t>
      </w:r>
      <w:r w:rsidR="0078689A">
        <w:t>8</w:t>
      </w:r>
      <w:r w:rsidRPr="007F1A73">
        <w:tab/>
        <w:t xml:space="preserve"> Mediane stijging belastingdruk</w:t>
      </w:r>
      <w:r w:rsidR="00F373E2">
        <w:rPr>
          <w:rStyle w:val="Voetnootmarkering"/>
        </w:rPr>
        <w:footnoteReference w:id="11"/>
      </w:r>
      <w:r w:rsidRPr="007F1A73">
        <w:t xml:space="preserve"> erfbelasting </w:t>
      </w:r>
      <w:r>
        <w:t>per kind</w:t>
      </w:r>
      <w:r w:rsidRPr="007F1A73">
        <w:t xml:space="preserve"> </w:t>
      </w:r>
      <w:r>
        <w:t xml:space="preserve">door modernisering forfaits </w:t>
      </w:r>
      <w:r w:rsidRPr="007F1A73">
        <w:t xml:space="preserve">bij het tweede overlijden, rentedragende </w:t>
      </w:r>
      <w:proofErr w:type="spellStart"/>
      <w:r w:rsidRPr="007F1A73">
        <w:t>onderbedelingsvorderingen</w:t>
      </w:r>
      <w:proofErr w:type="spellEnd"/>
      <w:r>
        <w:t xml:space="preserve"> (</w:t>
      </w:r>
      <w:r w:rsidRPr="007F1A73">
        <w:t>in procentpunten</w:t>
      </w:r>
      <w:r>
        <w:t>)</w:t>
      </w:r>
    </w:p>
    <w:tbl>
      <w:tblPr>
        <w:tblStyle w:val="Rastertabel4-Accent1"/>
        <w:tblpPr w:leftFromText="141" w:rightFromText="141" w:vertAnchor="text" w:horzAnchor="margin" w:tblpY="116"/>
        <w:tblW w:w="9033" w:type="dxa"/>
        <w:tblLook w:val="04A0" w:firstRow="1" w:lastRow="0" w:firstColumn="1" w:lastColumn="0" w:noHBand="0" w:noVBand="1"/>
      </w:tblPr>
      <w:tblGrid>
        <w:gridCol w:w="1281"/>
        <w:gridCol w:w="1266"/>
        <w:gridCol w:w="1086"/>
        <w:gridCol w:w="1331"/>
        <w:gridCol w:w="18"/>
        <w:gridCol w:w="1316"/>
        <w:gridCol w:w="34"/>
        <w:gridCol w:w="1306"/>
        <w:gridCol w:w="44"/>
        <w:gridCol w:w="1310"/>
        <w:gridCol w:w="41"/>
      </w:tblGrid>
      <w:tr w:rsidRPr="00B00EB7" w:rsidR="00D7204D" w:rsidTr="000775BD" w14:paraId="7123D6E3"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47" w:type="dxa"/>
            <w:gridSpan w:val="2"/>
          </w:tcPr>
          <w:p w:rsidRPr="000775BD" w:rsidR="00D7204D" w:rsidP="0038771B" w:rsidRDefault="00D7204D" w14:paraId="3F11BA1F" w14:textId="77777777">
            <w:pPr>
              <w:spacing w:line="276" w:lineRule="auto"/>
              <w:contextualSpacing/>
              <w:rPr>
                <w:rFonts w:cstheme="minorHAnsi"/>
                <w:b w:val="0"/>
                <w:bCs w:val="0"/>
                <w:i/>
                <w:iCs/>
                <w:color w:val="FFFFFF" w:themeColor="background1"/>
                <w:sz w:val="16"/>
                <w:szCs w:val="16"/>
              </w:rPr>
            </w:pPr>
            <w:r w:rsidRPr="000775BD">
              <w:rPr>
                <w:rFonts w:cstheme="minorHAnsi"/>
                <w:b w:val="0"/>
                <w:bCs w:val="0"/>
                <w:color w:val="FFFFFF" w:themeColor="background1"/>
                <w:sz w:val="16"/>
                <w:szCs w:val="16"/>
              </w:rPr>
              <w:t xml:space="preserve">Nagelaten vermogen per </w:t>
            </w:r>
            <w:proofErr w:type="gramStart"/>
            <w:r w:rsidRPr="000775BD">
              <w:rPr>
                <w:rFonts w:cstheme="minorHAnsi"/>
                <w:b w:val="0"/>
                <w:bCs w:val="0"/>
                <w:color w:val="FFFFFF" w:themeColor="background1"/>
                <w:sz w:val="16"/>
                <w:szCs w:val="16"/>
              </w:rPr>
              <w:t>erfgenaam  eerste</w:t>
            </w:r>
            <w:proofErr w:type="gramEnd"/>
            <w:r w:rsidRPr="000775BD">
              <w:rPr>
                <w:rFonts w:cstheme="minorHAnsi"/>
                <w:b w:val="0"/>
                <w:bCs w:val="0"/>
                <w:color w:val="FFFFFF" w:themeColor="background1"/>
                <w:sz w:val="16"/>
                <w:szCs w:val="16"/>
              </w:rPr>
              <w:t xml:space="preserve"> overlijden</w:t>
            </w:r>
          </w:p>
        </w:tc>
        <w:tc>
          <w:tcPr>
            <w:tcW w:w="1086" w:type="dxa"/>
          </w:tcPr>
          <w:p w:rsidRPr="000775BD" w:rsidR="00D7204D" w:rsidP="0038771B" w:rsidRDefault="00D7204D" w14:paraId="261E02C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€ 0 – € 25.000</w:t>
            </w:r>
          </w:p>
        </w:tc>
        <w:tc>
          <w:tcPr>
            <w:tcW w:w="1349" w:type="dxa"/>
            <w:gridSpan w:val="2"/>
          </w:tcPr>
          <w:p w:rsidRPr="000775BD" w:rsidR="00D7204D" w:rsidP="0038771B" w:rsidRDefault="00D7204D" w14:paraId="685DDCD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€ 25.000 - € 75.000</w:t>
            </w:r>
          </w:p>
        </w:tc>
        <w:tc>
          <w:tcPr>
            <w:tcW w:w="1350" w:type="dxa"/>
            <w:gridSpan w:val="2"/>
          </w:tcPr>
          <w:p w:rsidRPr="000775BD" w:rsidR="00D7204D" w:rsidP="0038771B" w:rsidRDefault="00D7204D" w14:paraId="73ED2B2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€ 75.000 - € 100.000</w:t>
            </w:r>
          </w:p>
        </w:tc>
        <w:tc>
          <w:tcPr>
            <w:tcW w:w="1350" w:type="dxa"/>
            <w:gridSpan w:val="2"/>
          </w:tcPr>
          <w:p w:rsidRPr="000775BD" w:rsidR="00D7204D" w:rsidP="0038771B" w:rsidRDefault="00D7204D" w14:paraId="6C9E0A61"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€ 100.000 - € 250.000</w:t>
            </w:r>
          </w:p>
        </w:tc>
        <w:tc>
          <w:tcPr>
            <w:tcW w:w="1351" w:type="dxa"/>
            <w:gridSpan w:val="2"/>
          </w:tcPr>
          <w:p w:rsidRPr="000775BD" w:rsidR="00D7204D" w:rsidP="0038771B" w:rsidRDefault="00D7204D" w14:paraId="06010B8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0775BD">
              <w:rPr>
                <w:rFonts w:cstheme="minorHAnsi"/>
                <w:color w:val="FFFFFF" w:themeColor="background1"/>
                <w:sz w:val="16"/>
                <w:szCs w:val="16"/>
              </w:rPr>
              <w:t>€ &gt; 250.000</w:t>
            </w:r>
          </w:p>
        </w:tc>
      </w:tr>
      <w:tr w:rsidRPr="00D24CC5" w:rsidR="00D24CC5" w:rsidTr="000775BD" w14:paraId="56B14620"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83"/>
        </w:trPr>
        <w:tc>
          <w:tcPr>
            <w:cnfStyle w:val="001000000000" w:firstRow="0" w:lastRow="0" w:firstColumn="1" w:lastColumn="0" w:oddVBand="0" w:evenVBand="0" w:oddHBand="0" w:evenHBand="0" w:firstRowFirstColumn="0" w:firstRowLastColumn="0" w:lastRowFirstColumn="0" w:lastRowLastColumn="0"/>
            <w:tcW w:w="1281" w:type="dxa"/>
            <w:vMerge w:val="restart"/>
            <w:textDirection w:val="btLr"/>
          </w:tcPr>
          <w:p w:rsidRPr="00D24CC5" w:rsidR="00D24CC5" w:rsidP="00D24CC5" w:rsidRDefault="00D24CC5" w14:paraId="06F7C00C" w14:textId="77777777">
            <w:pPr>
              <w:ind w:left="113" w:right="113"/>
              <w:jc w:val="center"/>
              <w:rPr>
                <w:rFonts w:cstheme="minorHAnsi"/>
                <w:b w:val="0"/>
                <w:bCs w:val="0"/>
                <w:color w:val="000000" w:themeColor="text1"/>
                <w:sz w:val="16"/>
                <w:szCs w:val="16"/>
              </w:rPr>
            </w:pPr>
            <w:r w:rsidRPr="00D24CC5">
              <w:rPr>
                <w:rFonts w:cstheme="minorHAnsi"/>
                <w:b w:val="0"/>
                <w:bCs w:val="0"/>
                <w:color w:val="000000" w:themeColor="text1"/>
                <w:sz w:val="16"/>
                <w:szCs w:val="16"/>
              </w:rPr>
              <w:t>Leeftijd langstlevende partner bij eerste overlijden</w:t>
            </w:r>
          </w:p>
        </w:tc>
        <w:tc>
          <w:tcPr>
            <w:tcW w:w="1266" w:type="dxa"/>
          </w:tcPr>
          <w:p w:rsidRPr="00D24CC5" w:rsidR="00D24CC5" w:rsidP="00D24CC5" w:rsidRDefault="00D24CC5" w14:paraId="698F505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50 jaar of jonger</w:t>
            </w:r>
          </w:p>
        </w:tc>
        <w:tc>
          <w:tcPr>
            <w:tcW w:w="1086" w:type="dxa"/>
            <w:vAlign w:val="bottom"/>
          </w:tcPr>
          <w:p w:rsidRPr="00D24CC5" w:rsidR="00D24CC5" w:rsidP="00D24CC5" w:rsidRDefault="00D24CC5" w14:paraId="3A0929F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0C9BA9D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4ACF976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40" w:type="dxa"/>
            <w:gridSpan w:val="2"/>
            <w:vAlign w:val="bottom"/>
          </w:tcPr>
          <w:p w:rsidRPr="00D24CC5" w:rsidR="00D24CC5" w:rsidP="00D24CC5" w:rsidRDefault="00D24CC5" w14:paraId="18EF9B9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54" w:type="dxa"/>
            <w:gridSpan w:val="2"/>
            <w:vAlign w:val="bottom"/>
          </w:tcPr>
          <w:p w:rsidRPr="00D24CC5" w:rsidR="00D24CC5" w:rsidP="00D24CC5" w:rsidRDefault="00D24CC5" w14:paraId="3B30B58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r>
      <w:tr w:rsidRPr="00D24CC5" w:rsidR="00D24CC5" w:rsidTr="000775BD" w14:paraId="70E2A4B4"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69DC0F0B" w14:textId="77777777">
            <w:pPr>
              <w:jc w:val="center"/>
              <w:rPr>
                <w:rFonts w:cstheme="minorHAnsi"/>
                <w:color w:val="000000" w:themeColor="text1"/>
                <w:sz w:val="16"/>
                <w:szCs w:val="16"/>
              </w:rPr>
            </w:pPr>
          </w:p>
        </w:tc>
        <w:tc>
          <w:tcPr>
            <w:tcW w:w="1266" w:type="dxa"/>
          </w:tcPr>
          <w:p w:rsidRPr="00D24CC5" w:rsidR="00D24CC5" w:rsidP="00D24CC5" w:rsidRDefault="00D24CC5" w14:paraId="3A39F58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51 t/m 60</w:t>
            </w:r>
          </w:p>
        </w:tc>
        <w:tc>
          <w:tcPr>
            <w:tcW w:w="1086" w:type="dxa"/>
            <w:vAlign w:val="bottom"/>
          </w:tcPr>
          <w:p w:rsidRPr="00D24CC5" w:rsidR="00D24CC5" w:rsidP="00D24CC5" w:rsidRDefault="00D24CC5" w14:paraId="5C8D48C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332D18F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6423711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40" w:type="dxa"/>
            <w:gridSpan w:val="2"/>
            <w:vAlign w:val="bottom"/>
          </w:tcPr>
          <w:p w:rsidRPr="00D24CC5" w:rsidR="00D24CC5" w:rsidP="00D24CC5" w:rsidRDefault="00D24CC5" w14:paraId="3EB5F2B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54" w:type="dxa"/>
            <w:gridSpan w:val="2"/>
            <w:vAlign w:val="bottom"/>
          </w:tcPr>
          <w:p w:rsidRPr="00D24CC5" w:rsidR="00D24CC5" w:rsidP="00D24CC5" w:rsidRDefault="00D24CC5" w14:paraId="652C55C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r>
      <w:tr w:rsidRPr="00D24CC5" w:rsidR="00D24CC5" w:rsidTr="000775BD" w14:paraId="6564B5F1"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41D57431" w14:textId="77777777">
            <w:pPr>
              <w:jc w:val="center"/>
              <w:rPr>
                <w:rFonts w:cstheme="minorHAnsi"/>
                <w:color w:val="000000" w:themeColor="text1"/>
                <w:sz w:val="16"/>
                <w:szCs w:val="16"/>
              </w:rPr>
            </w:pPr>
          </w:p>
        </w:tc>
        <w:tc>
          <w:tcPr>
            <w:tcW w:w="1266" w:type="dxa"/>
          </w:tcPr>
          <w:p w:rsidRPr="00D24CC5" w:rsidR="00D24CC5" w:rsidP="00D24CC5" w:rsidRDefault="00D24CC5" w14:paraId="34D75DBC"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61 t/m 70</w:t>
            </w:r>
          </w:p>
        </w:tc>
        <w:tc>
          <w:tcPr>
            <w:tcW w:w="1086" w:type="dxa"/>
            <w:vAlign w:val="bottom"/>
          </w:tcPr>
          <w:p w:rsidRPr="00D24CC5" w:rsidR="00D24CC5" w:rsidP="00D24CC5" w:rsidRDefault="00D24CC5" w14:paraId="4533B84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6C318AD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0,5%</w:t>
            </w:r>
          </w:p>
        </w:tc>
        <w:tc>
          <w:tcPr>
            <w:tcW w:w="1334" w:type="dxa"/>
            <w:gridSpan w:val="2"/>
            <w:vAlign w:val="bottom"/>
          </w:tcPr>
          <w:p w:rsidRPr="00D24CC5" w:rsidR="00D24CC5" w:rsidP="00D24CC5" w:rsidRDefault="00D24CC5" w14:paraId="43A7DDB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1,6%</w:t>
            </w:r>
          </w:p>
        </w:tc>
        <w:tc>
          <w:tcPr>
            <w:tcW w:w="1340" w:type="dxa"/>
            <w:gridSpan w:val="2"/>
            <w:vAlign w:val="bottom"/>
          </w:tcPr>
          <w:p w:rsidRPr="00D24CC5" w:rsidR="00D24CC5" w:rsidP="00D24CC5" w:rsidRDefault="00D24CC5" w14:paraId="19F1117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1,9%</w:t>
            </w:r>
          </w:p>
        </w:tc>
        <w:tc>
          <w:tcPr>
            <w:tcW w:w="1354" w:type="dxa"/>
            <w:gridSpan w:val="2"/>
            <w:vAlign w:val="bottom"/>
          </w:tcPr>
          <w:p w:rsidRPr="00D24CC5" w:rsidR="00D24CC5" w:rsidP="00D24CC5" w:rsidRDefault="00D24CC5" w14:paraId="5036E7B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0,4%</w:t>
            </w:r>
          </w:p>
        </w:tc>
      </w:tr>
      <w:tr w:rsidRPr="00D24CC5" w:rsidR="00D24CC5" w:rsidTr="000775BD" w14:paraId="4179CF4D"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63A4C38D" w14:textId="77777777">
            <w:pPr>
              <w:jc w:val="center"/>
              <w:rPr>
                <w:rFonts w:cstheme="minorHAnsi"/>
                <w:color w:val="000000" w:themeColor="text1"/>
                <w:sz w:val="16"/>
                <w:szCs w:val="16"/>
              </w:rPr>
            </w:pPr>
          </w:p>
        </w:tc>
        <w:tc>
          <w:tcPr>
            <w:tcW w:w="1266" w:type="dxa"/>
          </w:tcPr>
          <w:p w:rsidRPr="00D24CC5" w:rsidR="00D24CC5" w:rsidP="00D24CC5" w:rsidRDefault="00D24CC5" w14:paraId="42EEF2BB"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71 t/m 75</w:t>
            </w:r>
          </w:p>
        </w:tc>
        <w:tc>
          <w:tcPr>
            <w:tcW w:w="1086" w:type="dxa"/>
            <w:vAlign w:val="bottom"/>
          </w:tcPr>
          <w:p w:rsidRPr="00D24CC5" w:rsidR="00D24CC5" w:rsidP="00D24CC5" w:rsidRDefault="00D24CC5" w14:paraId="63E2C91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0E49A3C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1,3%</w:t>
            </w:r>
          </w:p>
        </w:tc>
        <w:tc>
          <w:tcPr>
            <w:tcW w:w="1334" w:type="dxa"/>
            <w:gridSpan w:val="2"/>
            <w:vAlign w:val="bottom"/>
          </w:tcPr>
          <w:p w:rsidRPr="00D24CC5" w:rsidR="00D24CC5" w:rsidP="00D24CC5" w:rsidRDefault="00D24CC5" w14:paraId="3A1C6E52"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2,5%</w:t>
            </w:r>
          </w:p>
        </w:tc>
        <w:tc>
          <w:tcPr>
            <w:tcW w:w="1340" w:type="dxa"/>
            <w:gridSpan w:val="2"/>
            <w:vAlign w:val="bottom"/>
          </w:tcPr>
          <w:p w:rsidRPr="00D24CC5" w:rsidR="00D24CC5" w:rsidP="00D24CC5" w:rsidRDefault="00D24CC5" w14:paraId="6FC10AA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2,5%</w:t>
            </w:r>
          </w:p>
        </w:tc>
        <w:tc>
          <w:tcPr>
            <w:tcW w:w="1354" w:type="dxa"/>
            <w:gridSpan w:val="2"/>
            <w:vAlign w:val="bottom"/>
          </w:tcPr>
          <w:p w:rsidRPr="00D24CC5" w:rsidR="00D24CC5" w:rsidP="00D24CC5" w:rsidRDefault="00D24CC5" w14:paraId="5BC2210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2,2%</w:t>
            </w:r>
          </w:p>
        </w:tc>
      </w:tr>
      <w:tr w:rsidRPr="00D24CC5" w:rsidR="00D24CC5" w:rsidTr="000775BD" w14:paraId="140B9030"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79129AEE" w14:textId="77777777">
            <w:pPr>
              <w:jc w:val="center"/>
              <w:rPr>
                <w:rFonts w:cstheme="minorHAnsi"/>
                <w:color w:val="000000" w:themeColor="text1"/>
                <w:sz w:val="16"/>
                <w:szCs w:val="16"/>
              </w:rPr>
            </w:pPr>
          </w:p>
        </w:tc>
        <w:tc>
          <w:tcPr>
            <w:tcW w:w="1266" w:type="dxa"/>
          </w:tcPr>
          <w:p w:rsidRPr="00D24CC5" w:rsidR="00D24CC5" w:rsidP="00D24CC5" w:rsidRDefault="00D24CC5" w14:paraId="59CE941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76 t/m 80</w:t>
            </w:r>
          </w:p>
        </w:tc>
        <w:tc>
          <w:tcPr>
            <w:tcW w:w="1086" w:type="dxa"/>
            <w:vAlign w:val="bottom"/>
          </w:tcPr>
          <w:p w:rsidRPr="00D24CC5" w:rsidR="00D24CC5" w:rsidP="00D24CC5" w:rsidRDefault="00D24CC5" w14:paraId="6515463F"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7C34C8AF"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1,5%</w:t>
            </w:r>
          </w:p>
        </w:tc>
        <w:tc>
          <w:tcPr>
            <w:tcW w:w="1334" w:type="dxa"/>
            <w:gridSpan w:val="2"/>
            <w:vAlign w:val="bottom"/>
          </w:tcPr>
          <w:p w:rsidRPr="00D24CC5" w:rsidR="00D24CC5" w:rsidP="00D24CC5" w:rsidRDefault="00D24CC5" w14:paraId="1003CDB3"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1,7%</w:t>
            </w:r>
          </w:p>
        </w:tc>
        <w:tc>
          <w:tcPr>
            <w:tcW w:w="1340" w:type="dxa"/>
            <w:gridSpan w:val="2"/>
            <w:vAlign w:val="bottom"/>
          </w:tcPr>
          <w:p w:rsidRPr="00D24CC5" w:rsidR="00D24CC5" w:rsidP="00D24CC5" w:rsidRDefault="00D24CC5" w14:paraId="7CF703B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2,2%</w:t>
            </w:r>
          </w:p>
        </w:tc>
        <w:tc>
          <w:tcPr>
            <w:tcW w:w="1354" w:type="dxa"/>
            <w:gridSpan w:val="2"/>
            <w:vAlign w:val="bottom"/>
          </w:tcPr>
          <w:p w:rsidRPr="00D24CC5" w:rsidR="00D24CC5" w:rsidP="00D24CC5" w:rsidRDefault="00D24CC5" w14:paraId="2B55C24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2,8%</w:t>
            </w:r>
          </w:p>
        </w:tc>
      </w:tr>
      <w:tr w:rsidRPr="00D24CC5" w:rsidR="00D24CC5" w:rsidTr="000775BD" w14:paraId="4206CDB0"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1AA74C38" w14:textId="77777777">
            <w:pPr>
              <w:jc w:val="center"/>
              <w:rPr>
                <w:rFonts w:cstheme="minorHAnsi"/>
                <w:color w:val="000000" w:themeColor="text1"/>
                <w:sz w:val="16"/>
                <w:szCs w:val="16"/>
              </w:rPr>
            </w:pPr>
          </w:p>
        </w:tc>
        <w:tc>
          <w:tcPr>
            <w:tcW w:w="1266" w:type="dxa"/>
          </w:tcPr>
          <w:p w:rsidRPr="00D24CC5" w:rsidR="00D24CC5" w:rsidP="00D24CC5" w:rsidRDefault="00D24CC5" w14:paraId="1F23BE76"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81 t/m 85</w:t>
            </w:r>
          </w:p>
        </w:tc>
        <w:tc>
          <w:tcPr>
            <w:tcW w:w="1086" w:type="dxa"/>
            <w:vAlign w:val="bottom"/>
          </w:tcPr>
          <w:p w:rsidRPr="00D24CC5" w:rsidR="00D24CC5" w:rsidP="00D24CC5" w:rsidRDefault="00D24CC5" w14:paraId="394E7E9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135B833C"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1,0%</w:t>
            </w:r>
          </w:p>
        </w:tc>
        <w:tc>
          <w:tcPr>
            <w:tcW w:w="1334" w:type="dxa"/>
            <w:gridSpan w:val="2"/>
            <w:vAlign w:val="bottom"/>
          </w:tcPr>
          <w:p w:rsidRPr="00D24CC5" w:rsidR="00D24CC5" w:rsidP="00D24CC5" w:rsidRDefault="00D24CC5" w14:paraId="38C64B7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1,2%</w:t>
            </w:r>
          </w:p>
        </w:tc>
        <w:tc>
          <w:tcPr>
            <w:tcW w:w="1340" w:type="dxa"/>
            <w:gridSpan w:val="2"/>
            <w:vAlign w:val="bottom"/>
          </w:tcPr>
          <w:p w:rsidRPr="00D24CC5" w:rsidR="00D24CC5" w:rsidP="00D24CC5" w:rsidRDefault="00D24CC5" w14:paraId="2A4B118B"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1,5%</w:t>
            </w:r>
          </w:p>
        </w:tc>
        <w:tc>
          <w:tcPr>
            <w:tcW w:w="1354" w:type="dxa"/>
            <w:gridSpan w:val="2"/>
            <w:vAlign w:val="bottom"/>
          </w:tcPr>
          <w:p w:rsidRPr="00D24CC5" w:rsidR="00D24CC5" w:rsidP="00D24CC5" w:rsidRDefault="00D24CC5" w14:paraId="1CECC32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2,4%</w:t>
            </w:r>
          </w:p>
        </w:tc>
      </w:tr>
      <w:tr w:rsidRPr="00D24CC5" w:rsidR="00D24CC5" w:rsidTr="000775BD" w14:paraId="44DF801C"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1A0DA6B7" w14:textId="77777777">
            <w:pPr>
              <w:jc w:val="center"/>
              <w:rPr>
                <w:rFonts w:cstheme="minorHAnsi"/>
                <w:color w:val="000000" w:themeColor="text1"/>
                <w:sz w:val="16"/>
                <w:szCs w:val="16"/>
              </w:rPr>
            </w:pPr>
          </w:p>
        </w:tc>
        <w:tc>
          <w:tcPr>
            <w:tcW w:w="1266" w:type="dxa"/>
          </w:tcPr>
          <w:p w:rsidRPr="00D24CC5" w:rsidR="00D24CC5" w:rsidP="00D24CC5" w:rsidRDefault="00D24CC5" w14:paraId="18C182CA"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86 t/m 90</w:t>
            </w:r>
          </w:p>
        </w:tc>
        <w:tc>
          <w:tcPr>
            <w:tcW w:w="1086" w:type="dxa"/>
            <w:vAlign w:val="bottom"/>
          </w:tcPr>
          <w:p w:rsidRPr="00D24CC5" w:rsidR="00D24CC5" w:rsidP="00D24CC5" w:rsidRDefault="00D24CC5" w14:paraId="52C33DB9"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2723C0D8"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0,6%</w:t>
            </w:r>
          </w:p>
        </w:tc>
        <w:tc>
          <w:tcPr>
            <w:tcW w:w="1334" w:type="dxa"/>
            <w:gridSpan w:val="2"/>
            <w:vAlign w:val="bottom"/>
          </w:tcPr>
          <w:p w:rsidRPr="00D24CC5" w:rsidR="00D24CC5" w:rsidP="00D24CC5" w:rsidRDefault="00D24CC5" w14:paraId="21A9E1C2"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0,7%</w:t>
            </w:r>
          </w:p>
        </w:tc>
        <w:tc>
          <w:tcPr>
            <w:tcW w:w="1340" w:type="dxa"/>
            <w:gridSpan w:val="2"/>
            <w:vAlign w:val="bottom"/>
          </w:tcPr>
          <w:p w:rsidRPr="00D24CC5" w:rsidR="00D24CC5" w:rsidP="00D24CC5" w:rsidRDefault="00D24CC5" w14:paraId="0D46874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0,8%</w:t>
            </w:r>
          </w:p>
        </w:tc>
        <w:tc>
          <w:tcPr>
            <w:tcW w:w="1354" w:type="dxa"/>
            <w:gridSpan w:val="2"/>
            <w:vAlign w:val="bottom"/>
          </w:tcPr>
          <w:p w:rsidRPr="00D24CC5" w:rsidR="00D24CC5" w:rsidP="00D24CC5" w:rsidRDefault="00D24CC5" w14:paraId="65C154CF"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1,5%</w:t>
            </w:r>
          </w:p>
        </w:tc>
      </w:tr>
      <w:tr w:rsidRPr="00D24CC5" w:rsidR="00D24CC5" w:rsidTr="000775BD" w14:paraId="4B5EC745"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4D429620" w14:textId="77777777">
            <w:pPr>
              <w:jc w:val="center"/>
              <w:rPr>
                <w:rFonts w:cstheme="minorHAnsi"/>
                <w:color w:val="000000" w:themeColor="text1"/>
                <w:sz w:val="16"/>
                <w:szCs w:val="16"/>
              </w:rPr>
            </w:pPr>
          </w:p>
        </w:tc>
        <w:tc>
          <w:tcPr>
            <w:tcW w:w="1266" w:type="dxa"/>
          </w:tcPr>
          <w:p w:rsidRPr="00D24CC5" w:rsidR="00D24CC5" w:rsidP="00D24CC5" w:rsidRDefault="00D24CC5" w14:paraId="0E862F4E"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91 jaar of ouder</w:t>
            </w:r>
          </w:p>
        </w:tc>
        <w:tc>
          <w:tcPr>
            <w:tcW w:w="1086" w:type="dxa"/>
            <w:vAlign w:val="bottom"/>
          </w:tcPr>
          <w:p w:rsidRPr="00D24CC5" w:rsidR="00D24CC5" w:rsidP="00D24CC5" w:rsidRDefault="00D24CC5" w14:paraId="4CD1897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1D939B09"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0,4%</w:t>
            </w:r>
          </w:p>
        </w:tc>
        <w:tc>
          <w:tcPr>
            <w:tcW w:w="1334" w:type="dxa"/>
            <w:gridSpan w:val="2"/>
            <w:vAlign w:val="bottom"/>
          </w:tcPr>
          <w:p w:rsidRPr="00D24CC5" w:rsidR="00D24CC5" w:rsidP="00D24CC5" w:rsidRDefault="00D24CC5" w14:paraId="42AF64F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0,4%</w:t>
            </w:r>
          </w:p>
        </w:tc>
        <w:tc>
          <w:tcPr>
            <w:tcW w:w="1340" w:type="dxa"/>
            <w:gridSpan w:val="2"/>
            <w:vAlign w:val="bottom"/>
          </w:tcPr>
          <w:p w:rsidRPr="00D24CC5" w:rsidR="00D24CC5" w:rsidP="00D24CC5" w:rsidRDefault="00D24CC5" w14:paraId="5DC11026"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0,6%</w:t>
            </w:r>
          </w:p>
        </w:tc>
        <w:tc>
          <w:tcPr>
            <w:tcW w:w="1354" w:type="dxa"/>
            <w:gridSpan w:val="2"/>
            <w:vAlign w:val="bottom"/>
          </w:tcPr>
          <w:p w:rsidRPr="00D24CC5" w:rsidR="00D24CC5" w:rsidP="00D24CC5" w:rsidRDefault="00D24CC5" w14:paraId="52957964"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1,1%</w:t>
            </w:r>
          </w:p>
        </w:tc>
      </w:tr>
    </w:tbl>
    <w:p w:rsidRPr="00D24CC5" w:rsidR="00D7204D" w:rsidP="00D7204D" w:rsidRDefault="00D7204D" w14:paraId="0E0F8905" w14:textId="77777777">
      <w:pPr>
        <w:contextualSpacing/>
        <w:jc w:val="both"/>
      </w:pPr>
    </w:p>
    <w:p w:rsidRPr="00D24CC5" w:rsidR="00CF508C" w:rsidP="00D7204D" w:rsidRDefault="00CF508C" w14:paraId="05084E53" w14:textId="77777777">
      <w:pPr>
        <w:contextualSpacing/>
        <w:jc w:val="both"/>
      </w:pPr>
    </w:p>
    <w:p w:rsidRPr="00D24CC5" w:rsidR="00CF508C" w:rsidP="00D7204D" w:rsidRDefault="00CF508C" w14:paraId="2AB180E6" w14:textId="77777777">
      <w:pPr>
        <w:contextualSpacing/>
        <w:jc w:val="both"/>
      </w:pPr>
    </w:p>
    <w:p w:rsidRPr="00D24CC5" w:rsidR="00CF508C" w:rsidP="00D7204D" w:rsidRDefault="00CF508C" w14:paraId="76AABA9D" w14:textId="77777777">
      <w:pPr>
        <w:contextualSpacing/>
        <w:jc w:val="both"/>
      </w:pPr>
    </w:p>
    <w:p w:rsidRPr="00D24CC5" w:rsidR="00CF508C" w:rsidP="00D7204D" w:rsidRDefault="00CF508C" w14:paraId="0EC608AF" w14:textId="77777777">
      <w:pPr>
        <w:contextualSpacing/>
        <w:jc w:val="both"/>
      </w:pPr>
    </w:p>
    <w:p w:rsidRPr="00D24CC5" w:rsidR="00CF508C" w:rsidP="00D7204D" w:rsidRDefault="00CF508C" w14:paraId="5E47C790" w14:textId="77777777">
      <w:pPr>
        <w:contextualSpacing/>
        <w:jc w:val="both"/>
      </w:pPr>
    </w:p>
    <w:p w:rsidRPr="00D24CC5" w:rsidR="00CF508C" w:rsidP="00D7204D" w:rsidRDefault="00CF508C" w14:paraId="02BFBCAD" w14:textId="77777777">
      <w:pPr>
        <w:contextualSpacing/>
        <w:jc w:val="both"/>
      </w:pPr>
    </w:p>
    <w:p w:rsidRPr="00D24CC5" w:rsidR="000775BD" w:rsidP="00D7204D" w:rsidRDefault="000775BD" w14:paraId="10B5F8C4" w14:textId="77777777">
      <w:pPr>
        <w:contextualSpacing/>
        <w:jc w:val="both"/>
      </w:pPr>
    </w:p>
    <w:p w:rsidRPr="00D24CC5" w:rsidR="000775BD" w:rsidP="00D7204D" w:rsidRDefault="000775BD" w14:paraId="3015285C" w14:textId="77777777">
      <w:pPr>
        <w:contextualSpacing/>
        <w:jc w:val="both"/>
      </w:pPr>
    </w:p>
    <w:p w:rsidRPr="00D24CC5" w:rsidR="000775BD" w:rsidP="00D7204D" w:rsidRDefault="000775BD" w14:paraId="36BA21E5" w14:textId="77777777">
      <w:pPr>
        <w:contextualSpacing/>
        <w:jc w:val="both"/>
      </w:pPr>
    </w:p>
    <w:p w:rsidRPr="00D24CC5" w:rsidR="000775BD" w:rsidP="00D7204D" w:rsidRDefault="000775BD" w14:paraId="1DB32B2E" w14:textId="77777777">
      <w:pPr>
        <w:contextualSpacing/>
        <w:jc w:val="both"/>
      </w:pPr>
    </w:p>
    <w:p w:rsidRPr="00D24CC5" w:rsidR="000775BD" w:rsidP="00D7204D" w:rsidRDefault="000775BD" w14:paraId="7D8C4725" w14:textId="77777777">
      <w:pPr>
        <w:contextualSpacing/>
        <w:jc w:val="both"/>
      </w:pPr>
    </w:p>
    <w:p w:rsidRPr="00D24CC5" w:rsidR="000775BD" w:rsidP="00D7204D" w:rsidRDefault="000775BD" w14:paraId="09924291" w14:textId="77777777">
      <w:pPr>
        <w:contextualSpacing/>
        <w:jc w:val="both"/>
      </w:pPr>
    </w:p>
    <w:p w:rsidRPr="00D24CC5" w:rsidR="000775BD" w:rsidP="00D7204D" w:rsidRDefault="000775BD" w14:paraId="4B106C59" w14:textId="77777777">
      <w:pPr>
        <w:contextualSpacing/>
        <w:jc w:val="both"/>
      </w:pPr>
    </w:p>
    <w:p w:rsidRPr="00D24CC5" w:rsidR="00A55189" w:rsidP="00D7204D" w:rsidRDefault="00A55189" w14:paraId="50196A99" w14:textId="77777777">
      <w:pPr>
        <w:contextualSpacing/>
        <w:jc w:val="both"/>
      </w:pPr>
    </w:p>
    <w:p w:rsidRPr="00D24CC5" w:rsidR="00D7204D" w:rsidP="00D7204D" w:rsidRDefault="00D7204D" w14:paraId="7A1B485E" w14:textId="77777777">
      <w:pPr>
        <w:contextualSpacing/>
        <w:jc w:val="both"/>
      </w:pPr>
      <w:r w:rsidRPr="00D24CC5">
        <w:t xml:space="preserve">Tabel </w:t>
      </w:r>
      <w:r w:rsidR="0078689A">
        <w:t>9</w:t>
      </w:r>
      <w:r w:rsidRPr="00D24CC5">
        <w:tab/>
        <w:t xml:space="preserve"> Mediane belastingdruk</w:t>
      </w:r>
      <w:r w:rsidRPr="00D24CC5" w:rsidR="00A33295">
        <w:rPr>
          <w:rStyle w:val="Voetnootmarkering"/>
        </w:rPr>
        <w:footnoteReference w:id="12"/>
      </w:r>
      <w:r w:rsidRPr="00D24CC5">
        <w:t xml:space="preserve"> erfbelasting per kind na modernisering forfaits bij het tweede overlijden, rentedragende </w:t>
      </w:r>
      <w:proofErr w:type="spellStart"/>
      <w:r w:rsidRPr="00D24CC5">
        <w:t>onderbedelingsvorderingen</w:t>
      </w:r>
      <w:proofErr w:type="spellEnd"/>
    </w:p>
    <w:tbl>
      <w:tblPr>
        <w:tblStyle w:val="Rastertabel4-Accent1"/>
        <w:tblpPr w:leftFromText="141" w:rightFromText="141" w:vertAnchor="text" w:horzAnchor="margin" w:tblpY="109"/>
        <w:tblW w:w="9033" w:type="dxa"/>
        <w:tblLook w:val="04A0" w:firstRow="1" w:lastRow="0" w:firstColumn="1" w:lastColumn="0" w:noHBand="0" w:noVBand="1"/>
      </w:tblPr>
      <w:tblGrid>
        <w:gridCol w:w="1281"/>
        <w:gridCol w:w="1266"/>
        <w:gridCol w:w="1086"/>
        <w:gridCol w:w="1331"/>
        <w:gridCol w:w="18"/>
        <w:gridCol w:w="1316"/>
        <w:gridCol w:w="34"/>
        <w:gridCol w:w="1306"/>
        <w:gridCol w:w="44"/>
        <w:gridCol w:w="1310"/>
        <w:gridCol w:w="41"/>
      </w:tblGrid>
      <w:tr w:rsidRPr="00D24CC5" w:rsidR="00E07B63" w:rsidTr="00E07B63" w14:paraId="1F435C1B"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47" w:type="dxa"/>
            <w:gridSpan w:val="2"/>
          </w:tcPr>
          <w:p w:rsidRPr="00D24CC5" w:rsidR="00E07B63" w:rsidP="00E07B63" w:rsidRDefault="00E07B63" w14:paraId="03B447B9" w14:textId="77777777">
            <w:pPr>
              <w:spacing w:line="276" w:lineRule="auto"/>
              <w:contextualSpacing/>
              <w:rPr>
                <w:rFonts w:cstheme="minorHAnsi"/>
                <w:b w:val="0"/>
                <w:bCs w:val="0"/>
                <w:i/>
                <w:iCs/>
                <w:color w:val="FFFFFF" w:themeColor="background1"/>
                <w:sz w:val="16"/>
                <w:szCs w:val="16"/>
              </w:rPr>
            </w:pPr>
            <w:r w:rsidRPr="00D24CC5">
              <w:rPr>
                <w:rFonts w:cstheme="minorHAnsi"/>
                <w:b w:val="0"/>
                <w:bCs w:val="0"/>
                <w:color w:val="FFFFFF" w:themeColor="background1"/>
                <w:sz w:val="16"/>
                <w:szCs w:val="16"/>
              </w:rPr>
              <w:t xml:space="preserve">Nagelaten vermogen per </w:t>
            </w:r>
            <w:proofErr w:type="gramStart"/>
            <w:r w:rsidRPr="00D24CC5">
              <w:rPr>
                <w:rFonts w:cstheme="minorHAnsi"/>
                <w:b w:val="0"/>
                <w:bCs w:val="0"/>
                <w:color w:val="FFFFFF" w:themeColor="background1"/>
                <w:sz w:val="16"/>
                <w:szCs w:val="16"/>
              </w:rPr>
              <w:t>erfgenaam  eerste</w:t>
            </w:r>
            <w:proofErr w:type="gramEnd"/>
            <w:r w:rsidRPr="00D24CC5">
              <w:rPr>
                <w:rFonts w:cstheme="minorHAnsi"/>
                <w:b w:val="0"/>
                <w:bCs w:val="0"/>
                <w:color w:val="FFFFFF" w:themeColor="background1"/>
                <w:sz w:val="16"/>
                <w:szCs w:val="16"/>
              </w:rPr>
              <w:t xml:space="preserve"> overlijden</w:t>
            </w:r>
          </w:p>
        </w:tc>
        <w:tc>
          <w:tcPr>
            <w:tcW w:w="1086" w:type="dxa"/>
          </w:tcPr>
          <w:p w:rsidRPr="00D24CC5" w:rsidR="00E07B63" w:rsidP="00E07B63" w:rsidRDefault="00E07B63" w14:paraId="36302434"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D24CC5">
              <w:rPr>
                <w:rFonts w:cstheme="minorHAnsi"/>
                <w:color w:val="FFFFFF" w:themeColor="background1"/>
                <w:sz w:val="16"/>
                <w:szCs w:val="16"/>
              </w:rPr>
              <w:t>€ 0 – € 25.000</w:t>
            </w:r>
          </w:p>
        </w:tc>
        <w:tc>
          <w:tcPr>
            <w:tcW w:w="1349" w:type="dxa"/>
            <w:gridSpan w:val="2"/>
          </w:tcPr>
          <w:p w:rsidRPr="00D24CC5" w:rsidR="00E07B63" w:rsidP="00E07B63" w:rsidRDefault="00E07B63" w14:paraId="6FE9A7D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D24CC5">
              <w:rPr>
                <w:rFonts w:cstheme="minorHAnsi"/>
                <w:color w:val="FFFFFF" w:themeColor="background1"/>
                <w:sz w:val="16"/>
                <w:szCs w:val="16"/>
              </w:rPr>
              <w:t>€ 25.000 - € 75.000</w:t>
            </w:r>
          </w:p>
        </w:tc>
        <w:tc>
          <w:tcPr>
            <w:tcW w:w="1350" w:type="dxa"/>
            <w:gridSpan w:val="2"/>
          </w:tcPr>
          <w:p w:rsidRPr="00D24CC5" w:rsidR="00E07B63" w:rsidP="00E07B63" w:rsidRDefault="00E07B63" w14:paraId="71D9ECB3"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D24CC5">
              <w:rPr>
                <w:rFonts w:cstheme="minorHAnsi"/>
                <w:color w:val="FFFFFF" w:themeColor="background1"/>
                <w:sz w:val="16"/>
                <w:szCs w:val="16"/>
              </w:rPr>
              <w:t>€ 75.000 - € 100.000</w:t>
            </w:r>
          </w:p>
        </w:tc>
        <w:tc>
          <w:tcPr>
            <w:tcW w:w="1350" w:type="dxa"/>
            <w:gridSpan w:val="2"/>
          </w:tcPr>
          <w:p w:rsidRPr="00D24CC5" w:rsidR="00E07B63" w:rsidP="00E07B63" w:rsidRDefault="00E07B63" w14:paraId="505A9560"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D24CC5">
              <w:rPr>
                <w:rFonts w:cstheme="minorHAnsi"/>
                <w:color w:val="FFFFFF" w:themeColor="background1"/>
                <w:sz w:val="16"/>
                <w:szCs w:val="16"/>
              </w:rPr>
              <w:t>€ 100.000 - € 250.000</w:t>
            </w:r>
          </w:p>
        </w:tc>
        <w:tc>
          <w:tcPr>
            <w:tcW w:w="1351" w:type="dxa"/>
            <w:gridSpan w:val="2"/>
          </w:tcPr>
          <w:p w:rsidRPr="00D24CC5" w:rsidR="00E07B63" w:rsidP="00E07B63" w:rsidRDefault="00E07B63" w14:paraId="3E215193"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6"/>
                <w:szCs w:val="16"/>
              </w:rPr>
            </w:pPr>
            <w:r w:rsidRPr="00D24CC5">
              <w:rPr>
                <w:rFonts w:cstheme="minorHAnsi"/>
                <w:color w:val="FFFFFF" w:themeColor="background1"/>
                <w:sz w:val="16"/>
                <w:szCs w:val="16"/>
              </w:rPr>
              <w:t>€ &gt; 250.000</w:t>
            </w:r>
          </w:p>
        </w:tc>
      </w:tr>
      <w:tr w:rsidRPr="00D24CC5" w:rsidR="00D24CC5" w:rsidTr="00E07B63" w14:paraId="42DFDFE7"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83"/>
        </w:trPr>
        <w:tc>
          <w:tcPr>
            <w:cnfStyle w:val="001000000000" w:firstRow="0" w:lastRow="0" w:firstColumn="1" w:lastColumn="0" w:oddVBand="0" w:evenVBand="0" w:oddHBand="0" w:evenHBand="0" w:firstRowFirstColumn="0" w:firstRowLastColumn="0" w:lastRowFirstColumn="0" w:lastRowLastColumn="0"/>
            <w:tcW w:w="1281" w:type="dxa"/>
            <w:vMerge w:val="restart"/>
            <w:textDirection w:val="btLr"/>
          </w:tcPr>
          <w:p w:rsidRPr="00D24CC5" w:rsidR="00D24CC5" w:rsidP="00D24CC5" w:rsidRDefault="00D24CC5" w14:paraId="76313A44" w14:textId="77777777">
            <w:pPr>
              <w:ind w:left="113" w:right="113"/>
              <w:jc w:val="center"/>
              <w:rPr>
                <w:rFonts w:cstheme="minorHAnsi"/>
                <w:b w:val="0"/>
                <w:bCs w:val="0"/>
                <w:color w:val="000000" w:themeColor="text1"/>
                <w:sz w:val="16"/>
                <w:szCs w:val="16"/>
              </w:rPr>
            </w:pPr>
            <w:r w:rsidRPr="00D24CC5">
              <w:rPr>
                <w:rFonts w:cstheme="minorHAnsi"/>
                <w:b w:val="0"/>
                <w:bCs w:val="0"/>
                <w:color w:val="000000" w:themeColor="text1"/>
                <w:sz w:val="16"/>
                <w:szCs w:val="16"/>
              </w:rPr>
              <w:t xml:space="preserve">Leeftijd langstlevende partner bij eerste overlijden </w:t>
            </w:r>
          </w:p>
        </w:tc>
        <w:tc>
          <w:tcPr>
            <w:tcW w:w="1266" w:type="dxa"/>
          </w:tcPr>
          <w:p w:rsidRPr="00D24CC5" w:rsidR="00D24CC5" w:rsidP="00D24CC5" w:rsidRDefault="00D24CC5" w14:paraId="5995475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50 jaar of jonger</w:t>
            </w:r>
          </w:p>
        </w:tc>
        <w:tc>
          <w:tcPr>
            <w:tcW w:w="1086" w:type="dxa"/>
            <w:vAlign w:val="bottom"/>
          </w:tcPr>
          <w:p w:rsidRPr="00D24CC5" w:rsidR="00D24CC5" w:rsidP="00D24CC5" w:rsidRDefault="00D24CC5" w14:paraId="4EDE287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3BC3845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56B819E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40" w:type="dxa"/>
            <w:gridSpan w:val="2"/>
            <w:vAlign w:val="bottom"/>
          </w:tcPr>
          <w:p w:rsidRPr="00D24CC5" w:rsidR="00D24CC5" w:rsidP="00D24CC5" w:rsidRDefault="00D24CC5" w14:paraId="6FC5894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54" w:type="dxa"/>
            <w:gridSpan w:val="2"/>
            <w:vAlign w:val="bottom"/>
          </w:tcPr>
          <w:p w:rsidRPr="00D24CC5" w:rsidR="00D24CC5" w:rsidP="00D24CC5" w:rsidRDefault="00D24CC5" w14:paraId="0830600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r>
      <w:tr w:rsidRPr="00D24CC5" w:rsidR="00D24CC5" w:rsidTr="00E07B63" w14:paraId="3EA30DF0"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219D7D15" w14:textId="77777777">
            <w:pPr>
              <w:jc w:val="center"/>
              <w:rPr>
                <w:rFonts w:cstheme="minorHAnsi"/>
                <w:color w:val="000000" w:themeColor="text1"/>
                <w:sz w:val="16"/>
                <w:szCs w:val="16"/>
              </w:rPr>
            </w:pPr>
          </w:p>
        </w:tc>
        <w:tc>
          <w:tcPr>
            <w:tcW w:w="1266" w:type="dxa"/>
          </w:tcPr>
          <w:p w:rsidRPr="00D24CC5" w:rsidR="00D24CC5" w:rsidP="00D24CC5" w:rsidRDefault="00D24CC5" w14:paraId="31D45224"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51 t/m 60</w:t>
            </w:r>
          </w:p>
        </w:tc>
        <w:tc>
          <w:tcPr>
            <w:tcW w:w="1086" w:type="dxa"/>
            <w:vAlign w:val="bottom"/>
          </w:tcPr>
          <w:p w:rsidRPr="00D24CC5" w:rsidR="00D24CC5" w:rsidP="00D24CC5" w:rsidRDefault="00D24CC5" w14:paraId="395FFBC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324BE7A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4" w:type="dxa"/>
            <w:gridSpan w:val="2"/>
            <w:vAlign w:val="bottom"/>
          </w:tcPr>
          <w:p w:rsidRPr="00D24CC5" w:rsidR="00D24CC5" w:rsidP="00D24CC5" w:rsidRDefault="00D24CC5" w14:paraId="2503A98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40" w:type="dxa"/>
            <w:gridSpan w:val="2"/>
            <w:vAlign w:val="bottom"/>
          </w:tcPr>
          <w:p w:rsidRPr="00D24CC5" w:rsidR="00D24CC5" w:rsidP="00D24CC5" w:rsidRDefault="00D24CC5" w14:paraId="188B2CB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54" w:type="dxa"/>
            <w:gridSpan w:val="2"/>
            <w:vAlign w:val="bottom"/>
          </w:tcPr>
          <w:p w:rsidRPr="00D24CC5" w:rsidR="00D24CC5" w:rsidP="00D24CC5" w:rsidRDefault="00D24CC5" w14:paraId="2E3EE9F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r>
      <w:tr w:rsidRPr="00D24CC5" w:rsidR="00D24CC5" w:rsidTr="00E07B63" w14:paraId="096E026A"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105A7C2B" w14:textId="77777777">
            <w:pPr>
              <w:jc w:val="center"/>
              <w:rPr>
                <w:rFonts w:cstheme="minorHAnsi"/>
                <w:color w:val="000000" w:themeColor="text1"/>
                <w:sz w:val="16"/>
                <w:szCs w:val="16"/>
              </w:rPr>
            </w:pPr>
          </w:p>
        </w:tc>
        <w:tc>
          <w:tcPr>
            <w:tcW w:w="1266" w:type="dxa"/>
          </w:tcPr>
          <w:p w:rsidRPr="00D24CC5" w:rsidR="00D24CC5" w:rsidP="00D24CC5" w:rsidRDefault="00D24CC5" w14:paraId="7A5A382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61 t/m 70</w:t>
            </w:r>
          </w:p>
        </w:tc>
        <w:tc>
          <w:tcPr>
            <w:tcW w:w="1086" w:type="dxa"/>
            <w:vAlign w:val="bottom"/>
          </w:tcPr>
          <w:p w:rsidRPr="00D24CC5" w:rsidR="00D24CC5" w:rsidP="00D24CC5" w:rsidRDefault="00D24CC5" w14:paraId="7228919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0,0%</w:t>
            </w:r>
          </w:p>
        </w:tc>
        <w:tc>
          <w:tcPr>
            <w:tcW w:w="1331" w:type="dxa"/>
            <w:vAlign w:val="bottom"/>
          </w:tcPr>
          <w:p w:rsidRPr="00D24CC5" w:rsidR="00D24CC5" w:rsidP="00D24CC5" w:rsidRDefault="00D24CC5" w14:paraId="1966703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2,1%</w:t>
            </w:r>
          </w:p>
        </w:tc>
        <w:tc>
          <w:tcPr>
            <w:tcW w:w="1334" w:type="dxa"/>
            <w:gridSpan w:val="2"/>
            <w:vAlign w:val="bottom"/>
          </w:tcPr>
          <w:p w:rsidRPr="00D24CC5" w:rsidR="00D24CC5" w:rsidP="00D24CC5" w:rsidRDefault="00D24CC5" w14:paraId="09EC2C3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5,7%</w:t>
            </w:r>
          </w:p>
        </w:tc>
        <w:tc>
          <w:tcPr>
            <w:tcW w:w="1340" w:type="dxa"/>
            <w:gridSpan w:val="2"/>
            <w:vAlign w:val="bottom"/>
          </w:tcPr>
          <w:p w:rsidRPr="00D24CC5" w:rsidR="00D24CC5" w:rsidP="00D24CC5" w:rsidRDefault="00D24CC5" w14:paraId="446967A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6,9%</w:t>
            </w:r>
          </w:p>
        </w:tc>
        <w:tc>
          <w:tcPr>
            <w:tcW w:w="1354" w:type="dxa"/>
            <w:gridSpan w:val="2"/>
            <w:vAlign w:val="bottom"/>
          </w:tcPr>
          <w:p w:rsidRPr="00D24CC5" w:rsidR="00D24CC5" w:rsidP="00D24CC5" w:rsidRDefault="00D24CC5" w14:paraId="1ABAC03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Calibri"/>
                <w:sz w:val="16"/>
                <w:szCs w:val="16"/>
              </w:rPr>
              <w:t>5,9%</w:t>
            </w:r>
          </w:p>
        </w:tc>
      </w:tr>
      <w:tr w:rsidRPr="00D24CC5" w:rsidR="00D24CC5" w:rsidTr="00E07B63" w14:paraId="65AECFEA"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5C5F4199" w14:textId="77777777">
            <w:pPr>
              <w:jc w:val="center"/>
              <w:rPr>
                <w:rFonts w:cstheme="minorHAnsi"/>
                <w:color w:val="000000" w:themeColor="text1"/>
                <w:sz w:val="16"/>
                <w:szCs w:val="16"/>
              </w:rPr>
            </w:pPr>
          </w:p>
        </w:tc>
        <w:tc>
          <w:tcPr>
            <w:tcW w:w="1266" w:type="dxa"/>
          </w:tcPr>
          <w:p w:rsidRPr="00D24CC5" w:rsidR="00D24CC5" w:rsidP="00D24CC5" w:rsidRDefault="00D24CC5" w14:paraId="4D64610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71 t/m 75</w:t>
            </w:r>
          </w:p>
        </w:tc>
        <w:tc>
          <w:tcPr>
            <w:tcW w:w="1086" w:type="dxa"/>
            <w:vAlign w:val="bottom"/>
          </w:tcPr>
          <w:p w:rsidRPr="00D24CC5" w:rsidR="00D24CC5" w:rsidP="00D24CC5" w:rsidRDefault="00D24CC5" w14:paraId="1EEBFABA"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0,2%</w:t>
            </w:r>
          </w:p>
        </w:tc>
        <w:tc>
          <w:tcPr>
            <w:tcW w:w="1331" w:type="dxa"/>
            <w:vAlign w:val="bottom"/>
          </w:tcPr>
          <w:p w:rsidRPr="00D24CC5" w:rsidR="00D24CC5" w:rsidP="00D24CC5" w:rsidRDefault="00D24CC5" w14:paraId="5DFE849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3,8%</w:t>
            </w:r>
          </w:p>
        </w:tc>
        <w:tc>
          <w:tcPr>
            <w:tcW w:w="1334" w:type="dxa"/>
            <w:gridSpan w:val="2"/>
            <w:vAlign w:val="bottom"/>
          </w:tcPr>
          <w:p w:rsidRPr="00D24CC5" w:rsidR="00D24CC5" w:rsidP="00D24CC5" w:rsidRDefault="00D24CC5" w14:paraId="0831789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7,4%</w:t>
            </w:r>
          </w:p>
        </w:tc>
        <w:tc>
          <w:tcPr>
            <w:tcW w:w="1340" w:type="dxa"/>
            <w:gridSpan w:val="2"/>
            <w:vAlign w:val="bottom"/>
          </w:tcPr>
          <w:p w:rsidRPr="00D24CC5" w:rsidR="00D24CC5" w:rsidP="00D24CC5" w:rsidRDefault="00D24CC5" w14:paraId="6CEBE34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8,2%</w:t>
            </w:r>
          </w:p>
        </w:tc>
        <w:tc>
          <w:tcPr>
            <w:tcW w:w="1354" w:type="dxa"/>
            <w:gridSpan w:val="2"/>
            <w:vAlign w:val="bottom"/>
          </w:tcPr>
          <w:p w:rsidRPr="00D24CC5" w:rsidR="00D24CC5" w:rsidP="00D24CC5" w:rsidRDefault="00D24CC5" w14:paraId="307A7A3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11,8%</w:t>
            </w:r>
          </w:p>
        </w:tc>
      </w:tr>
      <w:tr w:rsidRPr="00D24CC5" w:rsidR="00D24CC5" w:rsidTr="00E07B63" w14:paraId="739F273B"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7E6B3898" w14:textId="77777777">
            <w:pPr>
              <w:jc w:val="center"/>
              <w:rPr>
                <w:rFonts w:cstheme="minorHAnsi"/>
                <w:color w:val="000000" w:themeColor="text1"/>
                <w:sz w:val="16"/>
                <w:szCs w:val="16"/>
              </w:rPr>
            </w:pPr>
          </w:p>
        </w:tc>
        <w:tc>
          <w:tcPr>
            <w:tcW w:w="1266" w:type="dxa"/>
          </w:tcPr>
          <w:p w:rsidRPr="00D24CC5" w:rsidR="00D24CC5" w:rsidP="00D24CC5" w:rsidRDefault="00D24CC5" w14:paraId="72671155"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76 t/m 80</w:t>
            </w:r>
          </w:p>
        </w:tc>
        <w:tc>
          <w:tcPr>
            <w:tcW w:w="1086" w:type="dxa"/>
            <w:vAlign w:val="bottom"/>
          </w:tcPr>
          <w:p w:rsidRPr="00D24CC5" w:rsidR="00D24CC5" w:rsidP="00D24CC5" w:rsidRDefault="00D24CC5" w14:paraId="7710DC4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5CE0112C"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5,3%</w:t>
            </w:r>
          </w:p>
        </w:tc>
        <w:tc>
          <w:tcPr>
            <w:tcW w:w="1334" w:type="dxa"/>
            <w:gridSpan w:val="2"/>
            <w:vAlign w:val="bottom"/>
          </w:tcPr>
          <w:p w:rsidRPr="00D24CC5" w:rsidR="00D24CC5" w:rsidP="00D24CC5" w:rsidRDefault="00D24CC5" w14:paraId="1AFF9C6E"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7,6%</w:t>
            </w:r>
          </w:p>
        </w:tc>
        <w:tc>
          <w:tcPr>
            <w:tcW w:w="1340" w:type="dxa"/>
            <w:gridSpan w:val="2"/>
            <w:vAlign w:val="bottom"/>
          </w:tcPr>
          <w:p w:rsidRPr="00D24CC5" w:rsidR="00D24CC5" w:rsidP="00D24CC5" w:rsidRDefault="00D24CC5" w14:paraId="5B20DA76"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8,3%</w:t>
            </w:r>
          </w:p>
        </w:tc>
        <w:tc>
          <w:tcPr>
            <w:tcW w:w="1354" w:type="dxa"/>
            <w:gridSpan w:val="2"/>
            <w:vAlign w:val="bottom"/>
          </w:tcPr>
          <w:p w:rsidRPr="00D24CC5" w:rsidR="00D24CC5" w:rsidP="00D24CC5" w:rsidRDefault="00D24CC5" w14:paraId="1669CB0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12,9%</w:t>
            </w:r>
          </w:p>
        </w:tc>
      </w:tr>
      <w:tr w:rsidRPr="00D24CC5" w:rsidR="00D24CC5" w:rsidTr="00E07B63" w14:paraId="4561D6D9"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3BB0F227" w14:textId="77777777">
            <w:pPr>
              <w:jc w:val="center"/>
              <w:rPr>
                <w:rFonts w:cstheme="minorHAnsi"/>
                <w:color w:val="000000" w:themeColor="text1"/>
                <w:sz w:val="16"/>
                <w:szCs w:val="16"/>
              </w:rPr>
            </w:pPr>
          </w:p>
        </w:tc>
        <w:tc>
          <w:tcPr>
            <w:tcW w:w="1266" w:type="dxa"/>
          </w:tcPr>
          <w:p w:rsidRPr="00D24CC5" w:rsidR="00D24CC5" w:rsidP="00D24CC5" w:rsidRDefault="00D24CC5" w14:paraId="0E46956B"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81 t/m 85</w:t>
            </w:r>
          </w:p>
        </w:tc>
        <w:tc>
          <w:tcPr>
            <w:tcW w:w="1086" w:type="dxa"/>
            <w:vAlign w:val="bottom"/>
          </w:tcPr>
          <w:p w:rsidRPr="00D24CC5" w:rsidR="00D24CC5" w:rsidP="00D24CC5" w:rsidRDefault="00D24CC5" w14:paraId="44DED5C7"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33BC1E1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5,8%</w:t>
            </w:r>
          </w:p>
        </w:tc>
        <w:tc>
          <w:tcPr>
            <w:tcW w:w="1334" w:type="dxa"/>
            <w:gridSpan w:val="2"/>
            <w:vAlign w:val="bottom"/>
          </w:tcPr>
          <w:p w:rsidRPr="00D24CC5" w:rsidR="00D24CC5" w:rsidP="00D24CC5" w:rsidRDefault="00D24CC5" w14:paraId="52DA45CC"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7,6%</w:t>
            </w:r>
          </w:p>
        </w:tc>
        <w:tc>
          <w:tcPr>
            <w:tcW w:w="1340" w:type="dxa"/>
            <w:gridSpan w:val="2"/>
            <w:vAlign w:val="bottom"/>
          </w:tcPr>
          <w:p w:rsidRPr="00D24CC5" w:rsidR="00D24CC5" w:rsidP="00D24CC5" w:rsidRDefault="00D24CC5" w14:paraId="1AB471DD"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8,3%</w:t>
            </w:r>
          </w:p>
        </w:tc>
        <w:tc>
          <w:tcPr>
            <w:tcW w:w="1354" w:type="dxa"/>
            <w:gridSpan w:val="2"/>
            <w:vAlign w:val="bottom"/>
          </w:tcPr>
          <w:p w:rsidRPr="00D24CC5" w:rsidR="00D24CC5" w:rsidP="00D24CC5" w:rsidRDefault="00D24CC5" w14:paraId="1780DB1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15,3%</w:t>
            </w:r>
          </w:p>
        </w:tc>
      </w:tr>
      <w:tr w:rsidRPr="00D24CC5" w:rsidR="00D24CC5" w:rsidTr="00E07B63" w14:paraId="5EDDBE98" w14:textId="77777777">
        <w:trPr>
          <w:gridAfter w:val="1"/>
          <w:cnfStyle w:val="000000100000" w:firstRow="0" w:lastRow="0" w:firstColumn="0" w:lastColumn="0" w:oddVBand="0" w:evenVBand="0" w:oddHBand="1" w:evenHBand="0" w:firstRowFirstColumn="0" w:firstRowLastColumn="0" w:lastRowFirstColumn="0" w:lastRowLastColumn="0"/>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557C2656" w14:textId="77777777">
            <w:pPr>
              <w:jc w:val="center"/>
              <w:rPr>
                <w:rFonts w:cstheme="minorHAnsi"/>
                <w:color w:val="000000" w:themeColor="text1"/>
                <w:sz w:val="16"/>
                <w:szCs w:val="16"/>
              </w:rPr>
            </w:pPr>
          </w:p>
        </w:tc>
        <w:tc>
          <w:tcPr>
            <w:tcW w:w="1266" w:type="dxa"/>
          </w:tcPr>
          <w:p w:rsidRPr="00D24CC5" w:rsidR="00D24CC5" w:rsidP="00D24CC5" w:rsidRDefault="00D24CC5" w14:paraId="16D7937A"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86 t/m 90</w:t>
            </w:r>
          </w:p>
        </w:tc>
        <w:tc>
          <w:tcPr>
            <w:tcW w:w="1086" w:type="dxa"/>
            <w:vAlign w:val="bottom"/>
          </w:tcPr>
          <w:p w:rsidRPr="00D24CC5" w:rsidR="00D24CC5" w:rsidP="00D24CC5" w:rsidRDefault="00D24CC5" w14:paraId="674167D0"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5338951E"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5,9%</w:t>
            </w:r>
          </w:p>
        </w:tc>
        <w:tc>
          <w:tcPr>
            <w:tcW w:w="1334" w:type="dxa"/>
            <w:gridSpan w:val="2"/>
            <w:vAlign w:val="bottom"/>
          </w:tcPr>
          <w:p w:rsidRPr="00D24CC5" w:rsidR="00D24CC5" w:rsidP="00D24CC5" w:rsidRDefault="00D24CC5" w14:paraId="3CBD71B8"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7,8%</w:t>
            </w:r>
          </w:p>
        </w:tc>
        <w:tc>
          <w:tcPr>
            <w:tcW w:w="1340" w:type="dxa"/>
            <w:gridSpan w:val="2"/>
            <w:vAlign w:val="bottom"/>
          </w:tcPr>
          <w:p w:rsidRPr="00D24CC5" w:rsidR="00D24CC5" w:rsidP="00D24CC5" w:rsidRDefault="00D24CC5" w14:paraId="4AC0872B"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8,5%</w:t>
            </w:r>
          </w:p>
        </w:tc>
        <w:tc>
          <w:tcPr>
            <w:tcW w:w="1354" w:type="dxa"/>
            <w:gridSpan w:val="2"/>
            <w:vAlign w:val="bottom"/>
          </w:tcPr>
          <w:p w:rsidRPr="00D24CC5" w:rsidR="00D24CC5" w:rsidP="00D24CC5" w:rsidRDefault="00D24CC5" w14:paraId="570E68F7" w14:textId="77777777">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24CC5">
              <w:rPr>
                <w:rFonts w:cs="Calibri"/>
                <w:sz w:val="16"/>
                <w:szCs w:val="16"/>
              </w:rPr>
              <w:t>14,4%</w:t>
            </w:r>
          </w:p>
        </w:tc>
      </w:tr>
      <w:tr w:rsidRPr="00B00EB7" w:rsidR="00D24CC5" w:rsidTr="00E07B63" w14:paraId="711D88D8" w14:textId="77777777">
        <w:trPr>
          <w:gridAfter w:val="1"/>
          <w:wAfter w:w="41" w:type="dxa"/>
          <w:trHeight w:val="299"/>
        </w:trPr>
        <w:tc>
          <w:tcPr>
            <w:cnfStyle w:val="001000000000" w:firstRow="0" w:lastRow="0" w:firstColumn="1" w:lastColumn="0" w:oddVBand="0" w:evenVBand="0" w:oddHBand="0" w:evenHBand="0" w:firstRowFirstColumn="0" w:firstRowLastColumn="0" w:lastRowFirstColumn="0" w:lastRowLastColumn="0"/>
            <w:tcW w:w="1281" w:type="dxa"/>
            <w:vMerge/>
          </w:tcPr>
          <w:p w:rsidRPr="00D24CC5" w:rsidR="00D24CC5" w:rsidP="00D24CC5" w:rsidRDefault="00D24CC5" w14:paraId="7BE5B883" w14:textId="77777777">
            <w:pPr>
              <w:jc w:val="center"/>
              <w:rPr>
                <w:rFonts w:cstheme="minorHAnsi"/>
                <w:color w:val="000000" w:themeColor="text1"/>
                <w:sz w:val="16"/>
                <w:szCs w:val="16"/>
              </w:rPr>
            </w:pPr>
          </w:p>
        </w:tc>
        <w:tc>
          <w:tcPr>
            <w:tcW w:w="1266" w:type="dxa"/>
          </w:tcPr>
          <w:p w:rsidRPr="00D24CC5" w:rsidR="00D24CC5" w:rsidP="00D24CC5" w:rsidRDefault="00D24CC5" w14:paraId="36E47DFD"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24CC5">
              <w:rPr>
                <w:rFonts w:cstheme="minorHAnsi"/>
                <w:color w:val="000000" w:themeColor="text1"/>
                <w:sz w:val="16"/>
                <w:szCs w:val="16"/>
              </w:rPr>
              <w:t>91 jaar of ouder</w:t>
            </w:r>
          </w:p>
        </w:tc>
        <w:tc>
          <w:tcPr>
            <w:tcW w:w="1086" w:type="dxa"/>
            <w:vAlign w:val="bottom"/>
          </w:tcPr>
          <w:p w:rsidRPr="00D24CC5" w:rsidR="00D24CC5" w:rsidP="00D24CC5" w:rsidRDefault="00D24CC5" w14:paraId="76C22B3F"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0,0%</w:t>
            </w:r>
          </w:p>
        </w:tc>
        <w:tc>
          <w:tcPr>
            <w:tcW w:w="1331" w:type="dxa"/>
            <w:vAlign w:val="bottom"/>
          </w:tcPr>
          <w:p w:rsidRPr="00D24CC5" w:rsidR="00D24CC5" w:rsidP="00D24CC5" w:rsidRDefault="00D24CC5" w14:paraId="12021603"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6,1%</w:t>
            </w:r>
          </w:p>
        </w:tc>
        <w:tc>
          <w:tcPr>
            <w:tcW w:w="1334" w:type="dxa"/>
            <w:gridSpan w:val="2"/>
            <w:vAlign w:val="bottom"/>
          </w:tcPr>
          <w:p w:rsidRPr="00D24CC5" w:rsidR="00D24CC5" w:rsidP="00D24CC5" w:rsidRDefault="00D24CC5" w14:paraId="751329F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7,7%</w:t>
            </w:r>
          </w:p>
        </w:tc>
        <w:tc>
          <w:tcPr>
            <w:tcW w:w="1340" w:type="dxa"/>
            <w:gridSpan w:val="2"/>
            <w:vAlign w:val="bottom"/>
          </w:tcPr>
          <w:p w:rsidRPr="00D24CC5" w:rsidR="00D24CC5" w:rsidP="00D24CC5" w:rsidRDefault="00D24CC5" w14:paraId="7B3D9708"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8,5%</w:t>
            </w:r>
          </w:p>
        </w:tc>
        <w:tc>
          <w:tcPr>
            <w:tcW w:w="1354" w:type="dxa"/>
            <w:gridSpan w:val="2"/>
            <w:vAlign w:val="bottom"/>
          </w:tcPr>
          <w:p w:rsidRPr="00D24CC5" w:rsidR="00D24CC5" w:rsidP="00D24CC5" w:rsidRDefault="00D24CC5" w14:paraId="04D81801"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24CC5">
              <w:rPr>
                <w:rFonts w:cs="Calibri"/>
                <w:sz w:val="16"/>
                <w:szCs w:val="16"/>
              </w:rPr>
              <w:t>13,5%</w:t>
            </w:r>
          </w:p>
        </w:tc>
      </w:tr>
    </w:tbl>
    <w:p w:rsidR="00E07B63" w:rsidP="00D7204D" w:rsidRDefault="00E07B63" w14:paraId="1517C64D" w14:textId="77777777">
      <w:pPr>
        <w:contextualSpacing/>
        <w:jc w:val="both"/>
      </w:pPr>
    </w:p>
    <w:p w:rsidR="00E07B63" w:rsidP="00D7204D" w:rsidRDefault="00E07B63" w14:paraId="4C1F26F4" w14:textId="77777777">
      <w:pPr>
        <w:contextualSpacing/>
        <w:jc w:val="both"/>
      </w:pPr>
    </w:p>
    <w:p w:rsidR="00E07B63" w:rsidP="00D7204D" w:rsidRDefault="00E07B63" w14:paraId="62263435" w14:textId="77777777">
      <w:pPr>
        <w:contextualSpacing/>
        <w:jc w:val="both"/>
      </w:pPr>
    </w:p>
    <w:p w:rsidR="00E07B63" w:rsidP="00D7204D" w:rsidRDefault="00E07B63" w14:paraId="6EADBFB9" w14:textId="77777777">
      <w:pPr>
        <w:contextualSpacing/>
        <w:jc w:val="both"/>
      </w:pPr>
    </w:p>
    <w:p w:rsidR="00D7204D" w:rsidP="00D7204D" w:rsidRDefault="00D7204D" w14:paraId="1AA120AF" w14:textId="77777777">
      <w:pPr>
        <w:contextualSpacing/>
        <w:jc w:val="both"/>
      </w:pPr>
    </w:p>
    <w:p w:rsidRPr="002D33C1" w:rsidR="00D7204D" w:rsidP="00D7204D" w:rsidRDefault="00D7204D" w14:paraId="326F9272" w14:textId="77777777">
      <w:pPr>
        <w:contextualSpacing/>
        <w:jc w:val="both"/>
      </w:pPr>
    </w:p>
    <w:p w:rsidR="00CF508C" w:rsidP="00CF508C" w:rsidRDefault="00CF508C" w14:paraId="7D51F414" w14:textId="77777777">
      <w:pPr>
        <w:pStyle w:val="Lijstalinea"/>
        <w:ind w:left="1065"/>
        <w:jc w:val="both"/>
        <w:rPr>
          <w:b/>
          <w:bCs/>
        </w:rPr>
      </w:pPr>
    </w:p>
    <w:p w:rsidR="00CF508C" w:rsidP="00CF508C" w:rsidRDefault="00CF508C" w14:paraId="4C0DAD35" w14:textId="77777777">
      <w:pPr>
        <w:pStyle w:val="Lijstalinea"/>
        <w:ind w:left="1065"/>
        <w:jc w:val="both"/>
        <w:rPr>
          <w:b/>
          <w:bCs/>
        </w:rPr>
      </w:pPr>
    </w:p>
    <w:p w:rsidR="00CF508C" w:rsidP="00CF508C" w:rsidRDefault="00CF508C" w14:paraId="43BAB387" w14:textId="77777777">
      <w:pPr>
        <w:pStyle w:val="Lijstalinea"/>
        <w:ind w:left="1065"/>
        <w:jc w:val="both"/>
        <w:rPr>
          <w:b/>
          <w:bCs/>
        </w:rPr>
      </w:pPr>
    </w:p>
    <w:p w:rsidR="00CF508C" w:rsidP="00CF508C" w:rsidRDefault="00CF508C" w14:paraId="6C8623BF" w14:textId="77777777">
      <w:pPr>
        <w:pStyle w:val="Lijstalinea"/>
        <w:ind w:left="1065"/>
        <w:jc w:val="both"/>
        <w:rPr>
          <w:b/>
          <w:bCs/>
        </w:rPr>
      </w:pPr>
    </w:p>
    <w:p w:rsidR="00CF508C" w:rsidP="00CF508C" w:rsidRDefault="00CF508C" w14:paraId="71165131" w14:textId="77777777">
      <w:pPr>
        <w:pStyle w:val="Lijstalinea"/>
        <w:ind w:left="1065"/>
        <w:jc w:val="both"/>
        <w:rPr>
          <w:b/>
          <w:bCs/>
        </w:rPr>
      </w:pPr>
    </w:p>
    <w:p w:rsidR="00E07B63" w:rsidP="00E07B63" w:rsidRDefault="00E07B63" w14:paraId="0035B9EB" w14:textId="77777777">
      <w:pPr>
        <w:pStyle w:val="Lijstalinea"/>
        <w:ind w:left="1065"/>
        <w:jc w:val="both"/>
        <w:rPr>
          <w:b/>
          <w:bCs/>
        </w:rPr>
      </w:pPr>
    </w:p>
    <w:p w:rsidR="00E07B63" w:rsidP="00E07B63" w:rsidRDefault="00E07B63" w14:paraId="282A1C41" w14:textId="77777777">
      <w:pPr>
        <w:pStyle w:val="Lijstalinea"/>
        <w:ind w:left="1065"/>
        <w:jc w:val="both"/>
        <w:rPr>
          <w:b/>
          <w:bCs/>
        </w:rPr>
      </w:pPr>
    </w:p>
    <w:p w:rsidR="003E4C30" w:rsidRDefault="003E4C30" w14:paraId="728A9FB6" w14:textId="77777777">
      <w:pPr>
        <w:spacing w:line="240" w:lineRule="auto"/>
      </w:pPr>
      <w:r w:rsidRPr="003E4C30">
        <w:lastRenderedPageBreak/>
        <w:t>Naar v</w:t>
      </w:r>
      <w:r>
        <w:t xml:space="preserve">erwachting krijgt 11% van alle nalatenschappen door modernisering te maken met een hogere erfbelasting, bij ofwel het eerste dan wel het tweede overlijden. Het relatief lage aantal dat geraakt wordt door modernisering van de forfaits kan verklaard worden dat in een groot deel van de nalatenschappen de verkrijgingen niet uitstijgen boven de vrijstellingen binnen de erfbelasting (zie onderstaande tabel </w:t>
      </w:r>
      <w:r w:rsidR="0078689A">
        <w:t>10</w:t>
      </w:r>
      <w:r>
        <w:t>).</w:t>
      </w:r>
    </w:p>
    <w:p w:rsidR="005A3C2A" w:rsidRDefault="005A3C2A" w14:paraId="4B1DF6E3" w14:textId="77777777">
      <w:pPr>
        <w:spacing w:line="240" w:lineRule="auto"/>
      </w:pPr>
    </w:p>
    <w:p w:rsidRPr="0078689A" w:rsidR="003E4C30" w:rsidP="003E4C30" w:rsidRDefault="003E4C30" w14:paraId="57954059" w14:textId="77777777">
      <w:pPr>
        <w:spacing w:line="276" w:lineRule="auto"/>
        <w:rPr>
          <w:i/>
          <w:iCs/>
        </w:rPr>
      </w:pPr>
      <w:r w:rsidRPr="0078689A">
        <w:rPr>
          <w:i/>
          <w:iCs/>
        </w:rPr>
        <w:t xml:space="preserve">Tabel </w:t>
      </w:r>
      <w:r w:rsidRPr="0078689A" w:rsidR="0078689A">
        <w:rPr>
          <w:i/>
          <w:iCs/>
        </w:rPr>
        <w:t>10</w:t>
      </w:r>
      <w:r w:rsidRPr="0078689A">
        <w:rPr>
          <w:i/>
          <w:iCs/>
        </w:rPr>
        <w:t xml:space="preserve"> Verwacht aantal nalatenschappen dat door modernisering forfaits te maken krijgt met een hogere erfbelasting o.b.v. cijfers over 2021.</w:t>
      </w:r>
    </w:p>
    <w:tbl>
      <w:tblPr>
        <w:tblStyle w:val="Tabelraster"/>
        <w:tblW w:w="9254" w:type="dxa"/>
        <w:tblInd w:w="0" w:type="dxa"/>
        <w:tblLook w:val="04A0" w:firstRow="1" w:lastRow="0" w:firstColumn="1" w:lastColumn="0" w:noHBand="0" w:noVBand="1"/>
      </w:tblPr>
      <w:tblGrid>
        <w:gridCol w:w="7933"/>
        <w:gridCol w:w="1321"/>
      </w:tblGrid>
      <w:tr w:rsidRPr="008637BF" w:rsidR="003E4C30" w:rsidTr="00276928" w14:paraId="31974413" w14:textId="77777777">
        <w:trPr>
          <w:trHeight w:val="235"/>
        </w:trPr>
        <w:tc>
          <w:tcPr>
            <w:tcW w:w="7933" w:type="dxa"/>
          </w:tcPr>
          <w:p w:rsidRPr="008637BF" w:rsidR="003E4C30" w:rsidP="00276928" w:rsidRDefault="003E4C30" w14:paraId="13D28707" w14:textId="77777777">
            <w:pPr>
              <w:spacing w:line="276" w:lineRule="auto"/>
            </w:pPr>
            <w:r w:rsidRPr="008637BF">
              <w:t xml:space="preserve">Totaal aantal nalatenschappen </w:t>
            </w:r>
          </w:p>
        </w:tc>
        <w:tc>
          <w:tcPr>
            <w:tcW w:w="1321" w:type="dxa"/>
          </w:tcPr>
          <w:p w:rsidRPr="008637BF" w:rsidR="003E4C30" w:rsidP="00276928" w:rsidRDefault="003E4C30" w14:paraId="0E92D237" w14:textId="77777777">
            <w:pPr>
              <w:spacing w:line="276" w:lineRule="auto"/>
            </w:pPr>
            <w:r w:rsidRPr="008637BF">
              <w:t>171.000</w:t>
            </w:r>
          </w:p>
        </w:tc>
      </w:tr>
      <w:tr w:rsidRPr="008637BF" w:rsidR="003E4C30" w:rsidTr="00276928" w14:paraId="6D4BD433" w14:textId="77777777">
        <w:trPr>
          <w:trHeight w:val="254"/>
        </w:trPr>
        <w:tc>
          <w:tcPr>
            <w:tcW w:w="7933" w:type="dxa"/>
          </w:tcPr>
          <w:p w:rsidRPr="008637BF" w:rsidR="003E4C30" w:rsidP="00276928" w:rsidRDefault="003E4C30" w14:paraId="131B5A4E" w14:textId="77777777">
            <w:pPr>
              <w:spacing w:line="276" w:lineRule="auto"/>
            </w:pPr>
            <w:proofErr w:type="spellStart"/>
            <w:r w:rsidRPr="008637BF">
              <w:t>w.v</w:t>
            </w:r>
            <w:proofErr w:type="spellEnd"/>
            <w:r w:rsidRPr="008637BF">
              <w:t>. geen aangifte erfbelasting</w:t>
            </w:r>
          </w:p>
        </w:tc>
        <w:tc>
          <w:tcPr>
            <w:tcW w:w="1321" w:type="dxa"/>
          </w:tcPr>
          <w:p w:rsidRPr="008637BF" w:rsidR="003E4C30" w:rsidP="00276928" w:rsidRDefault="003E4C30" w14:paraId="1B642E2A" w14:textId="77777777">
            <w:pPr>
              <w:spacing w:line="276" w:lineRule="auto"/>
            </w:pPr>
            <w:r w:rsidRPr="008637BF">
              <w:t>95.200 (56%)</w:t>
            </w:r>
          </w:p>
        </w:tc>
      </w:tr>
      <w:tr w:rsidRPr="008637BF" w:rsidR="003E4C30" w:rsidTr="00276928" w14:paraId="4E07F82D" w14:textId="77777777">
        <w:trPr>
          <w:trHeight w:val="264"/>
        </w:trPr>
        <w:tc>
          <w:tcPr>
            <w:tcW w:w="7933" w:type="dxa"/>
          </w:tcPr>
          <w:p w:rsidRPr="008637BF" w:rsidR="003E4C30" w:rsidP="00276928" w:rsidRDefault="003E4C30" w14:paraId="1118ABA8" w14:textId="77777777">
            <w:pPr>
              <w:spacing w:line="276" w:lineRule="auto"/>
            </w:pPr>
            <w:proofErr w:type="spellStart"/>
            <w:r w:rsidRPr="008637BF">
              <w:t>w.v</w:t>
            </w:r>
            <w:proofErr w:type="spellEnd"/>
            <w:r w:rsidRPr="008637BF">
              <w:t>. wel aangifte erfbelasting</w:t>
            </w:r>
          </w:p>
        </w:tc>
        <w:tc>
          <w:tcPr>
            <w:tcW w:w="1321" w:type="dxa"/>
          </w:tcPr>
          <w:p w:rsidRPr="008637BF" w:rsidR="003E4C30" w:rsidP="00276928" w:rsidRDefault="003E4C30" w14:paraId="7A7DFAB5" w14:textId="77777777">
            <w:pPr>
              <w:spacing w:line="276" w:lineRule="auto"/>
            </w:pPr>
            <w:r w:rsidRPr="008637BF">
              <w:t>75.800 (44%)</w:t>
            </w:r>
          </w:p>
        </w:tc>
      </w:tr>
      <w:tr w:rsidRPr="008637BF" w:rsidR="003E4C30" w:rsidTr="00276928" w14:paraId="689631FE" w14:textId="77777777">
        <w:trPr>
          <w:trHeight w:val="254"/>
        </w:trPr>
        <w:tc>
          <w:tcPr>
            <w:tcW w:w="7933" w:type="dxa"/>
          </w:tcPr>
          <w:p w:rsidRPr="008637BF" w:rsidR="003E4C30" w:rsidP="00276928" w:rsidRDefault="003E4C30" w14:paraId="22C8AB18" w14:textId="77777777">
            <w:pPr>
              <w:spacing w:line="276" w:lineRule="auto"/>
            </w:pPr>
          </w:p>
        </w:tc>
        <w:tc>
          <w:tcPr>
            <w:tcW w:w="1321" w:type="dxa"/>
          </w:tcPr>
          <w:p w:rsidRPr="008637BF" w:rsidR="003E4C30" w:rsidP="00276928" w:rsidRDefault="003E4C30" w14:paraId="07587BE8" w14:textId="77777777">
            <w:pPr>
              <w:spacing w:line="276" w:lineRule="auto"/>
            </w:pPr>
          </w:p>
        </w:tc>
      </w:tr>
      <w:tr w:rsidRPr="008637BF" w:rsidR="003E4C30" w:rsidTr="00276928" w14:paraId="28008BCE" w14:textId="77777777">
        <w:trPr>
          <w:trHeight w:val="254"/>
        </w:trPr>
        <w:tc>
          <w:tcPr>
            <w:tcW w:w="7933" w:type="dxa"/>
          </w:tcPr>
          <w:p w:rsidRPr="008637BF" w:rsidR="003E4C30" w:rsidP="00276928" w:rsidRDefault="003E4C30" w14:paraId="6508DEBF" w14:textId="77777777">
            <w:pPr>
              <w:spacing w:line="276" w:lineRule="auto"/>
            </w:pPr>
            <w:r w:rsidRPr="008637BF">
              <w:t>Nalatenschappen waarvoor aangifte erfbelasting is gedaan</w:t>
            </w:r>
          </w:p>
        </w:tc>
        <w:tc>
          <w:tcPr>
            <w:tcW w:w="1321" w:type="dxa"/>
          </w:tcPr>
          <w:p w:rsidRPr="008637BF" w:rsidR="003E4C30" w:rsidP="00276928" w:rsidRDefault="003E4C30" w14:paraId="205640CC" w14:textId="77777777">
            <w:pPr>
              <w:spacing w:line="276" w:lineRule="auto"/>
            </w:pPr>
            <w:r w:rsidRPr="008637BF">
              <w:t>75.800</w:t>
            </w:r>
          </w:p>
        </w:tc>
      </w:tr>
      <w:tr w:rsidRPr="008637BF" w:rsidR="003E4C30" w:rsidTr="00276928" w14:paraId="3AED085C" w14:textId="77777777">
        <w:trPr>
          <w:trHeight w:val="254"/>
        </w:trPr>
        <w:tc>
          <w:tcPr>
            <w:tcW w:w="7933" w:type="dxa"/>
          </w:tcPr>
          <w:p w:rsidRPr="008637BF" w:rsidR="003E4C30" w:rsidP="00276928" w:rsidRDefault="003E4C30" w14:paraId="3800326E" w14:textId="77777777">
            <w:pPr>
              <w:spacing w:line="276" w:lineRule="auto"/>
            </w:pPr>
            <w:proofErr w:type="spellStart"/>
            <w:r w:rsidRPr="008637BF">
              <w:t>w.v</w:t>
            </w:r>
            <w:proofErr w:type="spellEnd"/>
            <w:r w:rsidRPr="008637BF">
              <w:t>. zonder achterlating van zowel partner als een of meerdere kinderen</w:t>
            </w:r>
          </w:p>
        </w:tc>
        <w:tc>
          <w:tcPr>
            <w:tcW w:w="1321" w:type="dxa"/>
          </w:tcPr>
          <w:p w:rsidRPr="008637BF" w:rsidR="003E4C30" w:rsidP="00276928" w:rsidRDefault="003E4C30" w14:paraId="7A9B8292" w14:textId="77777777">
            <w:pPr>
              <w:spacing w:line="276" w:lineRule="auto"/>
            </w:pPr>
            <w:r w:rsidRPr="008637BF">
              <w:t>48.600 (28%)</w:t>
            </w:r>
          </w:p>
        </w:tc>
      </w:tr>
      <w:tr w:rsidRPr="008637BF" w:rsidR="003E4C30" w:rsidTr="00276928" w14:paraId="4558AA9B" w14:textId="77777777">
        <w:trPr>
          <w:trHeight w:val="254"/>
        </w:trPr>
        <w:tc>
          <w:tcPr>
            <w:tcW w:w="7933" w:type="dxa"/>
          </w:tcPr>
          <w:p w:rsidRPr="008637BF" w:rsidR="003E4C30" w:rsidP="00276928" w:rsidRDefault="003E4C30" w14:paraId="32668BDD" w14:textId="77777777">
            <w:pPr>
              <w:spacing w:line="276" w:lineRule="auto"/>
            </w:pPr>
            <w:proofErr w:type="spellStart"/>
            <w:r w:rsidRPr="008637BF">
              <w:t>w.v</w:t>
            </w:r>
            <w:proofErr w:type="spellEnd"/>
            <w:r w:rsidRPr="008637BF">
              <w:t>. met achterlating van zowel partner als een of meerdere kinderen</w:t>
            </w:r>
          </w:p>
        </w:tc>
        <w:tc>
          <w:tcPr>
            <w:tcW w:w="1321" w:type="dxa"/>
          </w:tcPr>
          <w:p w:rsidRPr="008637BF" w:rsidR="003E4C30" w:rsidP="00276928" w:rsidRDefault="003E4C30" w14:paraId="231059FB" w14:textId="77777777">
            <w:pPr>
              <w:spacing w:line="276" w:lineRule="auto"/>
            </w:pPr>
            <w:r w:rsidRPr="008637BF">
              <w:t>27.200 (16%)</w:t>
            </w:r>
          </w:p>
        </w:tc>
      </w:tr>
      <w:tr w:rsidRPr="008637BF" w:rsidR="003E4C30" w:rsidTr="00276928" w14:paraId="424C2D5C" w14:textId="77777777">
        <w:trPr>
          <w:trHeight w:val="254"/>
        </w:trPr>
        <w:tc>
          <w:tcPr>
            <w:tcW w:w="7933" w:type="dxa"/>
          </w:tcPr>
          <w:p w:rsidRPr="008637BF" w:rsidR="003E4C30" w:rsidP="00276928" w:rsidRDefault="003E4C30" w14:paraId="7595CD87" w14:textId="77777777">
            <w:pPr>
              <w:spacing w:line="276" w:lineRule="auto"/>
            </w:pPr>
          </w:p>
        </w:tc>
        <w:tc>
          <w:tcPr>
            <w:tcW w:w="1321" w:type="dxa"/>
          </w:tcPr>
          <w:p w:rsidRPr="008637BF" w:rsidR="003E4C30" w:rsidP="00276928" w:rsidRDefault="003E4C30" w14:paraId="0EFAB05A" w14:textId="77777777">
            <w:pPr>
              <w:spacing w:line="276" w:lineRule="auto"/>
            </w:pPr>
          </w:p>
        </w:tc>
      </w:tr>
      <w:tr w:rsidRPr="008637BF" w:rsidR="003E4C30" w:rsidTr="00276928" w14:paraId="73876038" w14:textId="77777777">
        <w:trPr>
          <w:trHeight w:val="254"/>
        </w:trPr>
        <w:tc>
          <w:tcPr>
            <w:tcW w:w="7933" w:type="dxa"/>
          </w:tcPr>
          <w:p w:rsidRPr="008637BF" w:rsidR="003E4C30" w:rsidP="00276928" w:rsidRDefault="003E4C30" w14:paraId="7F74F2E4" w14:textId="77777777">
            <w:pPr>
              <w:spacing w:line="276" w:lineRule="auto"/>
            </w:pPr>
            <w:r w:rsidRPr="008637BF">
              <w:t>Nalatenschappen waarvoor aangifte erfbelasting is gedaan, met achterlating van zowel partner als een of meerdere kinderen</w:t>
            </w:r>
          </w:p>
        </w:tc>
        <w:tc>
          <w:tcPr>
            <w:tcW w:w="1321" w:type="dxa"/>
          </w:tcPr>
          <w:p w:rsidRPr="008637BF" w:rsidR="003E4C30" w:rsidP="00276928" w:rsidRDefault="003E4C30" w14:paraId="4497182D" w14:textId="77777777">
            <w:pPr>
              <w:spacing w:line="276" w:lineRule="auto"/>
            </w:pPr>
            <w:r w:rsidRPr="008637BF">
              <w:t>27.200</w:t>
            </w:r>
          </w:p>
        </w:tc>
      </w:tr>
      <w:tr w:rsidRPr="008637BF" w:rsidR="003E4C30" w:rsidTr="00276928" w14:paraId="67D257ED" w14:textId="77777777">
        <w:trPr>
          <w:trHeight w:val="254"/>
        </w:trPr>
        <w:tc>
          <w:tcPr>
            <w:tcW w:w="7933" w:type="dxa"/>
          </w:tcPr>
          <w:p w:rsidRPr="008637BF" w:rsidR="003E4C30" w:rsidP="00276928" w:rsidRDefault="003E4C30" w14:paraId="2B83376F" w14:textId="77777777">
            <w:pPr>
              <w:spacing w:line="276" w:lineRule="auto"/>
            </w:pPr>
            <w:proofErr w:type="spellStart"/>
            <w:r w:rsidRPr="008637BF">
              <w:t>w.v</w:t>
            </w:r>
            <w:proofErr w:type="spellEnd"/>
            <w:r w:rsidRPr="008637BF">
              <w:t xml:space="preserve">. nalatenschap is afgewikkeld met </w:t>
            </w:r>
            <w:proofErr w:type="spellStart"/>
            <w:r w:rsidRPr="008637BF">
              <w:t>onderbedelingsvordering</w:t>
            </w:r>
            <w:proofErr w:type="spellEnd"/>
          </w:p>
        </w:tc>
        <w:tc>
          <w:tcPr>
            <w:tcW w:w="1321" w:type="dxa"/>
          </w:tcPr>
          <w:p w:rsidRPr="008637BF" w:rsidR="003E4C30" w:rsidP="00276928" w:rsidRDefault="003E4C30" w14:paraId="63F27729" w14:textId="77777777">
            <w:pPr>
              <w:spacing w:line="276" w:lineRule="auto"/>
            </w:pPr>
            <w:r w:rsidRPr="008637BF">
              <w:t>23.500 (14%)</w:t>
            </w:r>
          </w:p>
        </w:tc>
      </w:tr>
      <w:tr w:rsidRPr="008637BF" w:rsidR="003E4C30" w:rsidTr="00276928" w14:paraId="1CE31EE4" w14:textId="77777777">
        <w:trPr>
          <w:trHeight w:val="254"/>
        </w:trPr>
        <w:tc>
          <w:tcPr>
            <w:tcW w:w="7933" w:type="dxa"/>
          </w:tcPr>
          <w:p w:rsidRPr="008637BF" w:rsidR="003E4C30" w:rsidP="00276928" w:rsidRDefault="003E4C30" w14:paraId="0B841EDB" w14:textId="77777777">
            <w:pPr>
              <w:spacing w:line="276" w:lineRule="auto"/>
            </w:pPr>
            <w:proofErr w:type="spellStart"/>
            <w:r w:rsidRPr="008637BF">
              <w:t>w.v</w:t>
            </w:r>
            <w:proofErr w:type="spellEnd"/>
            <w:r w:rsidRPr="008637BF">
              <w:t xml:space="preserve">. nalatenschap is op andere wijze afgewikkeld </w:t>
            </w:r>
          </w:p>
        </w:tc>
        <w:tc>
          <w:tcPr>
            <w:tcW w:w="1321" w:type="dxa"/>
          </w:tcPr>
          <w:p w:rsidRPr="008637BF" w:rsidR="003E4C30" w:rsidP="00276928" w:rsidRDefault="003E4C30" w14:paraId="66A05F6B" w14:textId="77777777">
            <w:pPr>
              <w:spacing w:line="276" w:lineRule="auto"/>
            </w:pPr>
            <w:r w:rsidRPr="008637BF">
              <w:t xml:space="preserve">3.700 </w:t>
            </w:r>
          </w:p>
          <w:p w:rsidRPr="008637BF" w:rsidR="003E4C30" w:rsidP="00276928" w:rsidRDefault="003E4C30" w14:paraId="31797DFD" w14:textId="77777777">
            <w:pPr>
              <w:spacing w:line="276" w:lineRule="auto"/>
            </w:pPr>
            <w:r w:rsidRPr="008637BF">
              <w:t>(2%)</w:t>
            </w:r>
          </w:p>
        </w:tc>
      </w:tr>
      <w:tr w:rsidRPr="008637BF" w:rsidR="003E4C30" w:rsidTr="00276928" w14:paraId="61AD25D6" w14:textId="77777777">
        <w:trPr>
          <w:trHeight w:val="254"/>
        </w:trPr>
        <w:tc>
          <w:tcPr>
            <w:tcW w:w="7933" w:type="dxa"/>
          </w:tcPr>
          <w:p w:rsidRPr="008637BF" w:rsidR="003E4C30" w:rsidP="00276928" w:rsidRDefault="003E4C30" w14:paraId="5024CB59" w14:textId="77777777">
            <w:pPr>
              <w:spacing w:line="276" w:lineRule="auto"/>
            </w:pPr>
          </w:p>
        </w:tc>
        <w:tc>
          <w:tcPr>
            <w:tcW w:w="1321" w:type="dxa"/>
          </w:tcPr>
          <w:p w:rsidRPr="008637BF" w:rsidR="003E4C30" w:rsidP="00276928" w:rsidRDefault="003E4C30" w14:paraId="2E99E9DA" w14:textId="77777777">
            <w:pPr>
              <w:spacing w:line="276" w:lineRule="auto"/>
            </w:pPr>
          </w:p>
        </w:tc>
      </w:tr>
      <w:tr w:rsidRPr="008637BF" w:rsidR="003E4C30" w:rsidTr="00276928" w14:paraId="601F8A6B" w14:textId="77777777">
        <w:trPr>
          <w:trHeight w:val="254"/>
        </w:trPr>
        <w:tc>
          <w:tcPr>
            <w:tcW w:w="7933" w:type="dxa"/>
          </w:tcPr>
          <w:p w:rsidRPr="008637BF" w:rsidR="003E4C30" w:rsidP="00276928" w:rsidRDefault="003E4C30" w14:paraId="4A91742F" w14:textId="77777777">
            <w:pPr>
              <w:spacing w:line="276" w:lineRule="auto"/>
            </w:pPr>
            <w:r w:rsidRPr="008637BF">
              <w:t xml:space="preserve">Nalatenschappen waarvoor aangifte erfbelasting is gedaan, en waarbij de nalatenschap is afgewikkeld met een </w:t>
            </w:r>
            <w:proofErr w:type="spellStart"/>
            <w:r w:rsidRPr="008637BF">
              <w:t>onderbedelingsvordering</w:t>
            </w:r>
            <w:proofErr w:type="spellEnd"/>
          </w:p>
        </w:tc>
        <w:tc>
          <w:tcPr>
            <w:tcW w:w="1321" w:type="dxa"/>
          </w:tcPr>
          <w:p w:rsidRPr="008637BF" w:rsidR="003E4C30" w:rsidP="00276928" w:rsidRDefault="003E4C30" w14:paraId="49230910" w14:textId="77777777">
            <w:pPr>
              <w:spacing w:line="276" w:lineRule="auto"/>
            </w:pPr>
            <w:r w:rsidRPr="008637BF">
              <w:t>23.500</w:t>
            </w:r>
          </w:p>
        </w:tc>
      </w:tr>
      <w:tr w:rsidRPr="008637BF" w:rsidR="003E4C30" w:rsidTr="00276928" w14:paraId="572F9386" w14:textId="77777777">
        <w:trPr>
          <w:trHeight w:val="254"/>
        </w:trPr>
        <w:tc>
          <w:tcPr>
            <w:tcW w:w="7933" w:type="dxa"/>
          </w:tcPr>
          <w:p w:rsidRPr="008637BF" w:rsidR="003E4C30" w:rsidP="00276928" w:rsidRDefault="003E4C30" w14:paraId="350E2262" w14:textId="77777777">
            <w:pPr>
              <w:spacing w:line="276" w:lineRule="auto"/>
            </w:pPr>
            <w:proofErr w:type="spellStart"/>
            <w:r w:rsidRPr="008637BF">
              <w:t>w.v</w:t>
            </w:r>
            <w:proofErr w:type="spellEnd"/>
            <w:r w:rsidRPr="008637BF">
              <w:t xml:space="preserve">. stijging erfbelasting bij ofwel het eerste dan wel het tweede overlijden </w:t>
            </w:r>
          </w:p>
        </w:tc>
        <w:tc>
          <w:tcPr>
            <w:tcW w:w="1321" w:type="dxa"/>
          </w:tcPr>
          <w:p w:rsidRPr="008637BF" w:rsidR="003E4C30" w:rsidP="00276928" w:rsidRDefault="003E4C30" w14:paraId="7A49D893" w14:textId="77777777">
            <w:pPr>
              <w:spacing w:line="276" w:lineRule="auto"/>
            </w:pPr>
            <w:r w:rsidRPr="008637BF">
              <w:t>18.300</w:t>
            </w:r>
          </w:p>
          <w:p w:rsidRPr="008637BF" w:rsidR="003E4C30" w:rsidP="00276928" w:rsidRDefault="003E4C30" w14:paraId="7E066A79" w14:textId="77777777">
            <w:pPr>
              <w:spacing w:line="276" w:lineRule="auto"/>
            </w:pPr>
            <w:r w:rsidRPr="008637BF">
              <w:t>(11%)</w:t>
            </w:r>
          </w:p>
        </w:tc>
      </w:tr>
    </w:tbl>
    <w:p w:rsidRPr="008637BF" w:rsidR="003E4C30" w:rsidP="003E4C30" w:rsidRDefault="003E4C30" w14:paraId="573B675A" w14:textId="77777777">
      <w:pPr>
        <w:spacing w:line="276" w:lineRule="auto"/>
        <w:rPr>
          <w:i/>
          <w:iCs/>
        </w:rPr>
      </w:pPr>
      <w:r w:rsidRPr="008637BF">
        <w:rPr>
          <w:i/>
          <w:iCs/>
        </w:rPr>
        <w:t xml:space="preserve">De cijfers zijn uitgedrukt als percentages van het totaal aantal nalatenschappen. </w:t>
      </w:r>
    </w:p>
    <w:p w:rsidRPr="003E4C30" w:rsidR="00A55189" w:rsidRDefault="00A55189" w14:paraId="1CF8C236" w14:textId="77777777">
      <w:pPr>
        <w:spacing w:line="240" w:lineRule="auto"/>
        <w:rPr>
          <w:rFonts w:asciiTheme="minorHAnsi" w:hAnsiTheme="minorHAnsi" w:eastAsiaTheme="minorHAnsi" w:cstheme="minorBidi"/>
          <w:color w:val="auto"/>
          <w:kern w:val="2"/>
          <w:sz w:val="22"/>
          <w:szCs w:val="22"/>
          <w:lang w:eastAsia="en-US"/>
          <w14:ligatures w14:val="standardContextual"/>
        </w:rPr>
      </w:pPr>
    </w:p>
    <w:p w:rsidRPr="0075412A" w:rsidR="00D7204D" w:rsidP="00D7204D" w:rsidRDefault="00D7204D" w14:paraId="0E3F5548" w14:textId="77777777">
      <w:pPr>
        <w:pStyle w:val="Lijstalinea"/>
        <w:numPr>
          <w:ilvl w:val="1"/>
          <w:numId w:val="6"/>
        </w:numPr>
        <w:jc w:val="both"/>
        <w:rPr>
          <w:b/>
          <w:bCs/>
        </w:rPr>
      </w:pPr>
      <w:r w:rsidRPr="0075412A">
        <w:rPr>
          <w:b/>
          <w:bCs/>
        </w:rPr>
        <w:t>Budgettaire effecten op macroniveau</w:t>
      </w:r>
    </w:p>
    <w:p w:rsidR="00D7204D" w:rsidP="00D7204D" w:rsidRDefault="00D7204D" w14:paraId="2EB75F75" w14:textId="77777777">
      <w:pPr>
        <w:contextualSpacing/>
        <w:jc w:val="both"/>
      </w:pPr>
      <w:r>
        <w:t xml:space="preserve">Tabel </w:t>
      </w:r>
      <w:r w:rsidR="003E4C30">
        <w:t>1</w:t>
      </w:r>
      <w:r w:rsidR="0078689A">
        <w:t>1</w:t>
      </w:r>
      <w:r>
        <w:t xml:space="preserve"> toont de effecten van modernisering van de forfaits op de totale inkomsten erfbelasting. In de raming is uitgegaan van modernisering van de forfaits per 1-1-2028 en is gerekend met een geraamde gemoderniseerde rekenrente van 3%</w:t>
      </w:r>
      <w:r>
        <w:rPr>
          <w:rStyle w:val="Voetnootmarkering"/>
        </w:rPr>
        <w:footnoteReference w:id="13"/>
      </w:r>
      <w:r>
        <w:t xml:space="preserve">. </w:t>
      </w:r>
      <w:r w:rsidRPr="006C29AA">
        <w:t>In de</w:t>
      </w:r>
      <w:r>
        <w:t xml:space="preserve"> doorrekeningen </w:t>
      </w:r>
      <w:r w:rsidRPr="006C29AA">
        <w:t>is verondersteld dat het vermogen van de langstlevende partner vanaf het eerste overlijden tot het tweede overlijden</w:t>
      </w:r>
      <w:r>
        <w:t>, na aftrek van de erfbelasting van de kinderen die de langstlevende partner voldoet,</w:t>
      </w:r>
      <w:r w:rsidRPr="006C29AA">
        <w:t xml:space="preserve"> </w:t>
      </w:r>
      <w:r>
        <w:t xml:space="preserve">constant blijft. Dit is een neutrale aanname, omdat het vermogen kan aangroeien door waardestijgingen en rendementen, maar het vermogen kan ook afnemen doordat </w:t>
      </w:r>
      <w:proofErr w:type="gramStart"/>
      <w:r>
        <w:t>er op</w:t>
      </w:r>
      <w:proofErr w:type="gramEnd"/>
      <w:r>
        <w:t xml:space="preserve"> wordt ingeteerd. </w:t>
      </w:r>
    </w:p>
    <w:p w:rsidR="00D7204D" w:rsidP="00D7204D" w:rsidRDefault="00D7204D" w14:paraId="4BD5DD1A" w14:textId="77777777">
      <w:pPr>
        <w:contextualSpacing/>
        <w:jc w:val="both"/>
      </w:pPr>
    </w:p>
    <w:p w:rsidR="00D7204D" w:rsidP="00D7204D" w:rsidRDefault="00D7204D" w14:paraId="669000DD" w14:textId="77777777">
      <w:pPr>
        <w:contextualSpacing/>
        <w:jc w:val="both"/>
      </w:pPr>
      <w:r>
        <w:t xml:space="preserve">In de raming is verder rekening gehouden met een gedragseffect. Zoals hierboven toegelicht, wordt verondersteld dat men een bovenmatige rente zal vermijden en bij de keuze voor een rentedragende </w:t>
      </w:r>
      <w:proofErr w:type="spellStart"/>
      <w:r>
        <w:t>onderbedelingsvordering</w:t>
      </w:r>
      <w:proofErr w:type="spellEnd"/>
      <w:r>
        <w:t xml:space="preserve"> de (testamentaire of afgesproken) rente gelijk zal stellen aan de gemoderniseerde (lagere) rekenrente. De budgettaire opbrengst bij renteloze </w:t>
      </w:r>
      <w:proofErr w:type="spellStart"/>
      <w:r>
        <w:t>onderbedelingsvorderingen</w:t>
      </w:r>
      <w:proofErr w:type="spellEnd"/>
      <w:r>
        <w:t xml:space="preserve"> bedraagt € 20 miljoen structureel en doet zich voor vanaf 2028. Deze opbrengst komt door een hogere belastingdruk voor de ervende kinderen bij het eerste overlijden (zie tabel </w:t>
      </w:r>
      <w:r w:rsidR="0078689A">
        <w:t>5</w:t>
      </w:r>
      <w:r>
        <w:t xml:space="preserve">). </w:t>
      </w:r>
    </w:p>
    <w:p w:rsidR="00D7204D" w:rsidP="00D7204D" w:rsidRDefault="00D7204D" w14:paraId="3D7E16FF" w14:textId="77777777">
      <w:pPr>
        <w:contextualSpacing/>
        <w:jc w:val="both"/>
      </w:pPr>
    </w:p>
    <w:p w:rsidR="005A3C2A" w:rsidP="005A3C2A" w:rsidRDefault="00D7204D" w14:paraId="29450004" w14:textId="77777777">
      <w:pPr>
        <w:contextualSpacing/>
        <w:jc w:val="both"/>
      </w:pPr>
      <w:r>
        <w:lastRenderedPageBreak/>
        <w:t xml:space="preserve">De budgettaire opbrengst bij rentedragende </w:t>
      </w:r>
      <w:proofErr w:type="spellStart"/>
      <w:r>
        <w:t>onderbedelingsvorderingen</w:t>
      </w:r>
      <w:proofErr w:type="spellEnd"/>
      <w:r>
        <w:t xml:space="preserve"> kent een ingroei, omdat het budgettaire effect pas optreedt bij het overlijden van de langstlevende partner. Bovendien wordt uitgegaan van overgangsrecht </w:t>
      </w:r>
      <w:proofErr w:type="gramStart"/>
      <w:r>
        <w:t>voor  reeds</w:t>
      </w:r>
      <w:proofErr w:type="gramEnd"/>
      <w:r>
        <w:t xml:space="preserve"> opengevallen nalatenschappen (eerste overlijden) waar nog gerekend mag worden met de huidige rekenrente van 6%. Tien jaar na het beoogde moderniseringsmoment van 1-1-2028 bedraagt de totale budgettaire opbrengst bij de </w:t>
      </w:r>
      <w:proofErr w:type="spellStart"/>
      <w:r>
        <w:t>onderbedelingsvorderingen</w:t>
      </w:r>
      <w:proofErr w:type="spellEnd"/>
      <w:r>
        <w:t xml:space="preserve"> € </w:t>
      </w:r>
      <w:r w:rsidR="0078689A">
        <w:t>73</w:t>
      </w:r>
      <w:r>
        <w:t xml:space="preserve"> miljoen per jaar. De structurele opbrengst van € 15</w:t>
      </w:r>
      <w:r w:rsidR="0078689A">
        <w:t>3</w:t>
      </w:r>
      <w:r>
        <w:t xml:space="preserve"> miljoen per </w:t>
      </w:r>
      <w:proofErr w:type="gramStart"/>
      <w:r>
        <w:t>jaar  wordt</w:t>
      </w:r>
      <w:proofErr w:type="gramEnd"/>
      <w:r>
        <w:t xml:space="preserve"> in 206</w:t>
      </w:r>
      <w:r w:rsidR="00DA26B5">
        <w:t>7</w:t>
      </w:r>
      <w:r>
        <w:t xml:space="preserve"> bereikt. </w:t>
      </w:r>
      <w:r w:rsidRPr="0078689A" w:rsidR="0078689A">
        <w:t xml:space="preserve">Het lastenrelevante effect </w:t>
      </w:r>
      <w:r w:rsidR="0078689A">
        <w:t xml:space="preserve">in tabel 11 </w:t>
      </w:r>
      <w:r w:rsidRPr="0078689A" w:rsidR="0078689A">
        <w:t>is de vlakke reeks met dezelfde netto-contante-waarde</w:t>
      </w:r>
      <w:r w:rsidR="0078689A">
        <w:t>.</w:t>
      </w:r>
    </w:p>
    <w:p w:rsidR="005A3C2A" w:rsidP="005A3C2A" w:rsidRDefault="005A3C2A" w14:paraId="571E68F3" w14:textId="77777777">
      <w:pPr>
        <w:contextualSpacing/>
        <w:jc w:val="both"/>
      </w:pPr>
    </w:p>
    <w:p w:rsidRPr="00D43DBA" w:rsidR="00D7204D" w:rsidP="0078689A" w:rsidRDefault="00D7204D" w14:paraId="44AD27C4" w14:textId="77777777">
      <w:pPr>
        <w:contextualSpacing/>
        <w:jc w:val="both"/>
        <w:rPr>
          <w:rFonts w:eastAsia="Verdana" w:cs="Times New Roman"/>
          <w:bCs/>
          <w:color w:val="4F81BD"/>
        </w:rPr>
      </w:pPr>
      <w:r>
        <w:t xml:space="preserve">Tabel </w:t>
      </w:r>
      <w:proofErr w:type="gramStart"/>
      <w:r w:rsidR="003E4C30">
        <w:t>10</w:t>
      </w:r>
      <w:r>
        <w:t xml:space="preserve">  </w:t>
      </w:r>
      <w:r w:rsidRPr="00C82CDF" w:rsidR="0078689A">
        <w:t>budgettair</w:t>
      </w:r>
      <w:proofErr w:type="gramEnd"/>
      <w:r w:rsidRPr="00C82CDF" w:rsidR="0078689A">
        <w:t xml:space="preserve"> effect (transactiebasis, </w:t>
      </w:r>
      <w:proofErr w:type="spellStart"/>
      <w:r w:rsidRPr="00C82CDF" w:rsidR="0078689A">
        <w:t>mln</w:t>
      </w:r>
      <w:proofErr w:type="spellEnd"/>
      <w:r w:rsidRPr="00C82CDF" w:rsidR="0078689A">
        <w:t xml:space="preserve"> euro, + is </w:t>
      </w:r>
      <w:proofErr w:type="spellStart"/>
      <w:r w:rsidRPr="00C82CDF" w:rsidR="0078689A">
        <w:t>saldoverbeterend</w:t>
      </w:r>
      <w:proofErr w:type="spellEnd"/>
      <w:r w:rsidRPr="00C82CDF" w:rsidR="0078689A">
        <w:t>)</w:t>
      </w:r>
    </w:p>
    <w:tbl>
      <w:tblPr>
        <w:tblStyle w:val="Lichtelijst-accent111"/>
        <w:tblW w:w="9052" w:type="dxa"/>
        <w:tblInd w:w="-10" w:type="dxa"/>
        <w:tblLook w:val="04A0" w:firstRow="1" w:lastRow="0" w:firstColumn="1" w:lastColumn="0" w:noHBand="0" w:noVBand="1"/>
      </w:tblPr>
      <w:tblGrid>
        <w:gridCol w:w="3392"/>
        <w:gridCol w:w="912"/>
        <w:gridCol w:w="790"/>
        <w:gridCol w:w="790"/>
        <w:gridCol w:w="790"/>
        <w:gridCol w:w="790"/>
        <w:gridCol w:w="821"/>
        <w:gridCol w:w="767"/>
      </w:tblGrid>
      <w:tr w:rsidRPr="000775BD" w:rsidR="000775BD" w:rsidTr="000775BD" w14:paraId="6F6ACAC0"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D7204D" w:rsidP="0038771B" w:rsidRDefault="00D7204D" w14:paraId="41DB5CD9" w14:textId="77777777">
            <w:pPr>
              <w:adjustRightInd w:val="0"/>
              <w:contextualSpacing/>
              <w:jc w:val="center"/>
              <w:rPr>
                <w:rFonts w:asciiTheme="minorHAnsi" w:hAnsiTheme="minorHAnsi" w:cstheme="minorHAnsi"/>
                <w:noProof/>
              </w:rPr>
            </w:pPr>
          </w:p>
        </w:tc>
        <w:tc>
          <w:tcPr>
            <w:tcW w:w="912" w:type="dxa"/>
            <w:hideMark/>
          </w:tcPr>
          <w:p w:rsidRPr="000775BD" w:rsidR="00D7204D" w:rsidP="0038771B" w:rsidRDefault="00D7204D" w14:paraId="1785D816"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2027</w:t>
            </w:r>
          </w:p>
        </w:tc>
        <w:tc>
          <w:tcPr>
            <w:tcW w:w="790" w:type="dxa"/>
            <w:hideMark/>
          </w:tcPr>
          <w:p w:rsidRPr="000775BD" w:rsidR="00D7204D" w:rsidP="0038771B" w:rsidRDefault="00D7204D" w14:paraId="04BF8303"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2028</w:t>
            </w:r>
          </w:p>
        </w:tc>
        <w:tc>
          <w:tcPr>
            <w:tcW w:w="790" w:type="dxa"/>
            <w:hideMark/>
          </w:tcPr>
          <w:p w:rsidRPr="000775BD" w:rsidR="00D7204D" w:rsidP="0038771B" w:rsidRDefault="00D7204D" w14:paraId="4211B459"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2029</w:t>
            </w:r>
          </w:p>
        </w:tc>
        <w:tc>
          <w:tcPr>
            <w:tcW w:w="790" w:type="dxa"/>
            <w:hideMark/>
          </w:tcPr>
          <w:p w:rsidRPr="000775BD" w:rsidR="00D7204D" w:rsidP="0038771B" w:rsidRDefault="00D7204D" w14:paraId="3C40A541"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2030</w:t>
            </w:r>
          </w:p>
        </w:tc>
        <w:tc>
          <w:tcPr>
            <w:tcW w:w="790" w:type="dxa"/>
          </w:tcPr>
          <w:p w:rsidRPr="000775BD" w:rsidR="00D7204D" w:rsidP="0038771B" w:rsidRDefault="00D7204D" w14:paraId="1710902C"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2031</w:t>
            </w:r>
          </w:p>
        </w:tc>
        <w:tc>
          <w:tcPr>
            <w:tcW w:w="821" w:type="dxa"/>
            <w:hideMark/>
          </w:tcPr>
          <w:p w:rsidRPr="000775BD" w:rsidR="00D7204D" w:rsidP="0038771B" w:rsidRDefault="00D7204D" w14:paraId="7177AE7D"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Struc.</w:t>
            </w:r>
          </w:p>
        </w:tc>
        <w:tc>
          <w:tcPr>
            <w:tcW w:w="767" w:type="dxa"/>
          </w:tcPr>
          <w:p w:rsidRPr="000775BD" w:rsidR="00D7204D" w:rsidP="0038771B" w:rsidRDefault="00D7204D" w14:paraId="176DEEB1"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Struc. in</w:t>
            </w:r>
          </w:p>
        </w:tc>
      </w:tr>
      <w:tr w:rsidRPr="00D43DBA" w:rsidR="00D7204D" w:rsidTr="000775BD" w14:paraId="0F65EB31"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00D7204D" w:rsidP="0038771B" w:rsidRDefault="00D7204D" w14:paraId="6EF10868"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D43DBA" w:rsidR="00D7204D" w:rsidP="0038771B" w:rsidRDefault="00D7204D" w14:paraId="2FDC63E9" w14:textId="77777777">
            <w:pPr>
              <w:contextualSpacing/>
              <w:rPr>
                <w:rFonts w:asciiTheme="minorHAnsi" w:hAnsiTheme="minorHAnsi" w:cstheme="minorHAnsi"/>
                <w:b w:val="0"/>
                <w:bCs w:val="0"/>
              </w:rPr>
            </w:pPr>
            <w:proofErr w:type="gramStart"/>
            <w:r w:rsidRPr="00D43DBA">
              <w:rPr>
                <w:rFonts w:asciiTheme="minorHAnsi" w:hAnsiTheme="minorHAnsi" w:cstheme="minorHAnsi"/>
                <w:b w:val="0"/>
                <w:bCs w:val="0"/>
              </w:rPr>
              <w:t>vorderingen</w:t>
            </w:r>
            <w:proofErr w:type="gramEnd"/>
          </w:p>
        </w:tc>
        <w:tc>
          <w:tcPr>
            <w:tcW w:w="912" w:type="dxa"/>
            <w:vAlign w:val="center"/>
          </w:tcPr>
          <w:p w:rsidRPr="0006063E" w:rsidR="00D7204D" w:rsidP="0038771B" w:rsidRDefault="00D7204D" w14:paraId="34F1AB4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D7204D" w:rsidP="0038771B" w:rsidRDefault="00D7204D" w14:paraId="364571A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2125F4D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482F193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51E78B3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821" w:type="dxa"/>
            <w:vAlign w:val="center"/>
          </w:tcPr>
          <w:p w:rsidRPr="00D43DBA" w:rsidR="00D7204D" w:rsidP="0038771B" w:rsidRDefault="00D7204D" w14:paraId="3AD5230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67" w:type="dxa"/>
            <w:vAlign w:val="center"/>
          </w:tcPr>
          <w:p w:rsidRPr="00D43DBA" w:rsidR="00D7204D" w:rsidP="0038771B" w:rsidRDefault="00D7204D" w14:paraId="1DACF5FF"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2028</w:t>
            </w:r>
          </w:p>
        </w:tc>
      </w:tr>
      <w:tr w:rsidRPr="00D43DBA" w:rsidR="00D7204D" w:rsidTr="000775BD" w14:paraId="3F562650"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D7204D" w:rsidP="0078689A" w:rsidRDefault="00D7204D" w14:paraId="53FC6914"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12" w:type="dxa"/>
            <w:vAlign w:val="center"/>
          </w:tcPr>
          <w:p w:rsidRPr="0006063E" w:rsidR="00D7204D" w:rsidP="0038771B" w:rsidRDefault="00D7204D" w14:paraId="1557F989"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D7204D" w:rsidP="0038771B" w:rsidRDefault="00D7204D" w14:paraId="6B0CCB5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790" w:type="dxa"/>
            <w:vAlign w:val="center"/>
          </w:tcPr>
          <w:p w:rsidRPr="0006063E" w:rsidR="00D7204D" w:rsidP="0038771B" w:rsidRDefault="00D7204D" w14:paraId="64E2C3B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790" w:type="dxa"/>
            <w:vAlign w:val="center"/>
          </w:tcPr>
          <w:p w:rsidRPr="0006063E" w:rsidR="00D7204D" w:rsidP="0038771B" w:rsidRDefault="00D7204D" w14:paraId="6A7C2DC2"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790" w:type="dxa"/>
            <w:vAlign w:val="center"/>
          </w:tcPr>
          <w:p w:rsidRPr="0006063E" w:rsidR="00D7204D" w:rsidP="0038771B" w:rsidRDefault="00D7204D" w14:paraId="38F44E3C"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w:t>
            </w:r>
          </w:p>
        </w:tc>
        <w:tc>
          <w:tcPr>
            <w:tcW w:w="821" w:type="dxa"/>
            <w:vAlign w:val="center"/>
          </w:tcPr>
          <w:p w:rsidRPr="00D43DBA" w:rsidR="00D7204D" w:rsidP="0038771B" w:rsidRDefault="00D7204D" w14:paraId="0F6A16B6"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133</w:t>
            </w:r>
          </w:p>
        </w:tc>
        <w:tc>
          <w:tcPr>
            <w:tcW w:w="767" w:type="dxa"/>
            <w:vAlign w:val="center"/>
          </w:tcPr>
          <w:p w:rsidRPr="00D43DBA" w:rsidR="00D7204D" w:rsidP="0038771B" w:rsidRDefault="00D7204D" w14:paraId="73F5FF75"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206</w:t>
            </w:r>
            <w:r w:rsidR="00DA26B5">
              <w:rPr>
                <w:rFonts w:asciiTheme="minorHAnsi" w:hAnsiTheme="minorHAnsi" w:cstheme="minorHAnsi"/>
                <w:bCs/>
                <w:noProof/>
              </w:rPr>
              <w:t>7</w:t>
            </w:r>
          </w:p>
        </w:tc>
      </w:tr>
      <w:tr w:rsidRPr="00D43DBA" w:rsidR="00D7204D" w:rsidTr="000775BD" w14:paraId="40899791"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D7204D" w:rsidP="0078689A" w:rsidRDefault="00D7204D" w14:paraId="670899CF"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Totaal </w:t>
            </w:r>
            <w:proofErr w:type="spellStart"/>
            <w:r w:rsidRPr="00D43DBA">
              <w:rPr>
                <w:rFonts w:asciiTheme="minorHAnsi" w:hAnsiTheme="minorHAnsi" w:cstheme="minorHAnsi"/>
                <w:b w:val="0"/>
                <w:bCs w:val="0"/>
              </w:rPr>
              <w:t>onderbedelingsvorderingen</w:t>
            </w:r>
            <w:proofErr w:type="spellEnd"/>
          </w:p>
        </w:tc>
        <w:tc>
          <w:tcPr>
            <w:tcW w:w="912" w:type="dxa"/>
            <w:vAlign w:val="center"/>
          </w:tcPr>
          <w:p w:rsidRPr="0006063E" w:rsidR="00D7204D" w:rsidP="0038771B" w:rsidRDefault="00D7204D" w14:paraId="500196BB"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D7204D" w:rsidP="0038771B" w:rsidRDefault="00D7204D" w14:paraId="6800596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70738E1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1C1F5DAE"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D7204D" w:rsidP="0038771B" w:rsidRDefault="00D7204D" w14:paraId="7A5994C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22</w:t>
            </w:r>
          </w:p>
        </w:tc>
        <w:tc>
          <w:tcPr>
            <w:tcW w:w="821" w:type="dxa"/>
            <w:vAlign w:val="center"/>
          </w:tcPr>
          <w:p w:rsidRPr="00D43DBA" w:rsidR="00D7204D" w:rsidP="0038771B" w:rsidRDefault="00D7204D" w14:paraId="59AD9BD0"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153</w:t>
            </w:r>
          </w:p>
        </w:tc>
        <w:tc>
          <w:tcPr>
            <w:tcW w:w="767" w:type="dxa"/>
            <w:vAlign w:val="center"/>
          </w:tcPr>
          <w:p w:rsidRPr="00D43DBA" w:rsidR="00D7204D" w:rsidP="0038771B" w:rsidRDefault="00D7204D" w14:paraId="743F6EC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206</w:t>
            </w:r>
            <w:r w:rsidR="00DA26B5">
              <w:rPr>
                <w:rFonts w:asciiTheme="minorHAnsi" w:hAnsiTheme="minorHAnsi" w:cstheme="minorHAnsi"/>
                <w:bCs/>
                <w:noProof/>
              </w:rPr>
              <w:t>7</w:t>
            </w:r>
          </w:p>
        </w:tc>
      </w:tr>
    </w:tbl>
    <w:p w:rsidR="00D7204D" w:rsidP="00D7204D" w:rsidRDefault="00D7204D" w14:paraId="79887668" w14:textId="77777777">
      <w:pPr>
        <w:contextualSpacing/>
      </w:pPr>
    </w:p>
    <w:p w:rsidRPr="00D43DBA" w:rsidR="0078689A" w:rsidP="0078689A" w:rsidRDefault="0078689A" w14:paraId="033360BB" w14:textId="77777777">
      <w:pPr>
        <w:contextualSpacing/>
        <w:jc w:val="both"/>
        <w:rPr>
          <w:rFonts w:eastAsia="Verdana" w:cs="Times New Roman"/>
          <w:bCs/>
          <w:color w:val="4F81BD"/>
        </w:rPr>
      </w:pPr>
      <w:r>
        <w:t xml:space="preserve">Tabel </w:t>
      </w:r>
      <w:proofErr w:type="gramStart"/>
      <w:r>
        <w:t>11  lastenrelevant</w:t>
      </w:r>
      <w:proofErr w:type="gramEnd"/>
      <w:r>
        <w:t xml:space="preserve"> effect</w:t>
      </w:r>
      <w:r w:rsidRPr="00C82CDF">
        <w:t xml:space="preserve"> (</w:t>
      </w:r>
      <w:proofErr w:type="spellStart"/>
      <w:r w:rsidRPr="00C82CDF">
        <w:t>mln</w:t>
      </w:r>
      <w:proofErr w:type="spellEnd"/>
      <w:r w:rsidRPr="00C82CDF">
        <w:t xml:space="preserve"> euro, + is </w:t>
      </w:r>
      <w:proofErr w:type="spellStart"/>
      <w:r w:rsidRPr="00C82CDF">
        <w:t>saldoverbeterend</w:t>
      </w:r>
      <w:proofErr w:type="spellEnd"/>
      <w:r w:rsidRPr="00C82CDF">
        <w:t>)</w:t>
      </w:r>
    </w:p>
    <w:tbl>
      <w:tblPr>
        <w:tblStyle w:val="Lichtelijst-accent111"/>
        <w:tblW w:w="9052" w:type="dxa"/>
        <w:tblInd w:w="-10" w:type="dxa"/>
        <w:tblLook w:val="04A0" w:firstRow="1" w:lastRow="0" w:firstColumn="1" w:lastColumn="0" w:noHBand="0" w:noVBand="1"/>
      </w:tblPr>
      <w:tblGrid>
        <w:gridCol w:w="3392"/>
        <w:gridCol w:w="912"/>
        <w:gridCol w:w="790"/>
        <w:gridCol w:w="790"/>
        <w:gridCol w:w="790"/>
        <w:gridCol w:w="790"/>
        <w:gridCol w:w="821"/>
        <w:gridCol w:w="767"/>
      </w:tblGrid>
      <w:tr w:rsidRPr="000775BD" w:rsidR="0078689A" w:rsidTr="003664F0" w14:paraId="317C2BF7"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78689A" w:rsidP="003664F0" w:rsidRDefault="0078689A" w14:paraId="65129D9A" w14:textId="77777777">
            <w:pPr>
              <w:adjustRightInd w:val="0"/>
              <w:contextualSpacing/>
              <w:jc w:val="center"/>
              <w:rPr>
                <w:rFonts w:asciiTheme="minorHAnsi" w:hAnsiTheme="minorHAnsi" w:cstheme="minorHAnsi"/>
                <w:noProof/>
              </w:rPr>
            </w:pPr>
          </w:p>
        </w:tc>
        <w:tc>
          <w:tcPr>
            <w:tcW w:w="912" w:type="dxa"/>
            <w:hideMark/>
          </w:tcPr>
          <w:p w:rsidRPr="000775BD" w:rsidR="0078689A" w:rsidP="003664F0" w:rsidRDefault="0078689A" w14:paraId="16351B94"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2027</w:t>
            </w:r>
          </w:p>
        </w:tc>
        <w:tc>
          <w:tcPr>
            <w:tcW w:w="790" w:type="dxa"/>
            <w:hideMark/>
          </w:tcPr>
          <w:p w:rsidRPr="000775BD" w:rsidR="0078689A" w:rsidP="003664F0" w:rsidRDefault="0078689A" w14:paraId="0E6FC633"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2028</w:t>
            </w:r>
          </w:p>
        </w:tc>
        <w:tc>
          <w:tcPr>
            <w:tcW w:w="790" w:type="dxa"/>
            <w:hideMark/>
          </w:tcPr>
          <w:p w:rsidRPr="000775BD" w:rsidR="0078689A" w:rsidP="003664F0" w:rsidRDefault="0078689A" w14:paraId="7113464D"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2029</w:t>
            </w:r>
          </w:p>
        </w:tc>
        <w:tc>
          <w:tcPr>
            <w:tcW w:w="790" w:type="dxa"/>
            <w:hideMark/>
          </w:tcPr>
          <w:p w:rsidRPr="000775BD" w:rsidR="0078689A" w:rsidP="003664F0" w:rsidRDefault="0078689A" w14:paraId="0B7CE585"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2030</w:t>
            </w:r>
          </w:p>
        </w:tc>
        <w:tc>
          <w:tcPr>
            <w:tcW w:w="790" w:type="dxa"/>
          </w:tcPr>
          <w:p w:rsidRPr="000775BD" w:rsidR="0078689A" w:rsidP="003664F0" w:rsidRDefault="0078689A" w14:paraId="517DE85F"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2031</w:t>
            </w:r>
          </w:p>
        </w:tc>
        <w:tc>
          <w:tcPr>
            <w:tcW w:w="821" w:type="dxa"/>
            <w:hideMark/>
          </w:tcPr>
          <w:p w:rsidRPr="000775BD" w:rsidR="0078689A" w:rsidP="003664F0" w:rsidRDefault="0078689A" w14:paraId="6648622C"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Struc.</w:t>
            </w:r>
          </w:p>
        </w:tc>
        <w:tc>
          <w:tcPr>
            <w:tcW w:w="767" w:type="dxa"/>
          </w:tcPr>
          <w:p w:rsidRPr="000775BD" w:rsidR="0078689A" w:rsidP="003664F0" w:rsidRDefault="0078689A" w14:paraId="01EB0DC7"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0775BD">
              <w:rPr>
                <w:rFonts w:asciiTheme="minorHAnsi" w:hAnsiTheme="minorHAnsi" w:cstheme="minorHAnsi"/>
                <w:noProof/>
                <w:color w:val="FFFFFF" w:themeColor="background1"/>
              </w:rPr>
              <w:t>Struc. in</w:t>
            </w:r>
          </w:p>
        </w:tc>
      </w:tr>
      <w:tr w:rsidRPr="00D43DBA" w:rsidR="0078689A" w:rsidTr="003664F0" w14:paraId="057706C5"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0078689A" w:rsidP="003664F0" w:rsidRDefault="0078689A" w14:paraId="03AF5DB5"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D43DBA" w:rsidR="0078689A" w:rsidP="003664F0" w:rsidRDefault="0078689A" w14:paraId="79AA8AFE" w14:textId="77777777">
            <w:pPr>
              <w:contextualSpacing/>
              <w:rPr>
                <w:rFonts w:asciiTheme="minorHAnsi" w:hAnsiTheme="minorHAnsi" w:cstheme="minorHAnsi"/>
                <w:b w:val="0"/>
                <w:bCs w:val="0"/>
              </w:rPr>
            </w:pPr>
            <w:proofErr w:type="gramStart"/>
            <w:r w:rsidRPr="00D43DBA">
              <w:rPr>
                <w:rFonts w:asciiTheme="minorHAnsi" w:hAnsiTheme="minorHAnsi" w:cstheme="minorHAnsi"/>
                <w:b w:val="0"/>
                <w:bCs w:val="0"/>
              </w:rPr>
              <w:t>vorderingen</w:t>
            </w:r>
            <w:proofErr w:type="gramEnd"/>
          </w:p>
        </w:tc>
        <w:tc>
          <w:tcPr>
            <w:tcW w:w="912" w:type="dxa"/>
            <w:vAlign w:val="center"/>
          </w:tcPr>
          <w:p w:rsidRPr="0006063E" w:rsidR="0078689A" w:rsidP="003664F0" w:rsidRDefault="0078689A" w14:paraId="1EA332D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78689A" w:rsidP="003664F0" w:rsidRDefault="0078689A" w14:paraId="75E2A358"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78689A" w:rsidP="003664F0" w:rsidRDefault="0078689A" w14:paraId="12A1521F"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78689A" w:rsidP="003664F0" w:rsidRDefault="0078689A" w14:paraId="51D81925"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90" w:type="dxa"/>
            <w:vAlign w:val="center"/>
          </w:tcPr>
          <w:p w:rsidRPr="0006063E" w:rsidR="0078689A" w:rsidP="003664F0" w:rsidRDefault="0078689A" w14:paraId="6A498EE2"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821" w:type="dxa"/>
            <w:vAlign w:val="center"/>
          </w:tcPr>
          <w:p w:rsidRPr="00D43DBA" w:rsidR="0078689A" w:rsidP="003664F0" w:rsidRDefault="0078689A" w14:paraId="22FB6A4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20</w:t>
            </w:r>
          </w:p>
        </w:tc>
        <w:tc>
          <w:tcPr>
            <w:tcW w:w="767" w:type="dxa"/>
            <w:vAlign w:val="center"/>
          </w:tcPr>
          <w:p w:rsidRPr="00D43DBA" w:rsidR="0078689A" w:rsidP="003664F0" w:rsidRDefault="0078689A" w14:paraId="2228775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2028</w:t>
            </w:r>
          </w:p>
        </w:tc>
      </w:tr>
      <w:tr w:rsidRPr="00D43DBA" w:rsidR="00DA26B5" w:rsidTr="003664F0" w14:paraId="56717C1C" w14:textId="77777777">
        <w:trPr>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DA26B5" w:rsidP="00DA26B5" w:rsidRDefault="00DA26B5" w14:paraId="424B75F4"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12" w:type="dxa"/>
            <w:vAlign w:val="center"/>
          </w:tcPr>
          <w:p w:rsidRPr="0006063E" w:rsidR="00DA26B5" w:rsidP="00DA26B5" w:rsidRDefault="00DA26B5" w14:paraId="63F8E8E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DA26B5" w:rsidP="00DA26B5" w:rsidRDefault="00DA26B5" w14:paraId="5F0CE3C0"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0C8A2F2B"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2C40461C"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90" w:type="dxa"/>
            <w:vAlign w:val="center"/>
          </w:tcPr>
          <w:p w:rsidRPr="0006063E" w:rsidR="00DA26B5" w:rsidP="00DA26B5" w:rsidRDefault="00DA26B5" w14:paraId="38CE7092"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821" w:type="dxa"/>
            <w:vAlign w:val="center"/>
          </w:tcPr>
          <w:p w:rsidRPr="00D43DBA" w:rsidR="00DA26B5" w:rsidP="00DA26B5" w:rsidRDefault="00DA26B5" w14:paraId="62C1670E"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67" w:type="dxa"/>
            <w:vAlign w:val="center"/>
          </w:tcPr>
          <w:p w:rsidRPr="00D43DBA" w:rsidR="00DA26B5" w:rsidP="00DA26B5" w:rsidRDefault="00DA26B5" w14:paraId="309B7202" w14:textId="77777777">
            <w:pPr>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2028</w:t>
            </w:r>
          </w:p>
        </w:tc>
      </w:tr>
      <w:tr w:rsidRPr="00D43DBA" w:rsidR="0078689A" w:rsidTr="003664F0" w14:paraId="7FFDF5D6"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392" w:type="dxa"/>
          </w:tcPr>
          <w:p w:rsidRPr="00D43DBA" w:rsidR="0078689A" w:rsidP="003664F0" w:rsidRDefault="0078689A" w14:paraId="5AB31FA7" w14:textId="77777777">
            <w:pPr>
              <w:contextualSpacing/>
              <w:rPr>
                <w:rFonts w:asciiTheme="minorHAnsi" w:hAnsiTheme="minorHAnsi" w:cstheme="minorHAnsi"/>
                <w:b w:val="0"/>
                <w:bCs w:val="0"/>
              </w:rPr>
            </w:pPr>
            <w:r w:rsidRPr="00D43DBA">
              <w:rPr>
                <w:rFonts w:asciiTheme="minorHAnsi" w:hAnsiTheme="minorHAnsi" w:cstheme="minorHAnsi"/>
                <w:b w:val="0"/>
                <w:bCs w:val="0"/>
              </w:rPr>
              <w:t xml:space="preserve">Totaal </w:t>
            </w:r>
            <w:proofErr w:type="spellStart"/>
            <w:r w:rsidRPr="00D43DBA">
              <w:rPr>
                <w:rFonts w:asciiTheme="minorHAnsi" w:hAnsiTheme="minorHAnsi" w:cstheme="minorHAnsi"/>
                <w:b w:val="0"/>
                <w:bCs w:val="0"/>
              </w:rPr>
              <w:t>onderbedelingsvorderingen</w:t>
            </w:r>
            <w:proofErr w:type="spellEnd"/>
          </w:p>
        </w:tc>
        <w:tc>
          <w:tcPr>
            <w:tcW w:w="912" w:type="dxa"/>
            <w:vAlign w:val="center"/>
          </w:tcPr>
          <w:p w:rsidRPr="0006063E" w:rsidR="0078689A" w:rsidP="003664F0" w:rsidRDefault="0078689A" w14:paraId="24D22F93"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78689A" w:rsidP="003664F0" w:rsidRDefault="00DA26B5" w14:paraId="2E77CF1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117</w:t>
            </w:r>
          </w:p>
        </w:tc>
        <w:tc>
          <w:tcPr>
            <w:tcW w:w="790" w:type="dxa"/>
            <w:vAlign w:val="center"/>
          </w:tcPr>
          <w:p w:rsidRPr="0006063E" w:rsidR="0078689A" w:rsidP="003664F0" w:rsidRDefault="00DA26B5" w14:paraId="45500057"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117</w:t>
            </w:r>
          </w:p>
        </w:tc>
        <w:tc>
          <w:tcPr>
            <w:tcW w:w="790" w:type="dxa"/>
            <w:vAlign w:val="center"/>
          </w:tcPr>
          <w:p w:rsidRPr="0006063E" w:rsidR="0078689A" w:rsidP="003664F0" w:rsidRDefault="00DA26B5" w14:paraId="2929EDC9"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117</w:t>
            </w:r>
          </w:p>
        </w:tc>
        <w:tc>
          <w:tcPr>
            <w:tcW w:w="790" w:type="dxa"/>
            <w:vAlign w:val="center"/>
          </w:tcPr>
          <w:p w:rsidRPr="0006063E" w:rsidR="0078689A" w:rsidP="003664F0" w:rsidRDefault="00DA26B5" w14:paraId="48940C3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117</w:t>
            </w:r>
          </w:p>
        </w:tc>
        <w:tc>
          <w:tcPr>
            <w:tcW w:w="821" w:type="dxa"/>
            <w:vAlign w:val="center"/>
          </w:tcPr>
          <w:p w:rsidRPr="00D43DBA" w:rsidR="0078689A" w:rsidP="003664F0" w:rsidRDefault="00DA26B5" w14:paraId="72A6604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117</w:t>
            </w:r>
          </w:p>
        </w:tc>
        <w:tc>
          <w:tcPr>
            <w:tcW w:w="767" w:type="dxa"/>
            <w:vAlign w:val="center"/>
          </w:tcPr>
          <w:p w:rsidRPr="00D43DBA" w:rsidR="0078689A" w:rsidP="003664F0" w:rsidRDefault="0078689A" w14:paraId="73C8F8CE"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2028</w:t>
            </w:r>
          </w:p>
        </w:tc>
      </w:tr>
    </w:tbl>
    <w:p w:rsidR="0078689A" w:rsidP="00D7204D" w:rsidRDefault="0078689A" w14:paraId="4CCD0E73" w14:textId="77777777">
      <w:pPr>
        <w:contextualSpacing/>
      </w:pPr>
    </w:p>
    <w:p w:rsidR="00D7204D" w:rsidP="00D7204D" w:rsidRDefault="00D7204D" w14:paraId="71B0276B" w14:textId="77777777">
      <w:pPr>
        <w:contextualSpacing/>
      </w:pPr>
    </w:p>
    <w:p w:rsidRPr="00F2778C" w:rsidR="00D7204D" w:rsidP="00D7204D" w:rsidRDefault="00D7204D" w14:paraId="0DE52551" w14:textId="77777777">
      <w:pPr>
        <w:pStyle w:val="Lijstalinea"/>
        <w:numPr>
          <w:ilvl w:val="0"/>
          <w:numId w:val="6"/>
        </w:numPr>
        <w:rPr>
          <w:b/>
          <w:bCs/>
        </w:rPr>
      </w:pPr>
      <w:r w:rsidRPr="00F2778C">
        <w:rPr>
          <w:b/>
          <w:bCs/>
        </w:rPr>
        <w:t>Papieren schenkingen</w:t>
      </w:r>
    </w:p>
    <w:p w:rsidR="00D7204D" w:rsidP="00D7204D" w:rsidRDefault="00D7204D" w14:paraId="2AD54834" w14:textId="77777777">
      <w:pPr>
        <w:contextualSpacing/>
        <w:jc w:val="both"/>
        <w:rPr>
          <w:i/>
          <w:iCs/>
        </w:rPr>
      </w:pPr>
    </w:p>
    <w:p w:rsidRPr="00BD44EE" w:rsidR="00D7204D" w:rsidP="00D7204D" w:rsidRDefault="00D7204D" w14:paraId="533FBA12" w14:textId="77777777">
      <w:pPr>
        <w:pStyle w:val="Lijstalinea"/>
        <w:numPr>
          <w:ilvl w:val="1"/>
          <w:numId w:val="6"/>
        </w:numPr>
        <w:jc w:val="both"/>
        <w:rPr>
          <w:b/>
          <w:bCs/>
        </w:rPr>
      </w:pPr>
      <w:r w:rsidRPr="00BD44EE">
        <w:rPr>
          <w:b/>
          <w:bCs/>
        </w:rPr>
        <w:t>Beschrijving budgettaire effecten</w:t>
      </w:r>
      <w:r>
        <w:rPr>
          <w:b/>
          <w:bCs/>
        </w:rPr>
        <w:t xml:space="preserve"> </w:t>
      </w:r>
      <w:r w:rsidRPr="001069CA">
        <w:rPr>
          <w:b/>
          <w:bCs/>
          <w:szCs w:val="18"/>
        </w:rPr>
        <w:t>papieren schenkingen</w:t>
      </w:r>
    </w:p>
    <w:p w:rsidR="00D7204D" w:rsidP="00D7204D" w:rsidRDefault="00D7204D" w14:paraId="4ED233CF" w14:textId="77777777">
      <w:pPr>
        <w:contextualSpacing/>
        <w:jc w:val="both"/>
      </w:pPr>
      <w:r w:rsidRPr="00673559">
        <w:t xml:space="preserve">Om te voorkomen dat </w:t>
      </w:r>
      <w:r>
        <w:t>een papieren schenking</w:t>
      </w:r>
      <w:r w:rsidRPr="00673559">
        <w:t xml:space="preserve"> </w:t>
      </w:r>
      <w:r>
        <w:t>(</w:t>
      </w:r>
      <w:r w:rsidRPr="008637BF">
        <w:rPr>
          <w:rFonts w:cs="IrisUPC"/>
        </w:rPr>
        <w:t>s</w:t>
      </w:r>
      <w:r w:rsidRPr="008637BF">
        <w:t>chuldigerkenning uit vrijgevigheid</w:t>
      </w:r>
      <w:r>
        <w:t xml:space="preserve">) </w:t>
      </w:r>
      <w:r w:rsidRPr="00673559">
        <w:t>bij het overlijden van de schenker in de heffing van erfbelasting wordt betrokken</w:t>
      </w:r>
      <w:r w:rsidRPr="00673559">
        <w:rPr>
          <w:rStyle w:val="Voetnootmarkering"/>
        </w:rPr>
        <w:footnoteReference w:id="14"/>
      </w:r>
      <w:r w:rsidRPr="00673559">
        <w:t>, dient</w:t>
      </w:r>
      <w:r>
        <w:t xml:space="preserve"> momenteel</w:t>
      </w:r>
      <w:r w:rsidRPr="00673559">
        <w:t xml:space="preserve"> jaarlijks </w:t>
      </w:r>
      <w:r>
        <w:t>de forfaitaire rekenrente (</w:t>
      </w:r>
      <w:r w:rsidRPr="00673559">
        <w:t>6%</w:t>
      </w:r>
      <w:r>
        <w:t>)</w:t>
      </w:r>
      <w:r w:rsidRPr="00673559">
        <w:t xml:space="preserve"> </w:t>
      </w:r>
      <w:r>
        <w:t xml:space="preserve">over het schuldig erkende bedrag </w:t>
      </w:r>
      <w:r w:rsidRPr="00673559">
        <w:t>betaald te worden door de schenker</w:t>
      </w:r>
      <w:r>
        <w:t>. Over de jaarlijkse rentebetalingen is geen schenkbelasting verschuldigd. Deze rentebetalingen van de schenker aan de verkrijger (vaak van ouder aan kind) zijn dus een vorm van een onbelaste vermogensoverdracht. De geraamde rekenrente na modernisering is 3%, die dus vergoed zal moeten worden om heffing van erfbelasting te voorkomen. Na verlaging van de rekenrente naar 3% kan voor elke euro aan papieren schenkingen dus jaarlijks minder aan liquide vermogen onbelast worden overgedragen. Dit leidt tot een budgettaire opbrengst. Verondersteld wordt dat de meesten het liquide vermogen dat voorheen als onbelaste rentebetaling werd overgedragen aanhouden en dat vermogen deel uitmaakt van de nalatenschap</w:t>
      </w:r>
      <w:r>
        <w:rPr>
          <w:rStyle w:val="Voetnootmarkering"/>
        </w:rPr>
        <w:footnoteReference w:id="15"/>
      </w:r>
      <w:r>
        <w:t xml:space="preserve">. </w:t>
      </w:r>
    </w:p>
    <w:p w:rsidR="00D7204D" w:rsidP="00D7204D" w:rsidRDefault="00D7204D" w14:paraId="711A5BEC" w14:textId="77777777">
      <w:pPr>
        <w:contextualSpacing/>
        <w:jc w:val="both"/>
      </w:pPr>
    </w:p>
    <w:p w:rsidR="00D7204D" w:rsidP="00D7204D" w:rsidRDefault="00D7204D" w14:paraId="1B4550C4" w14:textId="77777777">
      <w:pPr>
        <w:contextualSpacing/>
        <w:jc w:val="both"/>
      </w:pPr>
      <w:r>
        <w:lastRenderedPageBreak/>
        <w:t>Tegelijkertijd zorgt de verlaging van de rekenrente ervoor dat een belastingplichtige voor elke euro aan liquide vermogen die diegene beschikbaar heeft om de rente te betalen meer op papier kan schenken. Schenkers die al op papier schenken en meer zouden willen schenken, maar daarbij tegen de grenzen van hun liquide vermogen aanlopen, kunnen na verlaging van de rekenrente meer op papier schenken</w:t>
      </w:r>
      <w:r>
        <w:rPr>
          <w:rStyle w:val="Voetnootmarkering"/>
        </w:rPr>
        <w:footnoteReference w:id="16"/>
      </w:r>
      <w:r>
        <w:t>. Daarnaast trekt een lagere rente sommige belastingplichtigen over de streep om een bedrag op papier te gaan schenken</w:t>
      </w:r>
      <w:r w:rsidRPr="00CF5C2B">
        <w:rPr>
          <w:rStyle w:val="Voetnootmarkering"/>
        </w:rPr>
        <w:t xml:space="preserve"> </w:t>
      </w:r>
      <w:r>
        <w:rPr>
          <w:rStyle w:val="Voetnootmarkering"/>
        </w:rPr>
        <w:footnoteReference w:id="17"/>
      </w:r>
      <w:r>
        <w:t xml:space="preserve">. Beide effecten </w:t>
      </w:r>
      <w:r w:rsidRPr="000D6452">
        <w:t>leiden per saldo tot</w:t>
      </w:r>
      <w:r>
        <w:t xml:space="preserve"> een budgettaire derving. De extra schenkingen leiden in eerste instantie tot meer schenkbelasting, gevolgd door lagere opbrengsten erfbelasting bij het overlijden van de schenker. De nalatenschap van de schenker neemt af door (meer) jaarlijkse onbelaste vermogensoverdrachten in de vorm van rentebetalingen, en door een (hogere) papieren schuld die in mindering wordt gebracht op de bezittingen bij overlijden. In feite kan met een papieren schenking illiquide vermogen bij leven worden geschonken om zo het hogere tarief van 20% binnen de erfbelasting te vermijden.</w:t>
      </w:r>
    </w:p>
    <w:p w:rsidR="00D7204D" w:rsidP="00D7204D" w:rsidRDefault="00D7204D" w14:paraId="4D38358F" w14:textId="77777777">
      <w:pPr>
        <w:contextualSpacing/>
      </w:pPr>
    </w:p>
    <w:p w:rsidRPr="00BD44EE" w:rsidR="00D7204D" w:rsidP="00D7204D" w:rsidRDefault="00D7204D" w14:paraId="006B9E4C" w14:textId="77777777">
      <w:pPr>
        <w:pStyle w:val="Lijstalinea"/>
        <w:numPr>
          <w:ilvl w:val="1"/>
          <w:numId w:val="6"/>
        </w:numPr>
        <w:jc w:val="both"/>
        <w:rPr>
          <w:b/>
          <w:bCs/>
        </w:rPr>
      </w:pPr>
      <w:r w:rsidRPr="00BD44EE">
        <w:rPr>
          <w:b/>
          <w:bCs/>
        </w:rPr>
        <w:t>Budgettaire effecten op macroniveau</w:t>
      </w:r>
      <w:r>
        <w:rPr>
          <w:b/>
          <w:bCs/>
        </w:rPr>
        <w:t xml:space="preserve"> bij </w:t>
      </w:r>
      <w:r w:rsidRPr="0012576D">
        <w:rPr>
          <w:b/>
          <w:bCs/>
          <w:szCs w:val="18"/>
        </w:rPr>
        <w:t>papieren schenkingen</w:t>
      </w:r>
    </w:p>
    <w:p w:rsidR="00D7204D" w:rsidP="00D7204D" w:rsidRDefault="00D7204D" w14:paraId="3BA479F0" w14:textId="77777777">
      <w:pPr>
        <w:contextualSpacing/>
        <w:jc w:val="both"/>
      </w:pPr>
      <w:r>
        <w:t xml:space="preserve">Voor het ramen van de budgettaire effecten bij papieren schenkingen zijn twee databronnen gebruikt; 1) aangiftegegevens schenkbelasting en 2) notariële akten. Over schenkingen waarbij meer geschonken is dan de jaarlijkse vrijstellingsgrens moet aangifte schenkbelasting worden gedaan. Ook over schenkingen waarbij een beroep is gedaan op de algemene eenmalig verhoogde schenkingsvrijstelling voor schenkingen door ouders aan een kind moet aangifte worden gedaan. Over schenkingen waarbij het geschonken bedrag gelijk aan of lager is dan de jaarlijkse schenkingsvrijstelling hoeft geen aangifte schenkbelasting te worden gedaan. Om op dit deel van de papieren schenkingen zicht te krijgen is gebruik gemaakt van gegevens die door de Belastingdienst uit notariële akten zijn geëxtraheerd en verwerkt tot gestructureerde data. </w:t>
      </w:r>
    </w:p>
    <w:p w:rsidR="00D7204D" w:rsidP="00D7204D" w:rsidRDefault="00D7204D" w14:paraId="2FE6CC19" w14:textId="77777777">
      <w:pPr>
        <w:contextualSpacing/>
        <w:jc w:val="both"/>
      </w:pPr>
    </w:p>
    <w:p w:rsidRPr="00613D36" w:rsidR="00D7204D" w:rsidP="00D7204D" w:rsidRDefault="00D7204D" w14:paraId="4430AD34" w14:textId="77777777">
      <w:pPr>
        <w:contextualSpacing/>
        <w:jc w:val="both"/>
      </w:pPr>
      <w:r w:rsidRPr="00613D36">
        <w:t xml:space="preserve">Schenkingen op papier die bij een notaris zijn vastgelegd komen geregeld voor. In 2021 ging het om ten minste </w:t>
      </w:r>
      <w:proofErr w:type="gramStart"/>
      <w:r w:rsidRPr="00613D36">
        <w:t>circa</w:t>
      </w:r>
      <w:proofErr w:type="gramEnd"/>
      <w:r w:rsidRPr="00613D36">
        <w:t xml:space="preserve"> 22.300 schenkingen, en in 2022 om ten</w:t>
      </w:r>
      <w:r>
        <w:t xml:space="preserve"> </w:t>
      </w:r>
      <w:r w:rsidRPr="00613D36">
        <w:t xml:space="preserve">minste circa 24.200 schenkingen. In totaal werd in 2021 € 824 miljoen aan vermogen ‘op papier’ geschonken, en in 2022 € 742 miljoen. Dat is gelijk aan </w:t>
      </w:r>
      <w:proofErr w:type="gramStart"/>
      <w:r w:rsidRPr="00613D36">
        <w:t>circa</w:t>
      </w:r>
      <w:proofErr w:type="gramEnd"/>
      <w:r w:rsidRPr="00613D36">
        <w:t xml:space="preserve"> 7-8% van het totaal aan geschonken vermogen waarvoor aangifte schenkbelasting is gedaan. In veel gevallen gaat om schenkingen op papier tot de vrijstellingsgrens: in 2021 14.588 van de </w:t>
      </w:r>
      <w:proofErr w:type="gramStart"/>
      <w:r w:rsidRPr="00613D36">
        <w:t>circa</w:t>
      </w:r>
      <w:proofErr w:type="gramEnd"/>
      <w:r w:rsidRPr="00613D36">
        <w:t xml:space="preserve"> 22.300 schenkingen en in 2022 17.369 van de circa 24.300 schenkingen op papier. In tabel</w:t>
      </w:r>
      <w:r>
        <w:t xml:space="preserve"> </w:t>
      </w:r>
      <w:r w:rsidR="003E4C30">
        <w:t>1</w:t>
      </w:r>
      <w:r w:rsidR="0078689A">
        <w:t>2</w:t>
      </w:r>
      <w:r w:rsidRPr="00613D36">
        <w:t xml:space="preserve"> is </w:t>
      </w:r>
      <w:r>
        <w:t xml:space="preserve">het geschonken </w:t>
      </w:r>
      <w:r w:rsidRPr="00613D36">
        <w:t xml:space="preserve">vermogen </w:t>
      </w:r>
      <w:r>
        <w:t xml:space="preserve">‘op papier’ </w:t>
      </w:r>
      <w:r w:rsidRPr="00613D36">
        <w:t xml:space="preserve">verdeeld naar leeftijd van de schenker op het </w:t>
      </w:r>
      <w:r>
        <w:t>schenkings</w:t>
      </w:r>
      <w:r w:rsidRPr="00613D36">
        <w:t xml:space="preserve">moment. </w:t>
      </w:r>
      <w:r>
        <w:t xml:space="preserve">De resterende levensduur en daarmee de looptijd van de papieren schenking hangt af van de leeftijd van de schenker. </w:t>
      </w:r>
    </w:p>
    <w:p w:rsidR="00D7204D" w:rsidP="00D7204D" w:rsidRDefault="00D7204D" w14:paraId="1A7180BB" w14:textId="77777777">
      <w:pPr>
        <w:contextualSpacing/>
        <w:jc w:val="both"/>
      </w:pPr>
    </w:p>
    <w:p w:rsidR="00D7204D" w:rsidP="00D7204D" w:rsidRDefault="00D7204D" w14:paraId="0F643B70" w14:textId="77777777">
      <w:pPr>
        <w:contextualSpacing/>
        <w:jc w:val="both"/>
      </w:pPr>
      <w:r>
        <w:t>Tabel 1</w:t>
      </w:r>
      <w:r w:rsidR="0078689A">
        <w:t>2</w:t>
      </w:r>
      <w:r>
        <w:t xml:space="preserve"> Geschonken vermogen op papier naar leeftijd schenker op het schenkingsmoment (2022)</w:t>
      </w:r>
    </w:p>
    <w:tbl>
      <w:tblPr>
        <w:tblStyle w:val="Lichtelijst-accent111"/>
        <w:tblW w:w="0" w:type="auto"/>
        <w:tblLook w:val="04A0" w:firstRow="1" w:lastRow="0" w:firstColumn="1" w:lastColumn="0" w:noHBand="0" w:noVBand="1"/>
      </w:tblPr>
      <w:tblGrid>
        <w:gridCol w:w="2258"/>
        <w:gridCol w:w="1985"/>
      </w:tblGrid>
      <w:tr w:rsidR="00D7204D" w:rsidTr="0038771B" w14:paraId="0693D8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E07B63" w:rsidR="00D7204D" w:rsidP="0038771B" w:rsidRDefault="00D7204D" w14:paraId="1348DF54" w14:textId="77777777">
            <w:pPr>
              <w:contextualSpacing/>
              <w:rPr>
                <w:rFonts w:asciiTheme="minorHAnsi" w:hAnsiTheme="minorHAnsi"/>
                <w:color w:val="FFFFFF" w:themeColor="background1"/>
              </w:rPr>
            </w:pPr>
            <w:r w:rsidRPr="00E07B63">
              <w:rPr>
                <w:rFonts w:asciiTheme="minorHAnsi" w:hAnsiTheme="minorHAnsi"/>
                <w:color w:val="FFFFFF" w:themeColor="background1"/>
              </w:rPr>
              <w:t>Leeftijd schenker op moment van schenken</w:t>
            </w:r>
          </w:p>
        </w:tc>
        <w:tc>
          <w:tcPr>
            <w:tcW w:w="1985" w:type="dxa"/>
          </w:tcPr>
          <w:p w:rsidRPr="00E07B63" w:rsidR="00D7204D" w:rsidP="0038771B" w:rsidRDefault="00D7204D" w14:paraId="6DAC505C" w14:textId="77777777">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07B63">
              <w:rPr>
                <w:rFonts w:asciiTheme="minorHAnsi" w:hAnsiTheme="minorHAnsi"/>
                <w:color w:val="FFFFFF" w:themeColor="background1"/>
              </w:rPr>
              <w:t xml:space="preserve">Geschonken vermogen op papier als % van het totaal </w:t>
            </w:r>
          </w:p>
        </w:tc>
      </w:tr>
      <w:tr w:rsidR="00D7204D" w:rsidTr="0038771B" w14:paraId="0445A1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70D72375" w14:textId="77777777">
            <w:pPr>
              <w:contextualSpacing/>
              <w:rPr>
                <w:rFonts w:asciiTheme="minorHAnsi" w:hAnsiTheme="minorHAnsi"/>
                <w:b w:val="0"/>
                <w:bCs w:val="0"/>
              </w:rPr>
            </w:pPr>
            <w:proofErr w:type="gramStart"/>
            <w:r w:rsidRPr="00F90A33">
              <w:rPr>
                <w:rFonts w:cs="Calibri" w:asciiTheme="minorHAnsi" w:hAnsiTheme="minorHAnsi"/>
                <w:b w:val="0"/>
                <w:bCs w:val="0"/>
              </w:rPr>
              <w:t>jonger</w:t>
            </w:r>
            <w:proofErr w:type="gramEnd"/>
            <w:r w:rsidRPr="00F90A33">
              <w:rPr>
                <w:rFonts w:cs="Calibri" w:asciiTheme="minorHAnsi" w:hAnsiTheme="minorHAnsi"/>
                <w:b w:val="0"/>
                <w:bCs w:val="0"/>
              </w:rPr>
              <w:t xml:space="preserve"> dan 50</w:t>
            </w:r>
          </w:p>
        </w:tc>
        <w:tc>
          <w:tcPr>
            <w:tcW w:w="1985" w:type="dxa"/>
            <w:vAlign w:val="bottom"/>
          </w:tcPr>
          <w:p w:rsidRPr="00F90A33" w:rsidR="00D7204D" w:rsidP="0038771B" w:rsidRDefault="00D7204D" w14:paraId="0878258F" w14:textId="7777777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90A33">
              <w:rPr>
                <w:rFonts w:cs="Calibri" w:asciiTheme="minorHAnsi" w:hAnsiTheme="minorHAnsi"/>
              </w:rPr>
              <w:t>2%</w:t>
            </w:r>
          </w:p>
        </w:tc>
      </w:tr>
      <w:tr w:rsidR="00D7204D" w:rsidTr="0038771B" w14:paraId="3295292B" w14:textId="77777777">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7E5996E2" w14:textId="77777777">
            <w:pPr>
              <w:contextualSpacing/>
              <w:rPr>
                <w:rFonts w:asciiTheme="minorHAnsi" w:hAnsiTheme="minorHAnsi"/>
                <w:b w:val="0"/>
                <w:bCs w:val="0"/>
              </w:rPr>
            </w:pPr>
            <w:r w:rsidRPr="00F90A33">
              <w:rPr>
                <w:rFonts w:cs="Calibri" w:asciiTheme="minorHAnsi" w:hAnsiTheme="minorHAnsi"/>
                <w:b w:val="0"/>
                <w:bCs w:val="0"/>
              </w:rPr>
              <w:t>50 t/m 59 jaar</w:t>
            </w:r>
          </w:p>
        </w:tc>
        <w:tc>
          <w:tcPr>
            <w:tcW w:w="1985" w:type="dxa"/>
            <w:vAlign w:val="bottom"/>
          </w:tcPr>
          <w:p w:rsidRPr="00F90A33" w:rsidR="00D7204D" w:rsidP="0038771B" w:rsidRDefault="00D7204D" w14:paraId="4DFE5F27" w14:textId="7777777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90A33">
              <w:rPr>
                <w:rFonts w:cs="Calibri" w:asciiTheme="minorHAnsi" w:hAnsiTheme="minorHAnsi"/>
              </w:rPr>
              <w:t>10%</w:t>
            </w:r>
          </w:p>
        </w:tc>
      </w:tr>
      <w:tr w:rsidR="00D7204D" w:rsidTr="0038771B" w14:paraId="240D54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1F5933D6" w14:textId="77777777">
            <w:pPr>
              <w:contextualSpacing/>
              <w:rPr>
                <w:rFonts w:asciiTheme="minorHAnsi" w:hAnsiTheme="minorHAnsi"/>
                <w:b w:val="0"/>
                <w:bCs w:val="0"/>
              </w:rPr>
            </w:pPr>
            <w:r w:rsidRPr="00F90A33">
              <w:rPr>
                <w:rFonts w:cs="Calibri" w:asciiTheme="minorHAnsi" w:hAnsiTheme="minorHAnsi"/>
                <w:b w:val="0"/>
                <w:bCs w:val="0"/>
              </w:rPr>
              <w:t>60 t/m 69 jaar</w:t>
            </w:r>
          </w:p>
        </w:tc>
        <w:tc>
          <w:tcPr>
            <w:tcW w:w="1985" w:type="dxa"/>
            <w:vAlign w:val="bottom"/>
          </w:tcPr>
          <w:p w:rsidRPr="00F90A33" w:rsidR="00D7204D" w:rsidP="0038771B" w:rsidRDefault="00D7204D" w14:paraId="3C264AB8" w14:textId="7777777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90A33">
              <w:rPr>
                <w:rFonts w:cs="Calibri" w:asciiTheme="minorHAnsi" w:hAnsiTheme="minorHAnsi"/>
              </w:rPr>
              <w:t>24%</w:t>
            </w:r>
          </w:p>
        </w:tc>
      </w:tr>
      <w:tr w:rsidR="00D7204D" w:rsidTr="0038771B" w14:paraId="02B23D0A" w14:textId="77777777">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2E737708" w14:textId="77777777">
            <w:pPr>
              <w:contextualSpacing/>
              <w:rPr>
                <w:rFonts w:asciiTheme="minorHAnsi" w:hAnsiTheme="minorHAnsi"/>
                <w:b w:val="0"/>
                <w:bCs w:val="0"/>
              </w:rPr>
            </w:pPr>
            <w:r w:rsidRPr="00F90A33">
              <w:rPr>
                <w:rFonts w:cs="Calibri" w:asciiTheme="minorHAnsi" w:hAnsiTheme="minorHAnsi"/>
                <w:b w:val="0"/>
                <w:bCs w:val="0"/>
              </w:rPr>
              <w:lastRenderedPageBreak/>
              <w:t>70 t/m 79 jaar</w:t>
            </w:r>
          </w:p>
        </w:tc>
        <w:tc>
          <w:tcPr>
            <w:tcW w:w="1985" w:type="dxa"/>
            <w:vAlign w:val="bottom"/>
          </w:tcPr>
          <w:p w:rsidRPr="00F90A33" w:rsidR="00D7204D" w:rsidP="0038771B" w:rsidRDefault="00D7204D" w14:paraId="1EAA34A4" w14:textId="7777777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90A33">
              <w:rPr>
                <w:rFonts w:cs="Calibri" w:asciiTheme="minorHAnsi" w:hAnsiTheme="minorHAnsi"/>
              </w:rPr>
              <w:t>35%</w:t>
            </w:r>
          </w:p>
        </w:tc>
      </w:tr>
      <w:tr w:rsidR="00D7204D" w:rsidTr="0038771B" w14:paraId="51604A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0ADC6AB9" w14:textId="77777777">
            <w:pPr>
              <w:contextualSpacing/>
              <w:rPr>
                <w:rFonts w:asciiTheme="minorHAnsi" w:hAnsiTheme="minorHAnsi"/>
                <w:b w:val="0"/>
                <w:bCs w:val="0"/>
              </w:rPr>
            </w:pPr>
            <w:r w:rsidRPr="00F90A33">
              <w:rPr>
                <w:rFonts w:cs="Calibri" w:asciiTheme="minorHAnsi" w:hAnsiTheme="minorHAnsi"/>
                <w:b w:val="0"/>
                <w:bCs w:val="0"/>
              </w:rPr>
              <w:t>80 t/m 89 jaar</w:t>
            </w:r>
          </w:p>
        </w:tc>
        <w:tc>
          <w:tcPr>
            <w:tcW w:w="1985" w:type="dxa"/>
            <w:vAlign w:val="bottom"/>
          </w:tcPr>
          <w:p w:rsidRPr="00F90A33" w:rsidR="00D7204D" w:rsidP="0038771B" w:rsidRDefault="00D7204D" w14:paraId="44F6F6A1" w14:textId="7777777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90A33">
              <w:rPr>
                <w:rFonts w:cs="Calibri" w:asciiTheme="minorHAnsi" w:hAnsiTheme="minorHAnsi"/>
              </w:rPr>
              <w:t>25%</w:t>
            </w:r>
          </w:p>
        </w:tc>
      </w:tr>
      <w:tr w:rsidR="00D7204D" w:rsidTr="0038771B" w14:paraId="16AEFE46" w14:textId="77777777">
        <w:tc>
          <w:tcPr>
            <w:cnfStyle w:val="001000000000" w:firstRow="0" w:lastRow="0" w:firstColumn="1" w:lastColumn="0" w:oddVBand="0" w:evenVBand="0" w:oddHBand="0" w:evenHBand="0" w:firstRowFirstColumn="0" w:firstRowLastColumn="0" w:lastRowFirstColumn="0" w:lastRowLastColumn="0"/>
            <w:tcW w:w="2258" w:type="dxa"/>
            <w:vAlign w:val="bottom"/>
          </w:tcPr>
          <w:p w:rsidRPr="00F90A33" w:rsidR="00D7204D" w:rsidP="0038771B" w:rsidRDefault="00D7204D" w14:paraId="76181BF8" w14:textId="77777777">
            <w:pPr>
              <w:contextualSpacing/>
              <w:rPr>
                <w:rFonts w:asciiTheme="minorHAnsi" w:hAnsiTheme="minorHAnsi"/>
                <w:b w:val="0"/>
                <w:bCs w:val="0"/>
              </w:rPr>
            </w:pPr>
            <w:r w:rsidRPr="00F90A33">
              <w:rPr>
                <w:rFonts w:cs="Calibri" w:asciiTheme="minorHAnsi" w:hAnsiTheme="minorHAnsi"/>
                <w:b w:val="0"/>
                <w:bCs w:val="0"/>
              </w:rPr>
              <w:t>90 jaar of ouder</w:t>
            </w:r>
          </w:p>
        </w:tc>
        <w:tc>
          <w:tcPr>
            <w:tcW w:w="1985" w:type="dxa"/>
            <w:vAlign w:val="bottom"/>
          </w:tcPr>
          <w:p w:rsidRPr="00F90A33" w:rsidR="00D7204D" w:rsidP="0038771B" w:rsidRDefault="00D7204D" w14:paraId="15F5EDC3" w14:textId="77777777">
            <w:pPr>
              <w:contextualSpacing/>
              <w:cnfStyle w:val="000000000000" w:firstRow="0" w:lastRow="0" w:firstColumn="0" w:lastColumn="0" w:oddVBand="0" w:evenVBand="0" w:oddHBand="0" w:evenHBand="0" w:firstRowFirstColumn="0" w:firstRowLastColumn="0" w:lastRowFirstColumn="0" w:lastRowLastColumn="0"/>
              <w:rPr>
                <w:rFonts w:cs="Calibri" w:asciiTheme="minorHAnsi" w:hAnsiTheme="minorHAnsi"/>
              </w:rPr>
            </w:pPr>
            <w:r w:rsidRPr="00F90A33">
              <w:rPr>
                <w:rFonts w:cs="Calibri" w:asciiTheme="minorHAnsi" w:hAnsiTheme="minorHAnsi"/>
              </w:rPr>
              <w:t>5%</w:t>
            </w:r>
          </w:p>
        </w:tc>
      </w:tr>
    </w:tbl>
    <w:p w:rsidR="00D7204D" w:rsidP="00D7204D" w:rsidRDefault="00D7204D" w14:paraId="525D9241" w14:textId="77777777">
      <w:pPr>
        <w:contextualSpacing/>
      </w:pPr>
    </w:p>
    <w:p w:rsidR="00A55189" w:rsidP="0078689A" w:rsidRDefault="00D7204D" w14:paraId="6AC0A4BF" w14:textId="77777777">
      <w:pPr>
        <w:contextualSpacing/>
        <w:jc w:val="both"/>
      </w:pPr>
      <w:r>
        <w:t>Tabel 1</w:t>
      </w:r>
      <w:r w:rsidR="0078689A">
        <w:t>3</w:t>
      </w:r>
      <w:r>
        <w:t xml:space="preserve"> toont het </w:t>
      </w:r>
      <w:r w:rsidR="0053782D">
        <w:t xml:space="preserve">lastenrelevante </w:t>
      </w:r>
      <w:r>
        <w:t xml:space="preserve">budgettaire effect voor papieren schenkingen. </w:t>
      </w:r>
      <w:r w:rsidR="0053782D">
        <w:t xml:space="preserve">Hiervoor is </w:t>
      </w:r>
      <w:r>
        <w:t xml:space="preserve">de netto contante waarde van het </w:t>
      </w:r>
      <w:r w:rsidR="0053782D">
        <w:t xml:space="preserve">budgettaire </w:t>
      </w:r>
      <w:r>
        <w:t xml:space="preserve">effect </w:t>
      </w:r>
      <w:r w:rsidR="0053782D">
        <w:t xml:space="preserve">op transactiebasis </w:t>
      </w:r>
      <w:r>
        <w:t xml:space="preserve">berekend, omdat er sprake is van een verschuiving van belastingopbrengsten in de tijd. </w:t>
      </w:r>
    </w:p>
    <w:p w:rsidR="0078689A" w:rsidP="0078689A" w:rsidRDefault="0078689A" w14:paraId="7B7D2B1E" w14:textId="77777777">
      <w:pPr>
        <w:contextualSpacing/>
        <w:jc w:val="both"/>
      </w:pPr>
    </w:p>
    <w:p w:rsidRPr="00D43DBA" w:rsidR="00D7204D" w:rsidP="006839BD" w:rsidRDefault="00D7204D" w14:paraId="0BEC2825" w14:textId="77777777">
      <w:pPr>
        <w:contextualSpacing/>
        <w:rPr>
          <w:rFonts w:eastAsia="Verdana" w:cs="Times New Roman"/>
          <w:bCs/>
          <w:color w:val="4F81BD"/>
        </w:rPr>
      </w:pPr>
      <w:r>
        <w:t xml:space="preserve">Tabel </w:t>
      </w:r>
      <w:proofErr w:type="gramStart"/>
      <w:r>
        <w:t>1</w:t>
      </w:r>
      <w:r w:rsidR="0053782D">
        <w:t>3</w:t>
      </w:r>
      <w:r>
        <w:t xml:space="preserve">  </w:t>
      </w:r>
      <w:r w:rsidR="00377FA4">
        <w:t>Lastenrelevante</w:t>
      </w:r>
      <w:proofErr w:type="gramEnd"/>
      <w:r w:rsidR="00377FA4">
        <w:t xml:space="preserve"> </w:t>
      </w:r>
      <w:r>
        <w:t xml:space="preserve">effect </w:t>
      </w:r>
      <w:r w:rsidR="006839BD">
        <w:t xml:space="preserve">(in </w:t>
      </w:r>
      <w:proofErr w:type="spellStart"/>
      <w:r w:rsidR="006839BD">
        <w:t>mln</w:t>
      </w:r>
      <w:proofErr w:type="spellEnd"/>
      <w:r w:rsidR="006839BD">
        <w:t>)</w:t>
      </w:r>
    </w:p>
    <w:tbl>
      <w:tblPr>
        <w:tblStyle w:val="Lichtelijst-accent111"/>
        <w:tblW w:w="8285" w:type="dxa"/>
        <w:tblInd w:w="-10" w:type="dxa"/>
        <w:tblLook w:val="04A0" w:firstRow="1" w:lastRow="0" w:firstColumn="1" w:lastColumn="0" w:noHBand="0" w:noVBand="1"/>
      </w:tblPr>
      <w:tblGrid>
        <w:gridCol w:w="3392"/>
        <w:gridCol w:w="912"/>
        <w:gridCol w:w="790"/>
        <w:gridCol w:w="790"/>
        <w:gridCol w:w="790"/>
        <w:gridCol w:w="790"/>
        <w:gridCol w:w="821"/>
      </w:tblGrid>
      <w:tr w:rsidRPr="00D43DBA" w:rsidR="00DA26B5" w:rsidTr="00DA26B5" w14:paraId="4FA9989B"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DA26B5" w:rsidP="0038771B" w:rsidRDefault="00DA26B5" w14:paraId="7DCCCBDC" w14:textId="77777777">
            <w:pPr>
              <w:adjustRightInd w:val="0"/>
              <w:contextualSpacing/>
              <w:jc w:val="center"/>
              <w:rPr>
                <w:rFonts w:asciiTheme="minorHAnsi" w:hAnsiTheme="minorHAnsi" w:cstheme="minorHAnsi"/>
                <w:noProof/>
              </w:rPr>
            </w:pPr>
          </w:p>
        </w:tc>
        <w:tc>
          <w:tcPr>
            <w:tcW w:w="912" w:type="dxa"/>
            <w:hideMark/>
          </w:tcPr>
          <w:p w:rsidRPr="00E07B63" w:rsidR="00DA26B5" w:rsidP="0038771B" w:rsidRDefault="00DA26B5" w14:paraId="34B5AE82"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2027</w:t>
            </w:r>
          </w:p>
        </w:tc>
        <w:tc>
          <w:tcPr>
            <w:tcW w:w="790" w:type="dxa"/>
            <w:hideMark/>
          </w:tcPr>
          <w:p w:rsidRPr="00E07B63" w:rsidR="00DA26B5" w:rsidP="0038771B" w:rsidRDefault="00DA26B5" w14:paraId="38F4872C"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2028</w:t>
            </w:r>
          </w:p>
        </w:tc>
        <w:tc>
          <w:tcPr>
            <w:tcW w:w="790" w:type="dxa"/>
            <w:hideMark/>
          </w:tcPr>
          <w:p w:rsidRPr="00E07B63" w:rsidR="00DA26B5" w:rsidP="0038771B" w:rsidRDefault="00DA26B5" w14:paraId="17F26393"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2029</w:t>
            </w:r>
          </w:p>
        </w:tc>
        <w:tc>
          <w:tcPr>
            <w:tcW w:w="790" w:type="dxa"/>
            <w:hideMark/>
          </w:tcPr>
          <w:p w:rsidRPr="00E07B63" w:rsidR="00DA26B5" w:rsidP="0038771B" w:rsidRDefault="00DA26B5" w14:paraId="48E2C7E8"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2030</w:t>
            </w:r>
          </w:p>
        </w:tc>
        <w:tc>
          <w:tcPr>
            <w:tcW w:w="790" w:type="dxa"/>
          </w:tcPr>
          <w:p w:rsidRPr="00E07B63" w:rsidR="00DA26B5" w:rsidP="0038771B" w:rsidRDefault="00DA26B5" w14:paraId="3F1BF064"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E07B63" w:rsidR="00DA26B5" w:rsidP="0038771B" w:rsidRDefault="00DA26B5" w14:paraId="2DE1EF64"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w:t>
            </w:r>
          </w:p>
        </w:tc>
      </w:tr>
      <w:tr w:rsidRPr="00D43DBA" w:rsidR="00DA26B5" w:rsidTr="00DA26B5" w14:paraId="0E68BA4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Pr="00D43DBA" w:rsidR="00DA26B5" w:rsidP="0038771B" w:rsidRDefault="00DA26B5" w14:paraId="385064E0" w14:textId="77777777">
            <w:pPr>
              <w:contextualSpacing/>
              <w:rPr>
                <w:rFonts w:asciiTheme="minorHAnsi" w:hAnsiTheme="minorHAnsi" w:cstheme="minorHAnsi"/>
                <w:b w:val="0"/>
                <w:bCs w:val="0"/>
              </w:rPr>
            </w:pPr>
            <w:r>
              <w:rPr>
                <w:rFonts w:asciiTheme="minorHAnsi" w:hAnsiTheme="minorHAnsi" w:cstheme="minorHAnsi"/>
                <w:b w:val="0"/>
                <w:bCs w:val="0"/>
              </w:rPr>
              <w:t>Papieren schenkingen</w:t>
            </w:r>
          </w:p>
        </w:tc>
        <w:tc>
          <w:tcPr>
            <w:tcW w:w="912" w:type="dxa"/>
            <w:vAlign w:val="center"/>
          </w:tcPr>
          <w:p w:rsidRPr="0006063E" w:rsidR="00DA26B5" w:rsidP="0038771B" w:rsidRDefault="00DA26B5" w14:paraId="7F3AB4CC"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DA26B5" w:rsidP="0038771B" w:rsidRDefault="00DA26B5" w14:paraId="0A36E4A2"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bCs/>
                <w:noProof/>
              </w:rPr>
              <w:t>37</w:t>
            </w:r>
          </w:p>
        </w:tc>
        <w:tc>
          <w:tcPr>
            <w:tcW w:w="790" w:type="dxa"/>
            <w:vAlign w:val="center"/>
          </w:tcPr>
          <w:p w:rsidRPr="0006063E" w:rsidR="00DA26B5" w:rsidP="0038771B" w:rsidRDefault="00DA26B5" w14:paraId="76EDCB54"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bCs/>
                <w:noProof/>
              </w:rPr>
              <w:t>37</w:t>
            </w:r>
          </w:p>
        </w:tc>
        <w:tc>
          <w:tcPr>
            <w:tcW w:w="790" w:type="dxa"/>
            <w:vAlign w:val="center"/>
          </w:tcPr>
          <w:p w:rsidRPr="0006063E" w:rsidR="00DA26B5" w:rsidP="0038771B" w:rsidRDefault="00DA26B5" w14:paraId="1B9E435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bCs/>
                <w:noProof/>
              </w:rPr>
              <w:t>37</w:t>
            </w:r>
          </w:p>
        </w:tc>
        <w:tc>
          <w:tcPr>
            <w:tcW w:w="790" w:type="dxa"/>
            <w:vAlign w:val="center"/>
          </w:tcPr>
          <w:p w:rsidRPr="0006063E" w:rsidR="00DA26B5" w:rsidP="0038771B" w:rsidRDefault="00DA26B5" w14:paraId="218B055A"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bCs/>
                <w:noProof/>
              </w:rPr>
              <w:t>37</w:t>
            </w:r>
          </w:p>
        </w:tc>
        <w:tc>
          <w:tcPr>
            <w:tcW w:w="821" w:type="dxa"/>
            <w:vAlign w:val="center"/>
          </w:tcPr>
          <w:p w:rsidRPr="00D43DBA" w:rsidR="00DA26B5" w:rsidP="0038771B" w:rsidRDefault="00DA26B5" w14:paraId="6D591ADE"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bCs/>
                <w:noProof/>
              </w:rPr>
              <w:t>37</w:t>
            </w:r>
          </w:p>
        </w:tc>
      </w:tr>
    </w:tbl>
    <w:p w:rsidR="00D7204D" w:rsidP="00D7204D" w:rsidRDefault="00D7204D" w14:paraId="62BFD4FE" w14:textId="77777777">
      <w:pPr>
        <w:contextualSpacing/>
      </w:pPr>
    </w:p>
    <w:p w:rsidRPr="00D60687" w:rsidR="00D7204D" w:rsidP="00D7204D" w:rsidRDefault="00D7204D" w14:paraId="745AF6E0" w14:textId="77777777">
      <w:pPr>
        <w:contextualSpacing/>
      </w:pPr>
    </w:p>
    <w:p w:rsidR="00D7204D" w:rsidP="00D7204D" w:rsidRDefault="00D7204D" w14:paraId="60BDF113" w14:textId="77777777">
      <w:pPr>
        <w:pStyle w:val="Lijstalinea"/>
        <w:numPr>
          <w:ilvl w:val="0"/>
          <w:numId w:val="6"/>
        </w:numPr>
        <w:rPr>
          <w:b/>
          <w:bCs/>
        </w:rPr>
      </w:pPr>
      <w:r w:rsidRPr="00A86880">
        <w:rPr>
          <w:b/>
          <w:bCs/>
        </w:rPr>
        <w:t>Overige toepassingen van forfaits gebaseerd op de rente en levensverwachting binnen de schenk- en erfbelasting</w:t>
      </w:r>
    </w:p>
    <w:p w:rsidR="00D7204D" w:rsidP="00D7204D" w:rsidRDefault="00D7204D" w14:paraId="71D64FEC" w14:textId="77777777"/>
    <w:p w:rsidR="00D7204D" w:rsidP="00D7204D" w:rsidRDefault="00D7204D" w14:paraId="45C511C3" w14:textId="77777777">
      <w:pPr>
        <w:jc w:val="both"/>
      </w:pPr>
      <w:r w:rsidRPr="00255452">
        <w:t>De te moderniseren forfaits</w:t>
      </w:r>
      <w:r>
        <w:t xml:space="preserve"> worden ook toegepast om de gekapitaliseerde waarde te bepalen van schenkingen van vruchtgebruik, schenkingen van periodieke uitkeringen en schenkingen of erflating van onroerende zaken waar erfpacht op rust. Het aantal schenkingen en nalatenschappen waarin dit voorkomt is echter beperkt. Voor de overige toepassingen leidt modernisering naar verwachting per saldo tot een budgettaire derving van € 8 miljoen. Het grootste belang binnen deze groep wordt gevormd door schenkingen en erflatingen van onroerende zaken waar erfpacht op rust. Door de lagere rekenrente neemt de waarde van de gekapitaliseerde erfpachtcanon toe. Hierdoor neemt de heffingsgrondslag af, omdat de gekapitaliseerde erfpachtcanon in mindering wordt gebracht op de WOZ-waarde. Door de lagere heffingsgrondslag neemt de verschuldigde schenk</w:t>
      </w:r>
      <w:proofErr w:type="gramStart"/>
      <w:r>
        <w:t>-  of</w:t>
      </w:r>
      <w:proofErr w:type="gramEnd"/>
      <w:r>
        <w:t xml:space="preserve"> erfbelasting af.</w:t>
      </w:r>
    </w:p>
    <w:p w:rsidR="00D7204D" w:rsidP="00D7204D" w:rsidRDefault="00D7204D" w14:paraId="34473796" w14:textId="77777777">
      <w:pPr>
        <w:jc w:val="both"/>
        <w:rPr>
          <w:b/>
          <w:bCs/>
        </w:rPr>
      </w:pPr>
    </w:p>
    <w:p w:rsidR="00D7204D" w:rsidP="0078689A" w:rsidRDefault="00D7204D" w14:paraId="2B2C55DA" w14:textId="77777777">
      <w:pPr>
        <w:contextualSpacing/>
        <w:jc w:val="both"/>
        <w:rPr>
          <w:rFonts w:eastAsia="Verdana" w:cs="Times New Roman"/>
          <w:bCs/>
          <w:color w:val="4F81BD"/>
        </w:rPr>
      </w:pPr>
      <w:r>
        <w:t xml:space="preserve">Tabel </w:t>
      </w:r>
      <w:proofErr w:type="gramStart"/>
      <w:r>
        <w:t>1</w:t>
      </w:r>
      <w:r w:rsidR="0053782D">
        <w:t>4</w:t>
      </w:r>
      <w:r>
        <w:t xml:space="preserve">  </w:t>
      </w:r>
      <w:r w:rsidR="0078689A">
        <w:t>Budgettair</w:t>
      </w:r>
      <w:proofErr w:type="gramEnd"/>
      <w:r w:rsidR="0078689A">
        <w:t xml:space="preserve"> effect</w:t>
      </w:r>
      <w:r>
        <w:t xml:space="preserve"> modernisering forfaits overige toepassingen binnen schenk- en erfbelasting</w:t>
      </w:r>
      <w:r w:rsidRPr="00D43DBA">
        <w:rPr>
          <w:rFonts w:eastAsia="Verdana" w:cs="Times New Roman"/>
          <w:bCs/>
          <w:color w:val="4F81BD"/>
        </w:rPr>
        <w:t xml:space="preserve"> </w:t>
      </w:r>
      <w:r w:rsidRPr="00C82CDF" w:rsidR="0078689A">
        <w:t xml:space="preserve">(transactiebasis, </w:t>
      </w:r>
      <w:proofErr w:type="spellStart"/>
      <w:r w:rsidRPr="00C82CDF" w:rsidR="0078689A">
        <w:t>mln</w:t>
      </w:r>
      <w:proofErr w:type="spellEnd"/>
      <w:r w:rsidRPr="00C82CDF" w:rsidR="0078689A">
        <w:t xml:space="preserve"> euro, + is </w:t>
      </w:r>
      <w:proofErr w:type="spellStart"/>
      <w:r w:rsidRPr="00C82CDF" w:rsidR="0078689A">
        <w:t>saldoverbeterend</w:t>
      </w:r>
      <w:proofErr w:type="spellEnd"/>
      <w:r w:rsidRPr="00C82CDF" w:rsidR="0078689A">
        <w:t>)</w:t>
      </w:r>
    </w:p>
    <w:tbl>
      <w:tblPr>
        <w:tblStyle w:val="Lichtelijst-accent111"/>
        <w:tblpPr w:leftFromText="141" w:rightFromText="141" w:vertAnchor="text" w:horzAnchor="margin" w:tblpY="88"/>
        <w:tblW w:w="9052" w:type="dxa"/>
        <w:tblLook w:val="04A0" w:firstRow="1" w:lastRow="0" w:firstColumn="1" w:lastColumn="0" w:noHBand="0" w:noVBand="1"/>
      </w:tblPr>
      <w:tblGrid>
        <w:gridCol w:w="3392"/>
        <w:gridCol w:w="912"/>
        <w:gridCol w:w="790"/>
        <w:gridCol w:w="790"/>
        <w:gridCol w:w="790"/>
        <w:gridCol w:w="790"/>
        <w:gridCol w:w="821"/>
        <w:gridCol w:w="767"/>
      </w:tblGrid>
      <w:tr w:rsidRPr="00D43DBA" w:rsidR="00E07B63" w:rsidTr="00E07B63" w14:paraId="6D50B9B3"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92" w:type="dxa"/>
          </w:tcPr>
          <w:p w:rsidRPr="00D43DBA" w:rsidR="00E07B63" w:rsidP="00E07B63" w:rsidRDefault="00E07B63" w14:paraId="5EE6564C" w14:textId="77777777">
            <w:pPr>
              <w:adjustRightInd w:val="0"/>
              <w:contextualSpacing/>
              <w:jc w:val="center"/>
              <w:rPr>
                <w:rFonts w:asciiTheme="minorHAnsi" w:hAnsiTheme="minorHAnsi" w:cstheme="minorHAnsi"/>
                <w:noProof/>
              </w:rPr>
            </w:pPr>
          </w:p>
        </w:tc>
        <w:tc>
          <w:tcPr>
            <w:tcW w:w="912" w:type="dxa"/>
            <w:hideMark/>
          </w:tcPr>
          <w:p w:rsidRPr="00E07B63" w:rsidR="00E07B63" w:rsidP="00E07B63" w:rsidRDefault="00E07B63" w14:paraId="4589941A"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2027</w:t>
            </w:r>
          </w:p>
        </w:tc>
        <w:tc>
          <w:tcPr>
            <w:tcW w:w="790" w:type="dxa"/>
            <w:hideMark/>
          </w:tcPr>
          <w:p w:rsidRPr="00E07B63" w:rsidR="00E07B63" w:rsidP="00E07B63" w:rsidRDefault="00E07B63" w14:paraId="4A0371E7"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2028</w:t>
            </w:r>
          </w:p>
        </w:tc>
        <w:tc>
          <w:tcPr>
            <w:tcW w:w="790" w:type="dxa"/>
            <w:hideMark/>
          </w:tcPr>
          <w:p w:rsidRPr="00E07B63" w:rsidR="00E07B63" w:rsidP="00E07B63" w:rsidRDefault="00E07B63" w14:paraId="01357733"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2029</w:t>
            </w:r>
          </w:p>
        </w:tc>
        <w:tc>
          <w:tcPr>
            <w:tcW w:w="790" w:type="dxa"/>
            <w:hideMark/>
          </w:tcPr>
          <w:p w:rsidRPr="00E07B63" w:rsidR="00E07B63" w:rsidP="00E07B63" w:rsidRDefault="00E07B63" w14:paraId="7B2A8F8E"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2030</w:t>
            </w:r>
          </w:p>
        </w:tc>
        <w:tc>
          <w:tcPr>
            <w:tcW w:w="790" w:type="dxa"/>
          </w:tcPr>
          <w:p w:rsidRPr="00E07B63" w:rsidR="00E07B63" w:rsidP="00E07B63" w:rsidRDefault="00E07B63" w14:paraId="2AD224FD"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E07B63" w:rsidR="00E07B63" w:rsidP="00E07B63" w:rsidRDefault="00E07B63" w14:paraId="5AE1BA3A"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w:t>
            </w:r>
          </w:p>
        </w:tc>
        <w:tc>
          <w:tcPr>
            <w:tcW w:w="767" w:type="dxa"/>
          </w:tcPr>
          <w:p w:rsidRPr="00E07B63" w:rsidR="00E07B63" w:rsidP="00E07B63" w:rsidRDefault="00E07B63" w14:paraId="20B22561" w14:textId="77777777">
            <w:pPr>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rPr>
            </w:pPr>
            <w:r w:rsidRPr="00E07B63">
              <w:rPr>
                <w:rFonts w:asciiTheme="minorHAnsi" w:hAnsiTheme="minorHAnsi" w:cstheme="minorHAnsi"/>
                <w:noProof/>
                <w:color w:val="FFFFFF" w:themeColor="background1"/>
              </w:rPr>
              <w:t>Struc. in</w:t>
            </w:r>
          </w:p>
        </w:tc>
      </w:tr>
      <w:tr w:rsidRPr="00D43DBA" w:rsidR="00E07B63" w:rsidTr="00E07B63" w14:paraId="7449B4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392" w:type="dxa"/>
          </w:tcPr>
          <w:p w:rsidRPr="00D43DBA" w:rsidR="00E07B63" w:rsidP="00E07B63" w:rsidRDefault="00E07B63" w14:paraId="4CF10276" w14:textId="77777777">
            <w:pPr>
              <w:contextualSpacing/>
              <w:rPr>
                <w:rFonts w:asciiTheme="minorHAnsi" w:hAnsiTheme="minorHAnsi" w:cstheme="minorHAnsi"/>
                <w:b w:val="0"/>
                <w:bCs w:val="0"/>
              </w:rPr>
            </w:pPr>
            <w:r>
              <w:rPr>
                <w:rFonts w:asciiTheme="minorHAnsi" w:hAnsiTheme="minorHAnsi" w:cstheme="minorHAnsi"/>
                <w:b w:val="0"/>
                <w:bCs w:val="0"/>
              </w:rPr>
              <w:t>Overige toepassingen</w:t>
            </w:r>
          </w:p>
        </w:tc>
        <w:tc>
          <w:tcPr>
            <w:tcW w:w="912" w:type="dxa"/>
            <w:vAlign w:val="center"/>
          </w:tcPr>
          <w:p w:rsidRPr="0006063E" w:rsidR="00E07B63" w:rsidP="00E07B63" w:rsidRDefault="00E07B63" w14:paraId="54F83B36"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790" w:type="dxa"/>
            <w:vAlign w:val="center"/>
          </w:tcPr>
          <w:p w:rsidRPr="0006063E" w:rsidR="00E07B63" w:rsidP="00E07B63" w:rsidRDefault="00E07B63" w14:paraId="5204785C"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-8</w:t>
            </w:r>
          </w:p>
        </w:tc>
        <w:tc>
          <w:tcPr>
            <w:tcW w:w="790" w:type="dxa"/>
            <w:vAlign w:val="center"/>
          </w:tcPr>
          <w:p w:rsidRPr="0006063E" w:rsidR="00E07B63" w:rsidP="00E07B63" w:rsidRDefault="00E07B63" w14:paraId="108A30E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-8</w:t>
            </w:r>
          </w:p>
        </w:tc>
        <w:tc>
          <w:tcPr>
            <w:tcW w:w="790" w:type="dxa"/>
            <w:vAlign w:val="center"/>
          </w:tcPr>
          <w:p w:rsidRPr="0006063E" w:rsidR="00E07B63" w:rsidP="00E07B63" w:rsidRDefault="00E07B63" w14:paraId="20839CDC"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-8</w:t>
            </w:r>
          </w:p>
        </w:tc>
        <w:tc>
          <w:tcPr>
            <w:tcW w:w="790" w:type="dxa"/>
            <w:vAlign w:val="center"/>
          </w:tcPr>
          <w:p w:rsidRPr="0006063E" w:rsidR="00E07B63" w:rsidP="00E07B63" w:rsidRDefault="00E07B63" w14:paraId="74257691"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-8</w:t>
            </w:r>
          </w:p>
        </w:tc>
        <w:tc>
          <w:tcPr>
            <w:tcW w:w="821" w:type="dxa"/>
            <w:vAlign w:val="center"/>
          </w:tcPr>
          <w:p w:rsidRPr="00D43DBA" w:rsidR="00E07B63" w:rsidP="00E07B63" w:rsidRDefault="00E07B63" w14:paraId="5C427FED"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-8</w:t>
            </w:r>
          </w:p>
        </w:tc>
        <w:tc>
          <w:tcPr>
            <w:tcW w:w="767" w:type="dxa"/>
            <w:vAlign w:val="center"/>
          </w:tcPr>
          <w:p w:rsidRPr="00D43DBA" w:rsidR="00E07B63" w:rsidP="00E07B63" w:rsidRDefault="00E07B63" w14:paraId="7E328C9F" w14:textId="77777777">
            <w:pPr>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2028</w:t>
            </w:r>
          </w:p>
        </w:tc>
      </w:tr>
    </w:tbl>
    <w:p w:rsidRPr="00D43DBA" w:rsidR="00E07B63" w:rsidP="00D7204D" w:rsidRDefault="00E07B63" w14:paraId="4AA58068" w14:textId="77777777">
      <w:pPr>
        <w:keepNext/>
        <w:spacing w:line="240" w:lineRule="auto"/>
        <w:contextualSpacing/>
        <w:rPr>
          <w:rFonts w:eastAsia="Verdana" w:cs="Times New Roman"/>
          <w:bCs/>
          <w:color w:val="4F81BD"/>
        </w:rPr>
      </w:pPr>
    </w:p>
    <w:p w:rsidRPr="008A1D2D" w:rsidR="00D7204D" w:rsidP="00D7204D" w:rsidRDefault="00D7204D" w14:paraId="4A3BDFBC" w14:textId="77777777">
      <w:pPr>
        <w:rPr>
          <w:b/>
          <w:bCs/>
        </w:rPr>
      </w:pPr>
    </w:p>
    <w:p w:rsidR="00E954AA" w:rsidRDefault="00E954AA" w14:paraId="760313D9" w14:textId="77777777"/>
    <w:p w:rsidR="00E954AA" w:rsidRDefault="00E954AA" w14:paraId="6F1D62E4" w14:textId="77777777"/>
    <w:p w:rsidR="00E954AA" w:rsidRDefault="00E954AA" w14:paraId="5567B6CB" w14:textId="77777777"/>
    <w:p w:rsidR="00E954AA" w:rsidRDefault="00E954AA" w14:paraId="06DC6E3B" w14:textId="77777777"/>
    <w:sectPr w:rsidR="00E954AA">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8DDD" w14:textId="77777777" w:rsidR="00D7204D" w:rsidRDefault="00D7204D">
      <w:pPr>
        <w:spacing w:line="240" w:lineRule="auto"/>
      </w:pPr>
      <w:r>
        <w:separator/>
      </w:r>
    </w:p>
  </w:endnote>
  <w:endnote w:type="continuationSeparator" w:id="0">
    <w:p w14:paraId="1302BA31" w14:textId="77777777" w:rsidR="00D7204D" w:rsidRDefault="00D72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ris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DA53" w14:textId="77777777" w:rsidR="00D7204D" w:rsidRDefault="00D7204D">
      <w:pPr>
        <w:spacing w:line="240" w:lineRule="auto"/>
      </w:pPr>
      <w:r>
        <w:separator/>
      </w:r>
    </w:p>
  </w:footnote>
  <w:footnote w:type="continuationSeparator" w:id="0">
    <w:p w14:paraId="7F336B95" w14:textId="77777777" w:rsidR="00D7204D" w:rsidRDefault="00D7204D">
      <w:pPr>
        <w:spacing w:line="240" w:lineRule="auto"/>
      </w:pPr>
      <w:r>
        <w:continuationSeparator/>
      </w:r>
    </w:p>
  </w:footnote>
  <w:footnote w:id="1">
    <w:p w14:paraId="4E951AF2" w14:textId="77777777" w:rsidR="00D7204D" w:rsidRPr="00E07B63" w:rsidRDefault="00D7204D" w:rsidP="00D7204D">
      <w:pPr>
        <w:contextualSpacing/>
        <w:jc w:val="both"/>
        <w:rPr>
          <w:sz w:val="16"/>
          <w:szCs w:val="16"/>
        </w:rPr>
      </w:pPr>
      <w:r w:rsidRPr="00E07B63">
        <w:rPr>
          <w:rStyle w:val="Voetnootmarkering"/>
          <w:sz w:val="16"/>
          <w:szCs w:val="16"/>
        </w:rPr>
        <w:footnoteRef/>
      </w:r>
      <w:r w:rsidRPr="00E07B63">
        <w:rPr>
          <w:sz w:val="16"/>
          <w:szCs w:val="16"/>
        </w:rPr>
        <w:t xml:space="preserve"> Gebaseerd op CPB-ramingen voor de lange rente in het eurogebied (cMEV26).</w:t>
      </w:r>
    </w:p>
  </w:footnote>
  <w:footnote w:id="2">
    <w:p w14:paraId="4937820A" w14:textId="77777777" w:rsidR="00E10FE0" w:rsidRPr="00105B94" w:rsidRDefault="00E10FE0" w:rsidP="00E10FE0">
      <w:pPr>
        <w:pStyle w:val="Voetnoottekst"/>
        <w:rPr>
          <w:sz w:val="16"/>
          <w:szCs w:val="16"/>
          <w:lang w:val="nl-NL"/>
        </w:rPr>
      </w:pPr>
      <w:r w:rsidRPr="00E07B63">
        <w:rPr>
          <w:rStyle w:val="Voetnootmarkering"/>
          <w:sz w:val="16"/>
          <w:szCs w:val="16"/>
        </w:rPr>
        <w:footnoteRef/>
      </w:r>
      <w:r w:rsidRPr="00E07B63">
        <w:rPr>
          <w:sz w:val="16"/>
          <w:szCs w:val="16"/>
          <w:lang w:val="nl-NL"/>
        </w:rPr>
        <w:t xml:space="preserve">  Bij langere looptijden wordt er voor een langere periode verdisconteerd en werkt een wijziging van de rekenrente relatief sterker door vanwege het rente-op-rente effect.</w:t>
      </w:r>
      <w:r w:rsidRPr="00105B94">
        <w:rPr>
          <w:rFonts w:asciiTheme="minorHAnsi" w:hAnsiTheme="minorHAnsi"/>
          <w:sz w:val="16"/>
          <w:szCs w:val="16"/>
          <w:lang w:val="nl-NL"/>
        </w:rPr>
        <w:t xml:space="preserve"> </w:t>
      </w:r>
    </w:p>
  </w:footnote>
  <w:footnote w:id="3">
    <w:p w14:paraId="7184A873" w14:textId="77777777" w:rsidR="00D7204D" w:rsidRPr="009013D7" w:rsidRDefault="00D7204D" w:rsidP="00D7204D">
      <w:pPr>
        <w:pStyle w:val="Voetnoottekst"/>
        <w:rPr>
          <w:rFonts w:asciiTheme="minorHAnsi" w:hAnsiTheme="minorHAnsi"/>
          <w:sz w:val="16"/>
          <w:szCs w:val="16"/>
          <w:lang w:val="nl-NL"/>
        </w:rPr>
      </w:pPr>
      <w:r w:rsidRPr="009013D7">
        <w:rPr>
          <w:rStyle w:val="Voetnootmarkering"/>
          <w:rFonts w:asciiTheme="minorHAnsi" w:hAnsiTheme="minorHAnsi"/>
          <w:sz w:val="16"/>
          <w:szCs w:val="16"/>
        </w:rPr>
        <w:footnoteRef/>
      </w:r>
      <w:r w:rsidRPr="009013D7">
        <w:rPr>
          <w:rFonts w:asciiTheme="minorHAnsi" w:hAnsiTheme="minorHAnsi"/>
          <w:sz w:val="16"/>
          <w:szCs w:val="16"/>
          <w:lang w:val="nl-NL"/>
        </w:rPr>
        <w:t xml:space="preserve"> Naar alle waarschijnlijkheid gaat het om nalatenschappen waarbij het testament is opgesteld in </w:t>
      </w:r>
      <w:r>
        <w:rPr>
          <w:rFonts w:asciiTheme="minorHAnsi" w:hAnsiTheme="minorHAnsi"/>
          <w:sz w:val="16"/>
          <w:szCs w:val="16"/>
          <w:lang w:val="nl-NL"/>
        </w:rPr>
        <w:t>een</w:t>
      </w:r>
      <w:r w:rsidRPr="009013D7">
        <w:rPr>
          <w:rFonts w:asciiTheme="minorHAnsi" w:hAnsiTheme="minorHAnsi"/>
          <w:sz w:val="16"/>
          <w:szCs w:val="16"/>
          <w:lang w:val="nl-NL"/>
        </w:rPr>
        <w:t xml:space="preserve"> periode waarin </w:t>
      </w:r>
      <w:r>
        <w:rPr>
          <w:rFonts w:asciiTheme="minorHAnsi" w:hAnsiTheme="minorHAnsi"/>
          <w:sz w:val="16"/>
          <w:szCs w:val="16"/>
          <w:lang w:val="nl-NL"/>
        </w:rPr>
        <w:t xml:space="preserve">een </w:t>
      </w:r>
      <w:r w:rsidRPr="009013D7">
        <w:rPr>
          <w:rFonts w:asciiTheme="minorHAnsi" w:hAnsiTheme="minorHAnsi"/>
          <w:sz w:val="16"/>
          <w:szCs w:val="16"/>
          <w:lang w:val="nl-NL"/>
        </w:rPr>
        <w:t xml:space="preserve">andere </w:t>
      </w:r>
      <w:proofErr w:type="gramStart"/>
      <w:r>
        <w:rPr>
          <w:rFonts w:asciiTheme="minorHAnsi" w:hAnsiTheme="minorHAnsi"/>
          <w:sz w:val="16"/>
          <w:szCs w:val="16"/>
          <w:lang w:val="nl-NL"/>
        </w:rPr>
        <w:t xml:space="preserve">normrente </w:t>
      </w:r>
      <w:r w:rsidRPr="009013D7">
        <w:rPr>
          <w:rFonts w:asciiTheme="minorHAnsi" w:hAnsiTheme="minorHAnsi"/>
          <w:sz w:val="16"/>
          <w:szCs w:val="16"/>
          <w:lang w:val="nl-NL"/>
        </w:rPr>
        <w:t xml:space="preserve"> voor</w:t>
      </w:r>
      <w:proofErr w:type="gramEnd"/>
      <w:r w:rsidRPr="009013D7">
        <w:rPr>
          <w:rFonts w:asciiTheme="minorHAnsi" w:hAnsiTheme="minorHAnsi"/>
          <w:sz w:val="16"/>
          <w:szCs w:val="16"/>
          <w:lang w:val="nl-NL"/>
        </w:rPr>
        <w:t xml:space="preserve"> het fictief </w:t>
      </w:r>
      <w:proofErr w:type="spellStart"/>
      <w:r w:rsidRPr="009013D7">
        <w:rPr>
          <w:rFonts w:asciiTheme="minorHAnsi" w:hAnsiTheme="minorHAnsi"/>
          <w:sz w:val="16"/>
          <w:szCs w:val="16"/>
          <w:lang w:val="nl-NL"/>
        </w:rPr>
        <w:t>vruchtgebruikpercentage</w:t>
      </w:r>
      <w:proofErr w:type="spellEnd"/>
      <w:r w:rsidRPr="009013D7">
        <w:rPr>
          <w:rFonts w:asciiTheme="minorHAnsi" w:hAnsiTheme="minorHAnsi"/>
          <w:sz w:val="16"/>
          <w:szCs w:val="16"/>
          <w:lang w:val="nl-NL"/>
        </w:rPr>
        <w:t xml:space="preserve"> gold (</w:t>
      </w:r>
      <w:r>
        <w:rPr>
          <w:rFonts w:asciiTheme="minorHAnsi" w:hAnsiTheme="minorHAnsi"/>
          <w:sz w:val="16"/>
          <w:szCs w:val="16"/>
          <w:lang w:val="nl-NL"/>
        </w:rPr>
        <w:t xml:space="preserve">normrente </w:t>
      </w:r>
      <w:r w:rsidRPr="009013D7">
        <w:rPr>
          <w:rFonts w:asciiTheme="minorHAnsi" w:hAnsiTheme="minorHAnsi"/>
          <w:sz w:val="16"/>
          <w:szCs w:val="16"/>
          <w:lang w:val="nl-NL"/>
        </w:rPr>
        <w:t xml:space="preserve">4% of 5%). </w:t>
      </w:r>
      <w:r>
        <w:rPr>
          <w:rFonts w:asciiTheme="minorHAnsi" w:hAnsiTheme="minorHAnsi"/>
          <w:sz w:val="16"/>
          <w:szCs w:val="16"/>
          <w:lang w:val="nl-NL"/>
        </w:rPr>
        <w:t xml:space="preserve">Daarnaast kan het om nalatenschappen gaan waarbij er </w:t>
      </w:r>
      <w:r w:rsidRPr="009013D7">
        <w:rPr>
          <w:rFonts w:asciiTheme="minorHAnsi" w:hAnsiTheme="minorHAnsi"/>
          <w:sz w:val="16"/>
          <w:szCs w:val="16"/>
          <w:lang w:val="nl-NL"/>
        </w:rPr>
        <w:t xml:space="preserve">bewust niet gekozen is voor het maximale percentage van 6% om er bijvoorbeeld zo voor te zorgen dat </w:t>
      </w:r>
      <w:r>
        <w:rPr>
          <w:rFonts w:asciiTheme="minorHAnsi" w:hAnsiTheme="minorHAnsi"/>
          <w:sz w:val="16"/>
          <w:szCs w:val="16"/>
          <w:lang w:val="nl-NL"/>
        </w:rPr>
        <w:t xml:space="preserve">er minder erfbelasting door </w:t>
      </w:r>
      <w:r w:rsidRPr="009013D7">
        <w:rPr>
          <w:rFonts w:asciiTheme="minorHAnsi" w:hAnsiTheme="minorHAnsi"/>
          <w:sz w:val="16"/>
          <w:szCs w:val="16"/>
          <w:lang w:val="nl-NL"/>
        </w:rPr>
        <w:t xml:space="preserve">de kinderen bij het eerste overlijden </w:t>
      </w:r>
      <w:r>
        <w:rPr>
          <w:rFonts w:asciiTheme="minorHAnsi" w:hAnsiTheme="minorHAnsi"/>
          <w:sz w:val="16"/>
          <w:szCs w:val="16"/>
          <w:lang w:val="nl-NL"/>
        </w:rPr>
        <w:t>is verschuldigd</w:t>
      </w:r>
      <w:r w:rsidRPr="009013D7">
        <w:rPr>
          <w:rFonts w:asciiTheme="minorHAnsi" w:hAnsiTheme="minorHAnsi"/>
          <w:sz w:val="16"/>
          <w:szCs w:val="16"/>
          <w:lang w:val="nl-NL"/>
        </w:rPr>
        <w:t>.</w:t>
      </w:r>
    </w:p>
  </w:footnote>
  <w:footnote w:id="4">
    <w:p w14:paraId="093F366C" w14:textId="77777777" w:rsidR="00E10FE0" w:rsidRPr="00BF7C5B" w:rsidRDefault="00E10FE0" w:rsidP="00E10FE0">
      <w:pPr>
        <w:pStyle w:val="Voetnoottekst"/>
        <w:rPr>
          <w:rFonts w:asciiTheme="minorHAnsi" w:hAnsiTheme="minorHAnsi"/>
          <w:sz w:val="16"/>
          <w:szCs w:val="16"/>
          <w:lang w:val="nl-NL"/>
        </w:rPr>
      </w:pPr>
      <w:r w:rsidRPr="00BF7C5B">
        <w:rPr>
          <w:rStyle w:val="Voetnootmarkering"/>
          <w:rFonts w:asciiTheme="minorHAnsi" w:hAnsiTheme="minorHAnsi"/>
          <w:sz w:val="16"/>
          <w:szCs w:val="16"/>
        </w:rPr>
        <w:footnoteRef/>
      </w:r>
      <w:r w:rsidRPr="00BF7C5B">
        <w:rPr>
          <w:rFonts w:asciiTheme="minorHAnsi" w:hAnsiTheme="minorHAnsi"/>
          <w:sz w:val="16"/>
          <w:szCs w:val="16"/>
          <w:lang w:val="nl-NL"/>
        </w:rPr>
        <w:t xml:space="preserve"> De hogere levensverwachting heeft een opwaarts effect op de hoogte van het fictief vruchtgebruik, maar het effect van de lagere rekenrente is sterker waardoor per saldo het fictief vruchtgebruik zal afnemen.</w:t>
      </w:r>
    </w:p>
  </w:footnote>
  <w:footnote w:id="5">
    <w:p w14:paraId="59177D69" w14:textId="77777777" w:rsidR="00D7204D" w:rsidRPr="00BF7C5B" w:rsidRDefault="00D7204D" w:rsidP="00D7204D">
      <w:pPr>
        <w:pStyle w:val="Voetnoottekst"/>
        <w:rPr>
          <w:rFonts w:asciiTheme="minorHAnsi" w:hAnsiTheme="minorHAnsi"/>
          <w:sz w:val="16"/>
          <w:szCs w:val="16"/>
          <w:lang w:val="nl-NL"/>
        </w:rPr>
      </w:pPr>
      <w:r w:rsidRPr="00BF7C5B">
        <w:rPr>
          <w:rStyle w:val="Voetnootmarkering"/>
          <w:rFonts w:asciiTheme="minorHAnsi" w:hAnsiTheme="minorHAnsi"/>
          <w:sz w:val="16"/>
          <w:szCs w:val="16"/>
        </w:rPr>
        <w:footnoteRef/>
      </w:r>
      <w:r w:rsidRPr="00BF7C5B">
        <w:rPr>
          <w:rFonts w:asciiTheme="minorHAnsi" w:hAnsiTheme="minorHAnsi"/>
          <w:sz w:val="16"/>
          <w:szCs w:val="16"/>
          <w:lang w:val="nl-NL"/>
        </w:rPr>
        <w:t xml:space="preserve"> Het duurt enige jaren voordat voor alle aangiften erfbelasting over een kalenderjaar een definitieve aanslag is opgelegd. Vooral voor zeer vermogende personen neemt de afwikkeling van de erfenis en het opleggen van een definitieve aanslag een aantal jaren in beslag. 2021 is het meest recente kalenderjaar waarover alle definitieve aanslagen erfbelasting zijn opgelegd.</w:t>
      </w:r>
    </w:p>
  </w:footnote>
  <w:footnote w:id="6">
    <w:p w14:paraId="75331D7A" w14:textId="77777777" w:rsidR="00D7204D" w:rsidRPr="00625D00" w:rsidRDefault="00D7204D" w:rsidP="00D7204D">
      <w:pPr>
        <w:pStyle w:val="Voetnoottekst"/>
        <w:rPr>
          <w:rFonts w:asciiTheme="minorHAnsi" w:hAnsiTheme="minorHAnsi"/>
          <w:sz w:val="16"/>
          <w:szCs w:val="16"/>
          <w:lang w:val="nl-NL"/>
        </w:rPr>
      </w:pPr>
      <w:r w:rsidRPr="00BF7C5B">
        <w:rPr>
          <w:rStyle w:val="Voetnootmarkering"/>
          <w:rFonts w:asciiTheme="minorHAnsi" w:hAnsiTheme="minorHAnsi"/>
          <w:sz w:val="16"/>
          <w:szCs w:val="16"/>
        </w:rPr>
        <w:footnoteRef/>
      </w:r>
      <w:r w:rsidRPr="00BF7C5B">
        <w:rPr>
          <w:rFonts w:asciiTheme="minorHAnsi" w:hAnsiTheme="minorHAnsi"/>
          <w:sz w:val="16"/>
          <w:szCs w:val="16"/>
          <w:lang w:val="nl-NL"/>
        </w:rPr>
        <w:t xml:space="preserve"> In de doorrekeningen is uitgegaan van de concept MEV26.</w:t>
      </w:r>
    </w:p>
  </w:footnote>
  <w:footnote w:id="7">
    <w:p w14:paraId="44FEC695" w14:textId="77777777" w:rsidR="00D7204D" w:rsidRPr="00007019" w:rsidRDefault="00D7204D" w:rsidP="00D7204D">
      <w:pPr>
        <w:pStyle w:val="Voetnoottekst"/>
        <w:rPr>
          <w:sz w:val="13"/>
          <w:szCs w:val="13"/>
          <w:lang w:val="nl-NL"/>
        </w:rPr>
      </w:pPr>
      <w:r w:rsidRPr="00C31240">
        <w:rPr>
          <w:rStyle w:val="Voetnootmarkering"/>
          <w:sz w:val="13"/>
          <w:szCs w:val="13"/>
        </w:rPr>
        <w:footnoteRef/>
      </w:r>
      <w:r w:rsidRPr="00C31240">
        <w:rPr>
          <w:sz w:val="13"/>
          <w:szCs w:val="13"/>
          <w:lang w:val="nl-NL"/>
        </w:rPr>
        <w:t xml:space="preserve"> Bij het verkrijgen van een nabestaandenpensioen wordt de partnervrijstelling (€ 804.698 in 2025) verlaagd met de contante waarde van de toekomstige stroom aan pensioenuitkeringen. De partnervrijstelling kent echter een minimum (€ 207.886 in 2025) waardoor d</w:t>
      </w:r>
      <w:r>
        <w:rPr>
          <w:sz w:val="13"/>
          <w:szCs w:val="13"/>
          <w:lang w:val="nl-NL"/>
        </w:rPr>
        <w:t>i</w:t>
      </w:r>
      <w:r w:rsidRPr="00C31240">
        <w:rPr>
          <w:sz w:val="13"/>
          <w:szCs w:val="13"/>
          <w:lang w:val="nl-NL"/>
        </w:rPr>
        <w:t>e verlaging begrensd is. De contante waarde wordt aan de hand van de forfaits berekend en wijzigt ook bij herijking. Door de lagere rekenrente wordt het nabestaande</w:t>
      </w:r>
      <w:r>
        <w:rPr>
          <w:sz w:val="13"/>
          <w:szCs w:val="13"/>
          <w:lang w:val="nl-NL"/>
        </w:rPr>
        <w:t>n</w:t>
      </w:r>
      <w:r w:rsidRPr="00C31240">
        <w:rPr>
          <w:sz w:val="13"/>
          <w:szCs w:val="13"/>
          <w:lang w:val="nl-NL"/>
        </w:rPr>
        <w:t xml:space="preserve">pensioen hoger gewaardeerd waardoor de </w:t>
      </w:r>
      <w:r>
        <w:rPr>
          <w:sz w:val="13"/>
          <w:szCs w:val="13"/>
          <w:lang w:val="nl-NL"/>
        </w:rPr>
        <w:t>partner</w:t>
      </w:r>
      <w:r w:rsidRPr="00C31240">
        <w:rPr>
          <w:sz w:val="13"/>
          <w:szCs w:val="13"/>
          <w:lang w:val="nl-NL"/>
        </w:rPr>
        <w:t xml:space="preserve">vrijstelling lager zal </w:t>
      </w:r>
      <w:r>
        <w:rPr>
          <w:sz w:val="13"/>
          <w:szCs w:val="13"/>
          <w:lang w:val="nl-NL"/>
        </w:rPr>
        <w:t>worden dan nu.</w:t>
      </w:r>
      <w:r w:rsidRPr="00C31240">
        <w:rPr>
          <w:sz w:val="13"/>
          <w:szCs w:val="13"/>
          <w:lang w:val="nl-NL"/>
        </w:rPr>
        <w:t xml:space="preserve"> Dit effect is meegenomen in de doorrekeningen, maar heeft een beperkt effect op de uitkomsten.</w:t>
      </w:r>
    </w:p>
  </w:footnote>
  <w:footnote w:id="8">
    <w:p w14:paraId="7D15264E" w14:textId="77777777" w:rsidR="00F37838" w:rsidRPr="0035650C" w:rsidRDefault="00F37838">
      <w:pPr>
        <w:pStyle w:val="Voetnoottekst"/>
        <w:rPr>
          <w:sz w:val="13"/>
          <w:szCs w:val="13"/>
          <w:highlight w:val="yellow"/>
          <w:lang w:val="nl-NL"/>
        </w:rPr>
      </w:pPr>
      <w:r w:rsidRPr="005A3C2A">
        <w:rPr>
          <w:rStyle w:val="Voetnootmarkering"/>
          <w:sz w:val="13"/>
          <w:szCs w:val="13"/>
        </w:rPr>
        <w:footnoteRef/>
      </w:r>
      <w:r w:rsidRPr="005A3C2A">
        <w:rPr>
          <w:sz w:val="13"/>
          <w:szCs w:val="13"/>
          <w:lang w:val="nl-NL"/>
        </w:rPr>
        <w:t xml:space="preserve"> De </w:t>
      </w:r>
      <w:r w:rsidR="00E1591B" w:rsidRPr="005A3C2A">
        <w:rPr>
          <w:sz w:val="13"/>
          <w:szCs w:val="13"/>
          <w:lang w:val="nl-NL"/>
        </w:rPr>
        <w:t xml:space="preserve">stijging van de </w:t>
      </w:r>
      <w:r w:rsidRPr="005A3C2A">
        <w:rPr>
          <w:sz w:val="13"/>
          <w:szCs w:val="13"/>
          <w:lang w:val="nl-NL"/>
        </w:rPr>
        <w:t xml:space="preserve">belastingdruk is </w:t>
      </w:r>
      <w:r w:rsidR="00E1591B" w:rsidRPr="005A3C2A">
        <w:rPr>
          <w:sz w:val="13"/>
          <w:szCs w:val="13"/>
          <w:lang w:val="nl-NL"/>
        </w:rPr>
        <w:t xml:space="preserve">in deze tabel als volgt berekend. </w:t>
      </w:r>
      <w:r w:rsidR="00422ECB" w:rsidRPr="005A3C2A">
        <w:rPr>
          <w:sz w:val="13"/>
          <w:szCs w:val="13"/>
          <w:lang w:val="nl-NL"/>
        </w:rPr>
        <w:t xml:space="preserve">Het verschil in </w:t>
      </w:r>
      <w:r w:rsidR="00E1591B" w:rsidRPr="005A3C2A">
        <w:rPr>
          <w:sz w:val="13"/>
          <w:szCs w:val="13"/>
          <w:lang w:val="nl-NL"/>
        </w:rPr>
        <w:t>verschuldigde erfbelasting bij het eerste overlijden</w:t>
      </w:r>
      <w:r w:rsidR="0035650C" w:rsidRPr="005A3C2A">
        <w:rPr>
          <w:sz w:val="13"/>
          <w:szCs w:val="13"/>
          <w:lang w:val="nl-NL"/>
        </w:rPr>
        <w:t xml:space="preserve"> door modernisering van de forfaits</w:t>
      </w:r>
      <w:r w:rsidR="00E1591B" w:rsidRPr="005A3C2A">
        <w:rPr>
          <w:sz w:val="13"/>
          <w:szCs w:val="13"/>
          <w:lang w:val="nl-NL"/>
        </w:rPr>
        <w:t xml:space="preserve"> is</w:t>
      </w:r>
      <w:r w:rsidR="00422ECB" w:rsidRPr="005A3C2A">
        <w:rPr>
          <w:sz w:val="13"/>
          <w:szCs w:val="13"/>
          <w:lang w:val="nl-NL"/>
        </w:rPr>
        <w:t xml:space="preserve"> </w:t>
      </w:r>
      <w:r w:rsidR="00E1591B" w:rsidRPr="005A3C2A">
        <w:rPr>
          <w:sz w:val="13"/>
          <w:szCs w:val="13"/>
          <w:lang w:val="nl-NL"/>
        </w:rPr>
        <w:t xml:space="preserve">gedeeld </w:t>
      </w:r>
      <w:r w:rsidRPr="005A3C2A">
        <w:rPr>
          <w:sz w:val="13"/>
          <w:szCs w:val="13"/>
          <w:lang w:val="nl-NL"/>
        </w:rPr>
        <w:t xml:space="preserve">door </w:t>
      </w:r>
      <w:r w:rsidR="00422ECB" w:rsidRPr="005A3C2A">
        <w:rPr>
          <w:sz w:val="13"/>
          <w:szCs w:val="13"/>
          <w:lang w:val="nl-NL"/>
        </w:rPr>
        <w:t xml:space="preserve">de </w:t>
      </w:r>
      <w:r w:rsidRPr="005A3C2A">
        <w:rPr>
          <w:sz w:val="13"/>
          <w:szCs w:val="13"/>
          <w:lang w:val="nl-NL"/>
        </w:rPr>
        <w:t xml:space="preserve">verkrijging </w:t>
      </w:r>
      <w:r w:rsidR="00422ECB" w:rsidRPr="005A3C2A">
        <w:rPr>
          <w:sz w:val="13"/>
          <w:szCs w:val="13"/>
          <w:lang w:val="nl-NL"/>
        </w:rPr>
        <w:t xml:space="preserve">van het kind </w:t>
      </w:r>
      <w:r w:rsidRPr="005A3C2A">
        <w:rPr>
          <w:sz w:val="13"/>
          <w:szCs w:val="13"/>
          <w:lang w:val="nl-NL"/>
        </w:rPr>
        <w:t>uit de nalatenschap van de</w:t>
      </w:r>
      <w:r w:rsidR="00E1591B" w:rsidRPr="005A3C2A">
        <w:rPr>
          <w:sz w:val="13"/>
          <w:szCs w:val="13"/>
          <w:lang w:val="nl-NL"/>
        </w:rPr>
        <w:t xml:space="preserve"> eerst overleden partner</w:t>
      </w:r>
      <w:r w:rsidRPr="005A3C2A">
        <w:rPr>
          <w:sz w:val="13"/>
          <w:szCs w:val="13"/>
          <w:lang w:val="nl-NL"/>
        </w:rPr>
        <w:t xml:space="preserve">. De verkrijging bestaat uit de </w:t>
      </w:r>
      <w:r w:rsidR="00E1591B" w:rsidRPr="005A3C2A">
        <w:rPr>
          <w:sz w:val="13"/>
          <w:szCs w:val="13"/>
          <w:lang w:val="nl-NL"/>
        </w:rPr>
        <w:t xml:space="preserve">nominale waarde van de </w:t>
      </w:r>
      <w:proofErr w:type="spellStart"/>
      <w:r w:rsidRPr="005A3C2A">
        <w:rPr>
          <w:sz w:val="13"/>
          <w:szCs w:val="13"/>
          <w:lang w:val="nl-NL"/>
        </w:rPr>
        <w:t>onderbedelingsvordering</w:t>
      </w:r>
      <w:proofErr w:type="spellEnd"/>
      <w:r w:rsidRPr="005A3C2A">
        <w:rPr>
          <w:sz w:val="13"/>
          <w:szCs w:val="13"/>
          <w:lang w:val="nl-NL"/>
        </w:rPr>
        <w:t xml:space="preserve"> </w:t>
      </w:r>
      <w:r w:rsidR="00B162F9" w:rsidRPr="005A3C2A">
        <w:rPr>
          <w:sz w:val="13"/>
          <w:szCs w:val="13"/>
          <w:lang w:val="nl-NL"/>
        </w:rPr>
        <w:t xml:space="preserve">vermeerderd met </w:t>
      </w:r>
      <w:r w:rsidRPr="005A3C2A">
        <w:rPr>
          <w:sz w:val="13"/>
          <w:szCs w:val="13"/>
          <w:lang w:val="nl-NL"/>
        </w:rPr>
        <w:t xml:space="preserve">eventuele </w:t>
      </w:r>
      <w:r w:rsidR="00B162F9" w:rsidRPr="005A3C2A">
        <w:rPr>
          <w:sz w:val="13"/>
          <w:szCs w:val="13"/>
          <w:lang w:val="nl-NL"/>
        </w:rPr>
        <w:t>andere erfrechtelijke verkrijgingen</w:t>
      </w:r>
      <w:r w:rsidR="00422ECB" w:rsidRPr="005A3C2A">
        <w:rPr>
          <w:sz w:val="13"/>
          <w:szCs w:val="13"/>
          <w:lang w:val="nl-NL"/>
        </w:rPr>
        <w:t xml:space="preserve">. De </w:t>
      </w:r>
      <w:r w:rsidR="00B162F9" w:rsidRPr="005A3C2A">
        <w:rPr>
          <w:sz w:val="13"/>
          <w:szCs w:val="13"/>
          <w:lang w:val="nl-NL"/>
        </w:rPr>
        <w:t>vermindering vanwege het fictieve vruchtgebruik</w:t>
      </w:r>
      <w:r w:rsidR="00422ECB" w:rsidRPr="005A3C2A">
        <w:rPr>
          <w:sz w:val="13"/>
          <w:szCs w:val="13"/>
          <w:lang w:val="nl-NL"/>
        </w:rPr>
        <w:t xml:space="preserve"> is in de berekening niet meegenomen, omdat de hoogte hiervan ook wijzigt door modernisering van de forfaits. Het wel meenemen van de</w:t>
      </w:r>
      <w:r w:rsidR="00B162F9" w:rsidRPr="005A3C2A">
        <w:rPr>
          <w:sz w:val="13"/>
          <w:szCs w:val="13"/>
          <w:lang w:val="nl-NL"/>
        </w:rPr>
        <w:t xml:space="preserve">ze vermindering </w:t>
      </w:r>
      <w:r w:rsidR="00422ECB" w:rsidRPr="005A3C2A">
        <w:rPr>
          <w:sz w:val="13"/>
          <w:szCs w:val="13"/>
          <w:lang w:val="nl-NL"/>
        </w:rPr>
        <w:t>zou de interpretatie van de mutatie in de belastingdruk lastig hebben gemaakt, omdat dan niet alleen de teller maar ook de noemer zou muteren.</w:t>
      </w:r>
    </w:p>
  </w:footnote>
  <w:footnote w:id="9">
    <w:p w14:paraId="2F6B78EC" w14:textId="77777777" w:rsidR="00422ECB" w:rsidRPr="00422ECB" w:rsidRDefault="00422ECB">
      <w:pPr>
        <w:pStyle w:val="Voetnoottekst"/>
        <w:rPr>
          <w:lang w:val="nl-NL"/>
        </w:rPr>
      </w:pPr>
      <w:r w:rsidRPr="005A3C2A">
        <w:rPr>
          <w:rStyle w:val="Voetnootmarkering"/>
          <w:sz w:val="13"/>
          <w:szCs w:val="13"/>
        </w:rPr>
        <w:footnoteRef/>
      </w:r>
      <w:r w:rsidRPr="005A3C2A">
        <w:rPr>
          <w:sz w:val="13"/>
          <w:szCs w:val="13"/>
          <w:lang w:val="nl-NL"/>
        </w:rPr>
        <w:t xml:space="preserve"> De belastingdruk is in deze tabel als volgt berekend. </w:t>
      </w:r>
      <w:r w:rsidR="0035650C" w:rsidRPr="005A3C2A">
        <w:rPr>
          <w:sz w:val="13"/>
          <w:szCs w:val="13"/>
          <w:lang w:val="nl-NL"/>
        </w:rPr>
        <w:t xml:space="preserve">De </w:t>
      </w:r>
      <w:r w:rsidRPr="005A3C2A">
        <w:rPr>
          <w:sz w:val="13"/>
          <w:szCs w:val="13"/>
          <w:lang w:val="nl-NL"/>
        </w:rPr>
        <w:t xml:space="preserve">verschuldigde erfbelasting bij het eerste overlijden </w:t>
      </w:r>
      <w:r w:rsidR="0035650C" w:rsidRPr="005A3C2A">
        <w:rPr>
          <w:sz w:val="13"/>
          <w:szCs w:val="13"/>
          <w:lang w:val="nl-NL"/>
        </w:rPr>
        <w:t xml:space="preserve">na modernisering van de forfaits </w:t>
      </w:r>
      <w:r w:rsidRPr="005A3C2A">
        <w:rPr>
          <w:sz w:val="13"/>
          <w:szCs w:val="13"/>
          <w:lang w:val="nl-NL"/>
        </w:rPr>
        <w:t xml:space="preserve">is gedeeld door de </w:t>
      </w:r>
      <w:r w:rsidR="0035650C" w:rsidRPr="005A3C2A">
        <w:rPr>
          <w:sz w:val="13"/>
          <w:szCs w:val="13"/>
          <w:lang w:val="nl-NL"/>
        </w:rPr>
        <w:t>heffingsgrondslag</w:t>
      </w:r>
      <w:r w:rsidRPr="005A3C2A">
        <w:rPr>
          <w:sz w:val="13"/>
          <w:szCs w:val="13"/>
          <w:lang w:val="nl-NL"/>
        </w:rPr>
        <w:t>. De</w:t>
      </w:r>
      <w:r w:rsidR="0035650C" w:rsidRPr="005A3C2A">
        <w:rPr>
          <w:sz w:val="13"/>
          <w:szCs w:val="13"/>
          <w:lang w:val="nl-NL"/>
        </w:rPr>
        <w:t xml:space="preserve"> heffingsgrondslag is bepaald door de </w:t>
      </w:r>
      <w:r w:rsidRPr="005A3C2A">
        <w:rPr>
          <w:sz w:val="13"/>
          <w:szCs w:val="13"/>
          <w:lang w:val="nl-NL"/>
        </w:rPr>
        <w:t xml:space="preserve">nominale waarde van de </w:t>
      </w:r>
      <w:proofErr w:type="spellStart"/>
      <w:r w:rsidRPr="005A3C2A">
        <w:rPr>
          <w:sz w:val="13"/>
          <w:szCs w:val="13"/>
          <w:lang w:val="nl-NL"/>
        </w:rPr>
        <w:t>onderbedelingsvordering</w:t>
      </w:r>
      <w:proofErr w:type="spellEnd"/>
      <w:r w:rsidR="0035650C" w:rsidRPr="005A3C2A">
        <w:rPr>
          <w:sz w:val="13"/>
          <w:szCs w:val="13"/>
          <w:lang w:val="nl-NL"/>
        </w:rPr>
        <w:t xml:space="preserve"> te verminderen met de waarde van het fictief vruchtgebruik</w:t>
      </w:r>
      <w:r w:rsidR="00B162F9" w:rsidRPr="005A3C2A">
        <w:rPr>
          <w:sz w:val="13"/>
          <w:szCs w:val="13"/>
          <w:lang w:val="nl-NL"/>
        </w:rPr>
        <w:t xml:space="preserve"> over de </w:t>
      </w:r>
      <w:proofErr w:type="spellStart"/>
      <w:r w:rsidR="00B162F9" w:rsidRPr="005A3C2A">
        <w:rPr>
          <w:sz w:val="13"/>
          <w:szCs w:val="13"/>
          <w:lang w:val="nl-NL"/>
        </w:rPr>
        <w:t>onderbedelingsvordering</w:t>
      </w:r>
      <w:proofErr w:type="spellEnd"/>
      <w:r w:rsidR="0035650C" w:rsidRPr="005A3C2A">
        <w:rPr>
          <w:sz w:val="13"/>
          <w:szCs w:val="13"/>
          <w:lang w:val="nl-NL"/>
        </w:rPr>
        <w:t xml:space="preserve">, en bij het resultaat </w:t>
      </w:r>
      <w:r w:rsidRPr="005A3C2A">
        <w:rPr>
          <w:sz w:val="13"/>
          <w:szCs w:val="13"/>
          <w:lang w:val="nl-NL"/>
        </w:rPr>
        <w:t xml:space="preserve">eventuele </w:t>
      </w:r>
      <w:r w:rsidR="00B162F9" w:rsidRPr="005A3C2A">
        <w:rPr>
          <w:sz w:val="13"/>
          <w:szCs w:val="13"/>
          <w:lang w:val="nl-NL"/>
        </w:rPr>
        <w:t>andere erfrechtelijke verkrijgingen</w:t>
      </w:r>
      <w:r w:rsidR="0035650C" w:rsidRPr="005A3C2A">
        <w:rPr>
          <w:sz w:val="13"/>
          <w:szCs w:val="13"/>
          <w:lang w:val="nl-NL"/>
        </w:rPr>
        <w:t xml:space="preserve"> op te tellen</w:t>
      </w:r>
      <w:r w:rsidRPr="005A3C2A">
        <w:rPr>
          <w:sz w:val="13"/>
          <w:szCs w:val="13"/>
          <w:lang w:val="nl-NL"/>
        </w:rPr>
        <w:t xml:space="preserve">. </w:t>
      </w:r>
    </w:p>
  </w:footnote>
  <w:footnote w:id="10">
    <w:p w14:paraId="490AAF81" w14:textId="77777777" w:rsidR="00D7204D" w:rsidRPr="00A33295" w:rsidRDefault="00D7204D" w:rsidP="00D7204D">
      <w:pPr>
        <w:pStyle w:val="Voetnoottekst"/>
        <w:rPr>
          <w:sz w:val="13"/>
          <w:szCs w:val="13"/>
          <w:lang w:val="nl-NL"/>
        </w:rPr>
      </w:pPr>
      <w:r w:rsidRPr="00A33295">
        <w:rPr>
          <w:rStyle w:val="Voetnootmarkering"/>
          <w:sz w:val="13"/>
          <w:szCs w:val="13"/>
        </w:rPr>
        <w:footnoteRef/>
      </w:r>
      <w:r w:rsidRPr="00A33295">
        <w:rPr>
          <w:sz w:val="13"/>
          <w:szCs w:val="13"/>
          <w:lang w:val="nl-NL"/>
        </w:rPr>
        <w:t xml:space="preserve"> De rente boven de rekenrente (het meerdere deel) wordt door de Successiewet 1956 (art. 9 SW1956) beschouwd als een fictieve verkrijging voor de erfbelasting.</w:t>
      </w:r>
    </w:p>
  </w:footnote>
  <w:footnote w:id="11">
    <w:p w14:paraId="39FBC36D" w14:textId="77777777" w:rsidR="00F373E2" w:rsidRPr="005A3C2A" w:rsidRDefault="00F373E2">
      <w:pPr>
        <w:pStyle w:val="Voetnoottekst"/>
        <w:rPr>
          <w:sz w:val="13"/>
          <w:szCs w:val="13"/>
          <w:lang w:val="nl-NL"/>
        </w:rPr>
      </w:pPr>
      <w:r w:rsidRPr="005A3C2A">
        <w:rPr>
          <w:rStyle w:val="Voetnootmarkering"/>
          <w:sz w:val="13"/>
          <w:szCs w:val="13"/>
        </w:rPr>
        <w:footnoteRef/>
      </w:r>
      <w:r w:rsidRPr="005A3C2A">
        <w:rPr>
          <w:sz w:val="13"/>
          <w:szCs w:val="13"/>
          <w:lang w:val="nl-NL"/>
        </w:rPr>
        <w:t xml:space="preserve"> De stijging van de belastingdruk is als volgt berekend. Het verschil in verschuldigde erfbelasting bij het overlijden van de langstlevende partner door modernisering van de forfaits is gedeeld door </w:t>
      </w:r>
      <w:r w:rsidR="00A33295" w:rsidRPr="005A3C2A">
        <w:rPr>
          <w:sz w:val="13"/>
          <w:szCs w:val="13"/>
          <w:lang w:val="nl-NL"/>
        </w:rPr>
        <w:t xml:space="preserve">de </w:t>
      </w:r>
      <w:r w:rsidRPr="005A3C2A">
        <w:rPr>
          <w:sz w:val="13"/>
          <w:szCs w:val="13"/>
          <w:lang w:val="nl-NL"/>
        </w:rPr>
        <w:t xml:space="preserve">verkrijging </w:t>
      </w:r>
      <w:r w:rsidR="00C67FBB" w:rsidRPr="005A3C2A">
        <w:rPr>
          <w:sz w:val="13"/>
          <w:szCs w:val="13"/>
          <w:lang w:val="nl-NL"/>
        </w:rPr>
        <w:t xml:space="preserve">van het kind </w:t>
      </w:r>
      <w:r w:rsidRPr="005A3C2A">
        <w:rPr>
          <w:sz w:val="13"/>
          <w:szCs w:val="13"/>
          <w:lang w:val="nl-NL"/>
        </w:rPr>
        <w:t xml:space="preserve">uit de nalatenschap van de langstlevende partner. </w:t>
      </w:r>
      <w:r w:rsidR="00C67FBB" w:rsidRPr="005A3C2A">
        <w:rPr>
          <w:sz w:val="13"/>
          <w:szCs w:val="13"/>
          <w:lang w:val="nl-NL"/>
        </w:rPr>
        <w:t xml:space="preserve">Bij het bepalen van de verkrijging is de </w:t>
      </w:r>
      <w:proofErr w:type="spellStart"/>
      <w:r w:rsidR="00A33295" w:rsidRPr="005A3C2A">
        <w:rPr>
          <w:sz w:val="13"/>
          <w:szCs w:val="13"/>
          <w:lang w:val="nl-NL"/>
        </w:rPr>
        <w:t>onderbedelingsschuld</w:t>
      </w:r>
      <w:proofErr w:type="spellEnd"/>
      <w:r w:rsidR="00A33295" w:rsidRPr="005A3C2A">
        <w:rPr>
          <w:sz w:val="13"/>
          <w:szCs w:val="13"/>
          <w:lang w:val="nl-NL"/>
        </w:rPr>
        <w:t xml:space="preserve"> niet in mindering gebracht</w:t>
      </w:r>
      <w:r w:rsidR="00C67FBB" w:rsidRPr="005A3C2A">
        <w:rPr>
          <w:sz w:val="13"/>
          <w:szCs w:val="13"/>
          <w:lang w:val="nl-NL"/>
        </w:rPr>
        <w:t xml:space="preserve"> op de bezittingen van de langstlevende</w:t>
      </w:r>
      <w:r w:rsidR="00A33295" w:rsidRPr="005A3C2A">
        <w:rPr>
          <w:sz w:val="13"/>
          <w:szCs w:val="13"/>
          <w:lang w:val="nl-NL"/>
        </w:rPr>
        <w:t xml:space="preserve">, omdat de hoogte van de schuld ook wijzigt door modernisering van de forfaits. Het wel meenemen van de </w:t>
      </w:r>
      <w:proofErr w:type="spellStart"/>
      <w:r w:rsidR="00A33295" w:rsidRPr="005A3C2A">
        <w:rPr>
          <w:sz w:val="13"/>
          <w:szCs w:val="13"/>
          <w:lang w:val="nl-NL"/>
        </w:rPr>
        <w:t>onderbedelingsschuld</w:t>
      </w:r>
      <w:proofErr w:type="spellEnd"/>
      <w:r w:rsidR="00A33295" w:rsidRPr="005A3C2A">
        <w:rPr>
          <w:sz w:val="13"/>
          <w:szCs w:val="13"/>
          <w:lang w:val="nl-NL"/>
        </w:rPr>
        <w:t xml:space="preserve"> zou de interpretatie van de mutatie in de belastingdruk lastig hebben gemaakt, omdat dan niet alleen de teller maar ook de noemer zou muteren. </w:t>
      </w:r>
    </w:p>
  </w:footnote>
  <w:footnote w:id="12">
    <w:p w14:paraId="0A850517" w14:textId="77777777" w:rsidR="00A33295" w:rsidRPr="00C67FBB" w:rsidRDefault="00A33295">
      <w:pPr>
        <w:pStyle w:val="Voetnoottekst"/>
        <w:rPr>
          <w:sz w:val="13"/>
          <w:szCs w:val="13"/>
          <w:lang w:val="nl-NL"/>
        </w:rPr>
      </w:pPr>
      <w:r w:rsidRPr="005A3C2A">
        <w:rPr>
          <w:rStyle w:val="Voetnootmarkering"/>
          <w:sz w:val="13"/>
          <w:szCs w:val="13"/>
        </w:rPr>
        <w:footnoteRef/>
      </w:r>
      <w:r w:rsidRPr="005A3C2A">
        <w:rPr>
          <w:sz w:val="13"/>
          <w:szCs w:val="13"/>
          <w:lang w:val="nl-NL"/>
        </w:rPr>
        <w:t xml:space="preserve"> </w:t>
      </w:r>
      <w:r w:rsidR="00C67FBB" w:rsidRPr="005A3C2A">
        <w:rPr>
          <w:sz w:val="13"/>
          <w:szCs w:val="13"/>
          <w:lang w:val="nl-NL"/>
        </w:rPr>
        <w:t xml:space="preserve">De belastingdruk is in deze tabel als volgt berekend. De verschuldigde erfbelasting bij het tweede overlijden na modernisering van de forfaits is gedeeld door de heffingsgrondslag. De heffingsgrondslag is bepaald door op de bezittingen van de langstlevende partner de </w:t>
      </w:r>
      <w:proofErr w:type="spellStart"/>
      <w:r w:rsidR="00C67FBB" w:rsidRPr="005A3C2A">
        <w:rPr>
          <w:sz w:val="13"/>
          <w:szCs w:val="13"/>
          <w:lang w:val="nl-NL"/>
        </w:rPr>
        <w:t>onderbedelingsschuld</w:t>
      </w:r>
      <w:proofErr w:type="spellEnd"/>
      <w:r w:rsidR="00C67FBB" w:rsidRPr="005A3C2A">
        <w:rPr>
          <w:sz w:val="13"/>
          <w:szCs w:val="13"/>
          <w:lang w:val="nl-NL"/>
        </w:rPr>
        <w:t xml:space="preserve"> in mindering te brengen</w:t>
      </w:r>
      <w:r w:rsidR="00932685" w:rsidRPr="005A3C2A">
        <w:rPr>
          <w:sz w:val="13"/>
          <w:szCs w:val="13"/>
          <w:lang w:val="nl-NL"/>
        </w:rPr>
        <w:t xml:space="preserve"> en h</w:t>
      </w:r>
      <w:r w:rsidR="00C67FBB" w:rsidRPr="005A3C2A">
        <w:rPr>
          <w:sz w:val="13"/>
          <w:szCs w:val="13"/>
          <w:lang w:val="nl-NL"/>
        </w:rPr>
        <w:t xml:space="preserve">et restant </w:t>
      </w:r>
      <w:r w:rsidR="00932685" w:rsidRPr="005A3C2A">
        <w:rPr>
          <w:sz w:val="13"/>
          <w:szCs w:val="13"/>
          <w:lang w:val="nl-NL"/>
        </w:rPr>
        <w:t>te delen</w:t>
      </w:r>
      <w:r w:rsidR="00C67FBB" w:rsidRPr="005A3C2A">
        <w:rPr>
          <w:sz w:val="13"/>
          <w:szCs w:val="13"/>
          <w:lang w:val="nl-NL"/>
        </w:rPr>
        <w:t xml:space="preserve"> door het aantal erfgenamen</w:t>
      </w:r>
      <w:r w:rsidR="00932685" w:rsidRPr="005A3C2A">
        <w:rPr>
          <w:sz w:val="13"/>
          <w:szCs w:val="13"/>
          <w:lang w:val="nl-NL"/>
        </w:rPr>
        <w:t>.</w:t>
      </w:r>
    </w:p>
  </w:footnote>
  <w:footnote w:id="13">
    <w:p w14:paraId="2C210AB0" w14:textId="77777777" w:rsidR="00D7204D" w:rsidRPr="001A79FC" w:rsidRDefault="00D7204D" w:rsidP="00D7204D">
      <w:pPr>
        <w:pStyle w:val="Voetnoottekst"/>
        <w:rPr>
          <w:sz w:val="13"/>
          <w:szCs w:val="13"/>
          <w:lang w:val="nl-NL"/>
        </w:rPr>
      </w:pPr>
      <w:r w:rsidRPr="001A79FC">
        <w:rPr>
          <w:rStyle w:val="Voetnootmarkering"/>
          <w:sz w:val="13"/>
          <w:szCs w:val="13"/>
        </w:rPr>
        <w:footnoteRef/>
      </w:r>
      <w:r w:rsidRPr="001A79FC">
        <w:rPr>
          <w:sz w:val="13"/>
          <w:szCs w:val="13"/>
          <w:lang w:val="nl-NL"/>
        </w:rPr>
        <w:t xml:space="preserve"> Gebaseerd op CPB-ramingen voor de lange rente in het eurogebied.</w:t>
      </w:r>
    </w:p>
  </w:footnote>
  <w:footnote w:id="14">
    <w:p w14:paraId="0AA3D8C8" w14:textId="77777777" w:rsidR="00D7204D" w:rsidRPr="0039481D" w:rsidRDefault="00D7204D" w:rsidP="00D7204D">
      <w:pPr>
        <w:pStyle w:val="Voetnoottekst"/>
        <w:rPr>
          <w:sz w:val="13"/>
          <w:szCs w:val="13"/>
          <w:lang w:val="nl-NL"/>
        </w:rPr>
      </w:pPr>
      <w:r w:rsidRPr="0039481D">
        <w:rPr>
          <w:rStyle w:val="Voetnootmarkering"/>
          <w:sz w:val="13"/>
          <w:szCs w:val="13"/>
        </w:rPr>
        <w:footnoteRef/>
      </w:r>
      <w:r w:rsidRPr="0039481D">
        <w:rPr>
          <w:sz w:val="13"/>
          <w:szCs w:val="13"/>
          <w:lang w:val="nl-NL"/>
        </w:rPr>
        <w:t xml:space="preserve"> Op grond van artikel 10 SW.</w:t>
      </w:r>
    </w:p>
  </w:footnote>
  <w:footnote w:id="15">
    <w:p w14:paraId="4AC03823" w14:textId="77777777" w:rsidR="00D7204D" w:rsidRPr="005F22B9" w:rsidRDefault="00D7204D" w:rsidP="00D7204D">
      <w:pPr>
        <w:pStyle w:val="Voetnoottekst"/>
        <w:rPr>
          <w:rFonts w:asciiTheme="minorHAnsi" w:hAnsiTheme="minorHAnsi"/>
          <w:sz w:val="16"/>
          <w:szCs w:val="16"/>
          <w:lang w:val="nl-NL"/>
        </w:rPr>
      </w:pPr>
      <w:r w:rsidRPr="005F22B9">
        <w:rPr>
          <w:rStyle w:val="Voetnootmarkering"/>
          <w:rFonts w:asciiTheme="minorHAnsi" w:hAnsiTheme="minorHAnsi"/>
          <w:sz w:val="16"/>
          <w:szCs w:val="16"/>
        </w:rPr>
        <w:footnoteRef/>
      </w:r>
      <w:r w:rsidRPr="005F22B9">
        <w:rPr>
          <w:rFonts w:asciiTheme="minorHAnsi" w:hAnsiTheme="minorHAnsi"/>
          <w:sz w:val="16"/>
          <w:szCs w:val="16"/>
          <w:lang w:val="nl-NL"/>
        </w:rPr>
        <w:t xml:space="preserve"> In de raming is aangenomen dat dit vermogen tegen het tarief in de tweede schijf (20%) </w:t>
      </w:r>
      <w:r>
        <w:rPr>
          <w:rFonts w:asciiTheme="minorHAnsi" w:hAnsiTheme="minorHAnsi"/>
          <w:sz w:val="16"/>
          <w:szCs w:val="16"/>
          <w:lang w:val="nl-NL"/>
        </w:rPr>
        <w:t xml:space="preserve">erfbelasting </w:t>
      </w:r>
      <w:r w:rsidRPr="005F22B9">
        <w:rPr>
          <w:rFonts w:asciiTheme="minorHAnsi" w:hAnsiTheme="minorHAnsi"/>
          <w:sz w:val="16"/>
          <w:szCs w:val="16"/>
          <w:lang w:val="nl-NL"/>
        </w:rPr>
        <w:t>wordt belast</w:t>
      </w:r>
      <w:r>
        <w:rPr>
          <w:rFonts w:asciiTheme="minorHAnsi" w:hAnsiTheme="minorHAnsi"/>
          <w:sz w:val="16"/>
          <w:szCs w:val="16"/>
          <w:lang w:val="nl-NL"/>
        </w:rPr>
        <w:t xml:space="preserve">. </w:t>
      </w:r>
    </w:p>
  </w:footnote>
  <w:footnote w:id="16">
    <w:p w14:paraId="4B367B7E" w14:textId="77777777" w:rsidR="00D7204D" w:rsidRPr="00CF5C2B" w:rsidRDefault="00D7204D" w:rsidP="00D7204D">
      <w:pPr>
        <w:pStyle w:val="Voetnoottekst"/>
        <w:rPr>
          <w:rFonts w:asciiTheme="minorHAnsi" w:hAnsiTheme="minorHAnsi"/>
          <w:sz w:val="16"/>
          <w:szCs w:val="16"/>
          <w:lang w:val="nl-NL"/>
        </w:rPr>
      </w:pPr>
      <w:r w:rsidRPr="00CF5C2B">
        <w:rPr>
          <w:rStyle w:val="Voetnootmarkering"/>
          <w:rFonts w:asciiTheme="minorHAnsi" w:hAnsiTheme="minorHAnsi"/>
          <w:sz w:val="16"/>
          <w:szCs w:val="16"/>
        </w:rPr>
        <w:footnoteRef/>
      </w:r>
      <w:r w:rsidRPr="00CF5C2B">
        <w:rPr>
          <w:rFonts w:asciiTheme="minorHAnsi" w:hAnsiTheme="minorHAnsi"/>
          <w:sz w:val="16"/>
          <w:szCs w:val="16"/>
          <w:lang w:val="nl-NL"/>
        </w:rPr>
        <w:t xml:space="preserve"> De stijging is geraamd door allereerst na te gaan hoeveel meer men</w:t>
      </w:r>
      <w:r>
        <w:rPr>
          <w:rFonts w:asciiTheme="minorHAnsi" w:hAnsiTheme="minorHAnsi"/>
          <w:sz w:val="16"/>
          <w:szCs w:val="16"/>
          <w:lang w:val="nl-NL"/>
        </w:rPr>
        <w:t xml:space="preserve"> </w:t>
      </w:r>
      <w:r w:rsidRPr="00CF5C2B">
        <w:rPr>
          <w:rFonts w:asciiTheme="minorHAnsi" w:hAnsiTheme="minorHAnsi"/>
          <w:sz w:val="16"/>
          <w:szCs w:val="16"/>
          <w:lang w:val="nl-NL"/>
        </w:rPr>
        <w:t>binnen deze groep kan schenken bij een gelijkblijvend bedrag aan rentebetalingen. Vervolgens is geraamd of deze extra schenkingsruimte wel benut kan worden met illiquide vermogen dat nog niet is weggeschonken op papier. Niet iedereen zal overgaan tot deze stap. Daarom is een afslag genomen voor het deel dat over zal gaan tot extra schenkingen.</w:t>
      </w:r>
    </w:p>
  </w:footnote>
  <w:footnote w:id="17">
    <w:p w14:paraId="042C7661" w14:textId="77777777" w:rsidR="00D7204D" w:rsidRPr="00B515FF" w:rsidRDefault="00D7204D" w:rsidP="00D7204D">
      <w:pPr>
        <w:pStyle w:val="Voetnoottekst"/>
        <w:rPr>
          <w:rFonts w:asciiTheme="minorHAnsi" w:hAnsiTheme="minorHAnsi"/>
          <w:sz w:val="16"/>
          <w:szCs w:val="16"/>
          <w:lang w:val="nl-NL"/>
        </w:rPr>
      </w:pPr>
      <w:r w:rsidRPr="00B515FF">
        <w:rPr>
          <w:rStyle w:val="Voetnootmarkering"/>
          <w:rFonts w:asciiTheme="minorHAnsi" w:hAnsiTheme="minorHAnsi"/>
          <w:sz w:val="16"/>
          <w:szCs w:val="16"/>
        </w:rPr>
        <w:footnoteRef/>
      </w:r>
      <w:r w:rsidRPr="00B515FF">
        <w:rPr>
          <w:rFonts w:asciiTheme="minorHAnsi" w:hAnsiTheme="minorHAnsi"/>
          <w:sz w:val="16"/>
          <w:szCs w:val="16"/>
          <w:lang w:val="nl-NL"/>
        </w:rPr>
        <w:t xml:space="preserve"> Aangenomen is dat het hier om een beperkt gedragseffect zal gaan. Mogelijkerwijs leidt de verlaging van de rekenrente ertoe dat de papieren schenking meer onder de aandacht gebracht zal worden door belastingadviseurs. Het gedragseffect is vormgegeven aan de hand van een vuistregel </w:t>
      </w:r>
      <w:proofErr w:type="gramStart"/>
      <w:r w:rsidRPr="00B515FF">
        <w:rPr>
          <w:rFonts w:asciiTheme="minorHAnsi" w:hAnsiTheme="minorHAnsi"/>
          <w:sz w:val="16"/>
          <w:szCs w:val="16"/>
          <w:lang w:val="nl-NL"/>
        </w:rPr>
        <w:t>conform</w:t>
      </w:r>
      <w:proofErr w:type="gramEnd"/>
      <w:r w:rsidRPr="00B515FF">
        <w:rPr>
          <w:rFonts w:asciiTheme="minorHAnsi" w:hAnsiTheme="minorHAnsi"/>
          <w:sz w:val="16"/>
          <w:szCs w:val="16"/>
          <w:lang w:val="nl-NL"/>
        </w:rPr>
        <w:t xml:space="preserve"> het CPB-gedragseffectenmemo; de toename in papieren schenkingen doordat bestaande schenkers meer op papier zullen schenken is vermeerderd met een klein gedragseffect van 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C93B" w14:textId="77777777" w:rsidR="00E954AA" w:rsidRDefault="00D7204D">
    <w:pPr>
      <w:spacing w:after="3764" w:line="14" w:lineRule="exact"/>
    </w:pPr>
    <w:r>
      <w:rPr>
        <w:noProof/>
      </w:rPr>
      <mc:AlternateContent>
        <mc:Choice Requires="wps">
          <w:drawing>
            <wp:anchor distT="0" distB="0" distL="0" distR="0" simplePos="0" relativeHeight="251654656" behindDoc="0" locked="1" layoutInCell="1" allowOverlap="1" wp14:anchorId="0E4E5F88" wp14:editId="6FB3AEF5">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BC1BFB" w14:textId="77777777" w:rsidR="006216C8" w:rsidRDefault="003A6B3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E4E5F88"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24BC1BFB" w14:textId="77777777" w:rsidR="006216C8" w:rsidRDefault="003A6B3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5B4BE2F1" wp14:editId="094E0DCC">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24098CE" w14:textId="77777777" w:rsidR="00D7204D" w:rsidRDefault="00D7204D"/>
                      </w:txbxContent>
                    </wps:txbx>
                    <wps:bodyPr vert="horz" wrap="square" lIns="0" tIns="0" rIns="0" bIns="0" anchor="t" anchorCtr="0"/>
                  </wps:wsp>
                </a:graphicData>
              </a:graphic>
            </wp:anchor>
          </w:drawing>
        </mc:Choice>
        <mc:Fallback>
          <w:pict>
            <v:shape w14:anchorId="5B4BE2F1"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24098CE" w14:textId="77777777" w:rsidR="00D7204D" w:rsidRDefault="00D7204D"/>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2740136" wp14:editId="075F2DA4">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2613D9D4" w14:textId="77777777" w:rsidR="00D7204D" w:rsidRDefault="00D7204D"/>
                      </w:txbxContent>
                    </wps:txbx>
                    <wps:bodyPr vert="horz" wrap="square" lIns="0" tIns="0" rIns="0" bIns="0" anchor="t" anchorCtr="0"/>
                  </wps:wsp>
                </a:graphicData>
              </a:graphic>
            </wp:anchor>
          </w:drawing>
        </mc:Choice>
        <mc:Fallback>
          <w:pict>
            <v:shape w14:anchorId="12740136"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2613D9D4" w14:textId="77777777" w:rsidR="00D7204D" w:rsidRDefault="00D7204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B05C" w14:textId="77777777" w:rsidR="00E954AA" w:rsidRDefault="00D7204D">
    <w:r>
      <w:rPr>
        <w:noProof/>
      </w:rPr>
      <mc:AlternateContent>
        <mc:Choice Requires="wps">
          <w:drawing>
            <wp:anchor distT="0" distB="0" distL="0" distR="0" simplePos="0" relativeHeight="251657728" behindDoc="0" locked="1" layoutInCell="1" allowOverlap="1" wp14:anchorId="6966A8D1" wp14:editId="22675BA1">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7C376D" w14:textId="77777777" w:rsidR="00E954AA" w:rsidRDefault="00D7204D">
                          <w:pPr>
                            <w:spacing w:line="240" w:lineRule="auto"/>
                          </w:pPr>
                          <w:r>
                            <w:rPr>
                              <w:noProof/>
                            </w:rPr>
                            <w:drawing>
                              <wp:inline distT="0" distB="0" distL="0" distR="0" wp14:anchorId="3BB63A09" wp14:editId="58DD3CA4">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66A8D1"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0C7C376D" w14:textId="77777777" w:rsidR="00E954AA" w:rsidRDefault="00D7204D">
                    <w:pPr>
                      <w:spacing w:line="240" w:lineRule="auto"/>
                    </w:pPr>
                    <w:r>
                      <w:rPr>
                        <w:noProof/>
                      </w:rPr>
                      <w:drawing>
                        <wp:inline distT="0" distB="0" distL="0" distR="0" wp14:anchorId="3BB63A09" wp14:editId="58DD3CA4">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232F312" wp14:editId="27A3F399">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C3A232" w14:textId="77777777" w:rsidR="00E954AA" w:rsidRDefault="00D7204D">
                          <w:pPr>
                            <w:spacing w:line="240" w:lineRule="auto"/>
                          </w:pPr>
                          <w:r>
                            <w:rPr>
                              <w:noProof/>
                            </w:rPr>
                            <w:drawing>
                              <wp:inline distT="0" distB="0" distL="0" distR="0" wp14:anchorId="3A6C4375" wp14:editId="6664BE36">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32F312"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C3A232" w14:textId="77777777" w:rsidR="00E954AA" w:rsidRDefault="00D7204D">
                    <w:pPr>
                      <w:spacing w:line="240" w:lineRule="auto"/>
                    </w:pPr>
                    <w:r>
                      <w:rPr>
                        <w:noProof/>
                      </w:rPr>
                      <w:drawing>
                        <wp:inline distT="0" distB="0" distL="0" distR="0" wp14:anchorId="3A6C4375" wp14:editId="6664BE36">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7C50A60" wp14:editId="3D2BDDE4">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AAF624C" w14:textId="77777777" w:rsidR="00D7204D" w:rsidRDefault="00D7204D"/>
                      </w:txbxContent>
                    </wps:txbx>
                    <wps:bodyPr vert="horz" wrap="square" lIns="0" tIns="0" rIns="0" bIns="0" anchor="t" anchorCtr="0"/>
                  </wps:wsp>
                </a:graphicData>
              </a:graphic>
            </wp:anchor>
          </w:drawing>
        </mc:Choice>
        <mc:Fallback>
          <w:pict>
            <v:shape w14:anchorId="57C50A60"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1AAF624C" w14:textId="77777777" w:rsidR="00D7204D" w:rsidRDefault="00D7204D"/>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6EC4593" wp14:editId="4135F8C3">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735D38" w14:textId="77777777" w:rsidR="006216C8" w:rsidRDefault="003A6B3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EC4593"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4735D38" w14:textId="77777777" w:rsidR="006216C8" w:rsidRDefault="003A6B3A">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62A08C"/>
    <w:multiLevelType w:val="multilevel"/>
    <w:tmpl w:val="B99978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D9C5BA8"/>
    <w:multiLevelType w:val="multilevel"/>
    <w:tmpl w:val="2D018FE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7047537"/>
    <w:multiLevelType w:val="hybridMultilevel"/>
    <w:tmpl w:val="66924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ECD16B"/>
    <w:multiLevelType w:val="multilevel"/>
    <w:tmpl w:val="9523B6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3907327"/>
    <w:multiLevelType w:val="multilevel"/>
    <w:tmpl w:val="E0F003A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AB9006"/>
    <w:multiLevelType w:val="multilevel"/>
    <w:tmpl w:val="2B3ED44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97061121">
    <w:abstractNumId w:val="5"/>
  </w:num>
  <w:num w:numId="2" w16cid:durableId="504050632">
    <w:abstractNumId w:val="3"/>
  </w:num>
  <w:num w:numId="3" w16cid:durableId="1813643603">
    <w:abstractNumId w:val="1"/>
  </w:num>
  <w:num w:numId="4" w16cid:durableId="957099733">
    <w:abstractNumId w:val="0"/>
  </w:num>
  <w:num w:numId="5" w16cid:durableId="2062366684">
    <w:abstractNumId w:val="2"/>
  </w:num>
  <w:num w:numId="6" w16cid:durableId="112468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AA"/>
    <w:rsid w:val="00002BCB"/>
    <w:rsid w:val="00065F6D"/>
    <w:rsid w:val="00076495"/>
    <w:rsid w:val="000775BD"/>
    <w:rsid w:val="001142E4"/>
    <w:rsid w:val="00177D2F"/>
    <w:rsid w:val="00202EEA"/>
    <w:rsid w:val="002155AE"/>
    <w:rsid w:val="00227E08"/>
    <w:rsid w:val="00286C5C"/>
    <w:rsid w:val="003135F6"/>
    <w:rsid w:val="0035650C"/>
    <w:rsid w:val="00377FA4"/>
    <w:rsid w:val="003A4078"/>
    <w:rsid w:val="003A6B3A"/>
    <w:rsid w:val="003D6877"/>
    <w:rsid w:val="003E4C30"/>
    <w:rsid w:val="00422ECB"/>
    <w:rsid w:val="00477B46"/>
    <w:rsid w:val="0053782D"/>
    <w:rsid w:val="005544CA"/>
    <w:rsid w:val="0057497B"/>
    <w:rsid w:val="005A3C2A"/>
    <w:rsid w:val="005E7C3B"/>
    <w:rsid w:val="006216C8"/>
    <w:rsid w:val="006839BD"/>
    <w:rsid w:val="006C4721"/>
    <w:rsid w:val="007341DF"/>
    <w:rsid w:val="0078689A"/>
    <w:rsid w:val="007916B8"/>
    <w:rsid w:val="007B1848"/>
    <w:rsid w:val="008E6749"/>
    <w:rsid w:val="00904F75"/>
    <w:rsid w:val="00915887"/>
    <w:rsid w:val="00932685"/>
    <w:rsid w:val="00937B06"/>
    <w:rsid w:val="009C7A11"/>
    <w:rsid w:val="009F0C8A"/>
    <w:rsid w:val="00A33295"/>
    <w:rsid w:val="00A5265A"/>
    <w:rsid w:val="00A55189"/>
    <w:rsid w:val="00A65A5D"/>
    <w:rsid w:val="00A81C57"/>
    <w:rsid w:val="00AA6449"/>
    <w:rsid w:val="00AB52C5"/>
    <w:rsid w:val="00AF2469"/>
    <w:rsid w:val="00B162F9"/>
    <w:rsid w:val="00B75131"/>
    <w:rsid w:val="00B91316"/>
    <w:rsid w:val="00C26336"/>
    <w:rsid w:val="00C62B72"/>
    <w:rsid w:val="00C67FBB"/>
    <w:rsid w:val="00C82CDF"/>
    <w:rsid w:val="00CF508C"/>
    <w:rsid w:val="00D24CC5"/>
    <w:rsid w:val="00D474C0"/>
    <w:rsid w:val="00D52B96"/>
    <w:rsid w:val="00D7060D"/>
    <w:rsid w:val="00D7204D"/>
    <w:rsid w:val="00D823E5"/>
    <w:rsid w:val="00DA26B5"/>
    <w:rsid w:val="00E07B63"/>
    <w:rsid w:val="00E10FE0"/>
    <w:rsid w:val="00E1591B"/>
    <w:rsid w:val="00E5462C"/>
    <w:rsid w:val="00E712A6"/>
    <w:rsid w:val="00E84996"/>
    <w:rsid w:val="00E954AA"/>
    <w:rsid w:val="00F236C6"/>
    <w:rsid w:val="00F373E2"/>
    <w:rsid w:val="00F37838"/>
    <w:rsid w:val="00F92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0D9F780"/>
  <w15:docId w15:val="{CBE46C6A-7D79-4DD1-AB95-B4198FBA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D7204D"/>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7204D"/>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7204D"/>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7204D"/>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7204D"/>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7204D"/>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04D"/>
    <w:rPr>
      <w:rFonts w:ascii="Verdana" w:hAnsi="Verdana"/>
      <w:color w:val="000000"/>
      <w:sz w:val="18"/>
      <w:szCs w:val="18"/>
    </w:rPr>
  </w:style>
  <w:style w:type="paragraph" w:styleId="Voettekst">
    <w:name w:val="footer"/>
    <w:basedOn w:val="Standaard"/>
    <w:link w:val="VoettekstChar"/>
    <w:uiPriority w:val="99"/>
    <w:unhideWhenUsed/>
    <w:rsid w:val="00D72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204D"/>
    <w:rPr>
      <w:rFonts w:ascii="Verdana" w:hAnsi="Verdana"/>
      <w:color w:val="000000"/>
      <w:sz w:val="18"/>
      <w:szCs w:val="18"/>
    </w:rPr>
  </w:style>
  <w:style w:type="character" w:customStyle="1" w:styleId="Kop4Char">
    <w:name w:val="Kop 4 Char"/>
    <w:basedOn w:val="Standaardalinea-lettertype"/>
    <w:link w:val="Kop4"/>
    <w:uiPriority w:val="9"/>
    <w:semiHidden/>
    <w:rsid w:val="00D7204D"/>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D7204D"/>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D7204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D7204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D7204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D7204D"/>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D7204D"/>
    <w:rPr>
      <w:rFonts w:ascii="Verdana" w:hAnsi="Verdana"/>
      <w:b/>
      <w:color w:val="000000"/>
      <w:sz w:val="18"/>
      <w:szCs w:val="18"/>
    </w:rPr>
  </w:style>
  <w:style w:type="character" w:customStyle="1" w:styleId="Kop2Char">
    <w:name w:val="Kop 2 Char"/>
    <w:basedOn w:val="Standaardalinea-lettertype"/>
    <w:link w:val="Kop2"/>
    <w:uiPriority w:val="9"/>
    <w:rsid w:val="00D7204D"/>
    <w:rPr>
      <w:rFonts w:ascii="Verdana" w:hAnsi="Verdana"/>
      <w:i/>
      <w:color w:val="000000"/>
      <w:sz w:val="18"/>
      <w:szCs w:val="18"/>
    </w:rPr>
  </w:style>
  <w:style w:type="character" w:customStyle="1" w:styleId="Kop3Char">
    <w:name w:val="Kop 3 Char"/>
    <w:basedOn w:val="Standaardalinea-lettertype"/>
    <w:link w:val="Kop3"/>
    <w:uiPriority w:val="9"/>
    <w:rsid w:val="00D7204D"/>
    <w:rPr>
      <w:rFonts w:ascii="Verdana" w:hAnsi="Verdana"/>
      <w:color w:val="000000"/>
      <w:sz w:val="18"/>
      <w:szCs w:val="18"/>
    </w:rPr>
  </w:style>
  <w:style w:type="character" w:customStyle="1" w:styleId="TitelChar">
    <w:name w:val="Titel Char"/>
    <w:basedOn w:val="Standaardalinea-lettertype"/>
    <w:link w:val="Titel"/>
    <w:uiPriority w:val="10"/>
    <w:rsid w:val="00D7204D"/>
    <w:rPr>
      <w:rFonts w:ascii="Verdana" w:hAnsi="Verdana"/>
      <w:b/>
      <w:color w:val="000000"/>
      <w:sz w:val="24"/>
      <w:szCs w:val="24"/>
    </w:rPr>
  </w:style>
  <w:style w:type="character" w:customStyle="1" w:styleId="OndertitelChar">
    <w:name w:val="Ondertitel Char"/>
    <w:basedOn w:val="Standaardalinea-lettertype"/>
    <w:link w:val="Ondertitel"/>
    <w:uiPriority w:val="11"/>
    <w:rsid w:val="00D7204D"/>
    <w:rPr>
      <w:rFonts w:ascii="Verdana" w:hAnsi="Verdana"/>
      <w:color w:val="000000"/>
      <w:sz w:val="24"/>
      <w:szCs w:val="24"/>
    </w:rPr>
  </w:style>
  <w:style w:type="paragraph" w:styleId="Citaat">
    <w:name w:val="Quote"/>
    <w:basedOn w:val="Standaard"/>
    <w:next w:val="Standaard"/>
    <w:link w:val="CitaatChar"/>
    <w:uiPriority w:val="29"/>
    <w:qFormat/>
    <w:rsid w:val="00D7204D"/>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7204D"/>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D7204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D7204D"/>
    <w:rPr>
      <w:i/>
      <w:iCs/>
      <w:color w:val="0F4761" w:themeColor="accent1" w:themeShade="BF"/>
    </w:rPr>
  </w:style>
  <w:style w:type="paragraph" w:styleId="Duidelijkcitaat">
    <w:name w:val="Intense Quote"/>
    <w:basedOn w:val="Standaard"/>
    <w:next w:val="Standaard"/>
    <w:link w:val="DuidelijkcitaatChar"/>
    <w:uiPriority w:val="30"/>
    <w:qFormat/>
    <w:rsid w:val="00D7204D"/>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7204D"/>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D7204D"/>
    <w:rPr>
      <w:b/>
      <w:bCs/>
      <w:smallCaps/>
      <w:color w:val="0F4761" w:themeColor="accent1" w:themeShade="BF"/>
      <w:spacing w:val="5"/>
    </w:rPr>
  </w:style>
  <w:style w:type="table" w:styleId="Rastertabel4-Accent1">
    <w:name w:val="Grid Table 4 Accent 1"/>
    <w:basedOn w:val="Standaardtabel"/>
    <w:uiPriority w:val="49"/>
    <w:rsid w:val="00D7204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ekstopmerking">
    <w:name w:val="annotation text"/>
    <w:basedOn w:val="Standaard"/>
    <w:link w:val="TekstopmerkingChar"/>
    <w:uiPriority w:val="99"/>
    <w:unhideWhenUsed/>
    <w:rsid w:val="00D7204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7204D"/>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D7204D"/>
    <w:rPr>
      <w:sz w:val="16"/>
      <w:szCs w:val="16"/>
    </w:rPr>
  </w:style>
  <w:style w:type="table" w:styleId="Rastertabel4">
    <w:name w:val="Grid Table 4"/>
    <w:basedOn w:val="Standaardtabel"/>
    <w:uiPriority w:val="49"/>
    <w:rsid w:val="00D7204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oetnoottekst">
    <w:name w:val="footnote text"/>
    <w:basedOn w:val="Standaard"/>
    <w:link w:val="VoetnoottekstChar"/>
    <w:uiPriority w:val="99"/>
    <w:unhideWhenUsed/>
    <w:rsid w:val="00D7204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D7204D"/>
    <w:rPr>
      <w:rFonts w:ascii="Verdana" w:eastAsiaTheme="minorHAnsi" w:hAnsi="Verdana" w:cstheme="minorBidi"/>
      <w:kern w:val="2"/>
      <w:lang w:val="en-US"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D7204D"/>
    <w:rPr>
      <w:vertAlign w:val="superscript"/>
    </w:rPr>
  </w:style>
  <w:style w:type="table" w:styleId="Lijsttabel1licht-Accent3">
    <w:name w:val="List Table 1 Light Accent 3"/>
    <w:basedOn w:val="Standaardtabel"/>
    <w:uiPriority w:val="46"/>
    <w:rsid w:val="00D7204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
    <w:name w:val="List Table 1 Light"/>
    <w:basedOn w:val="Standaardtabel"/>
    <w:uiPriority w:val="46"/>
    <w:rsid w:val="00D7204D"/>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nderwerpvanopmerking">
    <w:name w:val="annotation subject"/>
    <w:basedOn w:val="Tekstopmerking"/>
    <w:next w:val="Tekstopmerking"/>
    <w:link w:val="OnderwerpvanopmerkingChar"/>
    <w:uiPriority w:val="99"/>
    <w:semiHidden/>
    <w:unhideWhenUsed/>
    <w:rsid w:val="00D7204D"/>
    <w:rPr>
      <w:b/>
      <w:bCs/>
    </w:rPr>
  </w:style>
  <w:style w:type="character" w:customStyle="1" w:styleId="OnderwerpvanopmerkingChar">
    <w:name w:val="Onderwerp van opmerking Char"/>
    <w:basedOn w:val="TekstopmerkingChar"/>
    <w:link w:val="Onderwerpvanopmerking"/>
    <w:uiPriority w:val="99"/>
    <w:semiHidden/>
    <w:rsid w:val="00D7204D"/>
    <w:rPr>
      <w:rFonts w:asciiTheme="minorHAnsi" w:eastAsiaTheme="minorHAnsi" w:hAnsiTheme="minorHAnsi" w:cstheme="minorBidi"/>
      <w:b/>
      <w:bCs/>
      <w:kern w:val="2"/>
      <w:lang w:eastAsia="en-US"/>
      <w14:ligatures w14:val="standardContextual"/>
    </w:rPr>
  </w:style>
  <w:style w:type="table" w:customStyle="1" w:styleId="Lichtelijst-accent111">
    <w:name w:val="Lichte lijst - accent 111"/>
    <w:basedOn w:val="Standaardtabel"/>
    <w:uiPriority w:val="61"/>
    <w:rsid w:val="00D7204D"/>
    <w:pPr>
      <w:autoSpaceDN/>
      <w:textAlignment w:val="auto"/>
    </w:pPr>
    <w:rPr>
      <w:rFonts w:eastAsia="Times New Roman" w:cs="Times New Roma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Revisie">
    <w:name w:val="Revision"/>
    <w:hidden/>
    <w:uiPriority w:val="99"/>
    <w:semiHidden/>
    <w:rsid w:val="00D7204D"/>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3628</ap:Words>
  <ap:Characters>19960</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2026-01-12T15:30:00.0000000Z</dcterms:created>
  <dcterms:modified xsi:type="dcterms:W3CDTF">2026-01-12T15:30:00.0000000Z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2025-0000473905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 3 budgettaire bijlage modernisering forfaits S&amp;E</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2025-10-02T14:46:52Z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715716b2-78b3-4e0e-9992-ba829892249f</vt:lpwstr>
  </property>
  <property fmtid="{D5CDD505-2E9C-101B-9397-08002B2CF9AE}" pid="38" name="MSIP_Label_b2aa6e22-2c82-48c6-bf24-1790f4b9c128_ContentBits">
    <vt:lpwstr>0</vt:lpwstr>
  </property>
</Properties>
</file>