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503B" w:rsidR="00CE062A" w:rsidP="008E2C2A" w:rsidRDefault="00E66B68" w14:paraId="655FF559" w14:textId="375AA995">
      <w:pPr>
        <w:spacing w:line="276" w:lineRule="auto"/>
        <w:rPr>
          <w:lang w:val="en-US"/>
        </w:rPr>
      </w:pPr>
      <w:r w:rsidRPr="003C337C">
        <w:t>Geachte voorzitter,</w:t>
      </w:r>
    </w:p>
    <w:p w:rsidRPr="003C337C" w:rsidR="00CE062A" w:rsidP="008E2C2A" w:rsidRDefault="00CE062A" w14:paraId="655FF55A" w14:textId="77777777">
      <w:pPr>
        <w:spacing w:line="276" w:lineRule="auto"/>
      </w:pPr>
    </w:p>
    <w:p w:rsidRPr="007E68CC" w:rsidR="00FF420F" w:rsidP="008E2C2A" w:rsidRDefault="00627652" w14:paraId="12004FE6" w14:textId="3E7AB4FE">
      <w:pPr>
        <w:pStyle w:val="NoSpacing"/>
        <w:spacing w:line="276" w:lineRule="auto"/>
        <w:rPr>
          <w:rFonts w:ascii="Verdana" w:hAnsi="Verdana"/>
          <w:sz w:val="18"/>
          <w:szCs w:val="18"/>
        </w:rPr>
      </w:pPr>
      <w:bookmarkStart w:name="_Hlk218974444" w:id="0"/>
      <w:bookmarkStart w:name="_Hlk218972570" w:id="1"/>
      <w:bookmarkStart w:name="_Hlk218034651" w:id="2"/>
      <w:bookmarkStart w:name="_Hlk218963968" w:id="3"/>
      <w:bookmarkStart w:name="_Hlk218210939" w:id="4"/>
      <w:bookmarkStart w:name="_Hlk218974123" w:id="5"/>
      <w:r w:rsidRPr="007E68CC">
        <w:rPr>
          <w:rFonts w:ascii="Verdana" w:hAnsi="Verdana"/>
          <w:sz w:val="18"/>
          <w:szCs w:val="18"/>
        </w:rPr>
        <w:t xml:space="preserve">In deze brief zet </w:t>
      </w:r>
      <w:r w:rsidRPr="007E68CC" w:rsidR="00E75092">
        <w:rPr>
          <w:rFonts w:ascii="Verdana" w:hAnsi="Verdana"/>
          <w:sz w:val="18"/>
          <w:szCs w:val="18"/>
        </w:rPr>
        <w:t>het kabinet</w:t>
      </w:r>
      <w:r w:rsidRPr="007E68CC">
        <w:rPr>
          <w:rFonts w:ascii="Verdana" w:hAnsi="Verdana"/>
          <w:sz w:val="18"/>
          <w:szCs w:val="18"/>
        </w:rPr>
        <w:t xml:space="preserve"> uiteen hoe het budget voor humanitaire hulp in 2026 </w:t>
      </w:r>
      <w:r w:rsidRPr="007E68CC" w:rsidR="00A23395">
        <w:rPr>
          <w:rFonts w:ascii="Verdana" w:hAnsi="Verdana"/>
          <w:sz w:val="18"/>
          <w:szCs w:val="18"/>
        </w:rPr>
        <w:t xml:space="preserve">wordt </w:t>
      </w:r>
      <w:r w:rsidRPr="007E68CC">
        <w:rPr>
          <w:rFonts w:ascii="Verdana" w:hAnsi="Verdana"/>
          <w:sz w:val="18"/>
          <w:szCs w:val="18"/>
        </w:rPr>
        <w:t>verdeeld.</w:t>
      </w:r>
      <w:r w:rsidRPr="007E68CC" w:rsidR="00A23395">
        <w:rPr>
          <w:rFonts w:ascii="Verdana" w:hAnsi="Verdana"/>
          <w:sz w:val="18"/>
          <w:szCs w:val="18"/>
        </w:rPr>
        <w:t xml:space="preserve"> </w:t>
      </w:r>
      <w:r w:rsidRPr="007E68CC" w:rsidR="009C2EB7">
        <w:rPr>
          <w:rFonts w:ascii="Verdana" w:hAnsi="Verdana"/>
          <w:sz w:val="18"/>
          <w:szCs w:val="18"/>
        </w:rPr>
        <w:t xml:space="preserve">Nederland </w:t>
      </w:r>
      <w:r w:rsidRPr="007E68CC" w:rsidR="0022696C">
        <w:rPr>
          <w:rFonts w:ascii="Verdana" w:hAnsi="Verdana"/>
          <w:sz w:val="18"/>
          <w:szCs w:val="18"/>
        </w:rPr>
        <w:t>blijft</w:t>
      </w:r>
      <w:r w:rsidRPr="007E68CC" w:rsidR="00EE4C0C">
        <w:rPr>
          <w:rFonts w:ascii="Verdana" w:hAnsi="Verdana"/>
          <w:sz w:val="18"/>
          <w:szCs w:val="18"/>
        </w:rPr>
        <w:t xml:space="preserve">, </w:t>
      </w:r>
      <w:r w:rsidRPr="007E68CC" w:rsidR="009C2EB7">
        <w:rPr>
          <w:rFonts w:ascii="Verdana" w:hAnsi="Verdana"/>
          <w:sz w:val="18"/>
          <w:szCs w:val="18"/>
        </w:rPr>
        <w:t>een stabiele</w:t>
      </w:r>
      <w:r w:rsidRPr="007E68CC" w:rsidR="0022696C">
        <w:rPr>
          <w:rFonts w:ascii="Verdana" w:hAnsi="Verdana"/>
          <w:sz w:val="18"/>
          <w:szCs w:val="18"/>
        </w:rPr>
        <w:t xml:space="preserve"> en betrouwbare</w:t>
      </w:r>
      <w:r w:rsidRPr="007E68CC" w:rsidR="009C2EB7">
        <w:rPr>
          <w:rFonts w:ascii="Verdana" w:hAnsi="Verdana"/>
          <w:sz w:val="18"/>
          <w:szCs w:val="18"/>
        </w:rPr>
        <w:t xml:space="preserve"> humanitaire donor</w:t>
      </w:r>
      <w:r w:rsidRPr="007E68CC" w:rsidR="0022696C">
        <w:rPr>
          <w:rFonts w:ascii="Verdana" w:hAnsi="Verdana"/>
          <w:sz w:val="18"/>
          <w:szCs w:val="18"/>
        </w:rPr>
        <w:t>, met een</w:t>
      </w:r>
      <w:r w:rsidRPr="007E68CC" w:rsidR="009C2EB7">
        <w:rPr>
          <w:rFonts w:ascii="Verdana" w:hAnsi="Verdana"/>
          <w:sz w:val="18"/>
          <w:szCs w:val="18"/>
        </w:rPr>
        <w:t xml:space="preserve"> budget </w:t>
      </w:r>
      <w:r w:rsidRPr="007E68CC" w:rsidR="0022696C">
        <w:rPr>
          <w:rFonts w:ascii="Verdana" w:hAnsi="Verdana"/>
          <w:sz w:val="18"/>
          <w:szCs w:val="18"/>
        </w:rPr>
        <w:t xml:space="preserve">dat </w:t>
      </w:r>
      <w:r w:rsidRPr="007E68CC" w:rsidR="009C2EB7">
        <w:rPr>
          <w:rFonts w:ascii="Verdana" w:hAnsi="Verdana"/>
          <w:sz w:val="18"/>
          <w:szCs w:val="18"/>
        </w:rPr>
        <w:t xml:space="preserve">grotendeels op peil </w:t>
      </w:r>
      <w:r w:rsidRPr="007E68CC" w:rsidR="0022696C">
        <w:rPr>
          <w:rFonts w:ascii="Verdana" w:hAnsi="Verdana"/>
          <w:sz w:val="18"/>
          <w:szCs w:val="18"/>
        </w:rPr>
        <w:t>blijft</w:t>
      </w:r>
      <w:r w:rsidRPr="007E68CC" w:rsidR="00EE4C0C">
        <w:rPr>
          <w:rFonts w:ascii="Verdana" w:hAnsi="Verdana"/>
          <w:sz w:val="18"/>
          <w:szCs w:val="18"/>
        </w:rPr>
        <w:t xml:space="preserve">. Ook </w:t>
      </w:r>
      <w:r w:rsidRPr="007E68CC" w:rsidR="001369D0">
        <w:rPr>
          <w:rFonts w:ascii="Verdana" w:hAnsi="Verdana"/>
          <w:sz w:val="18"/>
          <w:szCs w:val="18"/>
        </w:rPr>
        <w:t>blijft het</w:t>
      </w:r>
      <w:r w:rsidRPr="007E68CC" w:rsidR="00EE4C0C">
        <w:rPr>
          <w:rFonts w:ascii="Verdana" w:hAnsi="Verdana"/>
          <w:sz w:val="18"/>
          <w:szCs w:val="18"/>
        </w:rPr>
        <w:t xml:space="preserve"> kabinet</w:t>
      </w:r>
      <w:r w:rsidRPr="007E68CC" w:rsidR="0085249D">
        <w:rPr>
          <w:rFonts w:ascii="Verdana" w:hAnsi="Verdana"/>
          <w:sz w:val="18"/>
          <w:szCs w:val="18"/>
        </w:rPr>
        <w:t xml:space="preserve"> </w:t>
      </w:r>
      <w:r w:rsidRPr="007E68CC" w:rsidR="0022696C">
        <w:rPr>
          <w:rFonts w:ascii="Verdana" w:hAnsi="Verdana"/>
          <w:sz w:val="18"/>
          <w:szCs w:val="18"/>
        </w:rPr>
        <w:t>in</w:t>
      </w:r>
      <w:r w:rsidRPr="007E68CC" w:rsidR="001369D0">
        <w:rPr>
          <w:rFonts w:ascii="Verdana" w:hAnsi="Verdana"/>
          <w:sz w:val="18"/>
          <w:szCs w:val="18"/>
        </w:rPr>
        <w:t>zetten</w:t>
      </w:r>
      <w:r w:rsidRPr="007E68CC" w:rsidR="0022696C">
        <w:rPr>
          <w:rFonts w:ascii="Verdana" w:hAnsi="Verdana"/>
          <w:sz w:val="18"/>
          <w:szCs w:val="18"/>
        </w:rPr>
        <w:t xml:space="preserve"> op meerjarige en flexibele voorfinanciering aan gespecialiseerde hulporganisaties. </w:t>
      </w:r>
      <w:r w:rsidRPr="007E68CC" w:rsidR="00EE4C0C">
        <w:rPr>
          <w:rFonts w:ascii="Verdana" w:hAnsi="Verdana"/>
          <w:sz w:val="18"/>
          <w:szCs w:val="18"/>
        </w:rPr>
        <w:t xml:space="preserve">Dit stelt </w:t>
      </w:r>
      <w:r w:rsidRPr="007E68CC" w:rsidR="0022696C">
        <w:rPr>
          <w:rFonts w:ascii="Verdana" w:hAnsi="Verdana"/>
          <w:sz w:val="18"/>
          <w:szCs w:val="18"/>
        </w:rPr>
        <w:t xml:space="preserve">partners </w:t>
      </w:r>
      <w:r w:rsidRPr="007E68CC" w:rsidR="00EE4C0C">
        <w:rPr>
          <w:rFonts w:ascii="Verdana" w:hAnsi="Verdana"/>
          <w:sz w:val="18"/>
          <w:szCs w:val="18"/>
        </w:rPr>
        <w:t xml:space="preserve">in staat om </w:t>
      </w:r>
      <w:r w:rsidRPr="007E68CC" w:rsidR="0022696C">
        <w:rPr>
          <w:rFonts w:ascii="Verdana" w:hAnsi="Verdana"/>
          <w:sz w:val="18"/>
          <w:szCs w:val="18"/>
        </w:rPr>
        <w:t>snel, duurzaam, en op schaal hulp</w:t>
      </w:r>
      <w:r w:rsidRPr="007E68CC" w:rsidR="00EE4C0C">
        <w:rPr>
          <w:rFonts w:ascii="Verdana" w:hAnsi="Verdana"/>
          <w:sz w:val="18"/>
          <w:szCs w:val="18"/>
        </w:rPr>
        <w:t xml:space="preserve"> te </w:t>
      </w:r>
      <w:r w:rsidRPr="007E68CC" w:rsidR="0022696C">
        <w:rPr>
          <w:rFonts w:ascii="Verdana" w:hAnsi="Verdana"/>
          <w:sz w:val="18"/>
          <w:szCs w:val="18"/>
        </w:rPr>
        <w:t>verlenen</w:t>
      </w:r>
      <w:r w:rsidRPr="007E68CC" w:rsidR="00EE4C0C">
        <w:rPr>
          <w:rFonts w:ascii="Verdana" w:hAnsi="Verdana"/>
          <w:sz w:val="18"/>
          <w:szCs w:val="18"/>
        </w:rPr>
        <w:t xml:space="preserve">, </w:t>
      </w:r>
      <w:r w:rsidRPr="007E68CC" w:rsidR="0022696C">
        <w:rPr>
          <w:rFonts w:ascii="Verdana" w:hAnsi="Verdana"/>
          <w:sz w:val="18"/>
          <w:szCs w:val="18"/>
        </w:rPr>
        <w:t>zowel in crises die veel (politieke) aandacht krijgen, als</w:t>
      </w:r>
      <w:r w:rsidRPr="007E68CC" w:rsidR="00FF420F">
        <w:rPr>
          <w:rFonts w:ascii="Verdana" w:hAnsi="Verdana"/>
          <w:sz w:val="18"/>
          <w:szCs w:val="18"/>
        </w:rPr>
        <w:t xml:space="preserve"> bij</w:t>
      </w:r>
      <w:r w:rsidRPr="007E68CC" w:rsidR="0022696C">
        <w:rPr>
          <w:rFonts w:ascii="Verdana" w:hAnsi="Verdana"/>
          <w:sz w:val="18"/>
          <w:szCs w:val="18"/>
        </w:rPr>
        <w:t xml:space="preserve"> plotselinge natuurrampen of langdurige, ‘vergeten’ crises</w:t>
      </w:r>
      <w:r w:rsidRPr="007E68CC" w:rsidR="009C2EB7">
        <w:rPr>
          <w:rFonts w:ascii="Verdana" w:hAnsi="Verdana"/>
          <w:sz w:val="18"/>
          <w:szCs w:val="18"/>
        </w:rPr>
        <w:t xml:space="preserve">. </w:t>
      </w:r>
    </w:p>
    <w:p w:rsidRPr="007E68CC" w:rsidR="00FF420F" w:rsidP="008E2C2A" w:rsidRDefault="00FF420F" w14:paraId="595E8F79" w14:textId="77777777">
      <w:pPr>
        <w:pStyle w:val="NoSpacing"/>
        <w:spacing w:line="276" w:lineRule="auto"/>
        <w:rPr>
          <w:rFonts w:ascii="Verdana" w:hAnsi="Verdana"/>
          <w:sz w:val="18"/>
          <w:szCs w:val="18"/>
        </w:rPr>
      </w:pPr>
    </w:p>
    <w:p w:rsidRPr="007E68CC" w:rsidR="0021305E" w:rsidP="008E2C2A" w:rsidRDefault="00966D83" w14:paraId="0D6D3357" w14:textId="0B9D9A39">
      <w:pPr>
        <w:pStyle w:val="NoSpacing"/>
        <w:spacing w:line="276" w:lineRule="auto"/>
        <w:rPr>
          <w:rFonts w:ascii="Verdana" w:hAnsi="Verdana"/>
          <w:sz w:val="18"/>
          <w:szCs w:val="18"/>
        </w:rPr>
      </w:pPr>
      <w:r w:rsidRPr="007E68CC">
        <w:rPr>
          <w:rFonts w:ascii="Verdana" w:hAnsi="Verdana"/>
          <w:sz w:val="18"/>
          <w:szCs w:val="18"/>
        </w:rPr>
        <w:t>De</w:t>
      </w:r>
      <w:r w:rsidRPr="007E68CC" w:rsidR="00A23395">
        <w:rPr>
          <w:rFonts w:ascii="Verdana" w:hAnsi="Verdana"/>
          <w:sz w:val="18"/>
          <w:szCs w:val="18"/>
        </w:rPr>
        <w:t xml:space="preserve"> </w:t>
      </w:r>
      <w:r w:rsidRPr="007E68CC" w:rsidR="001656A0">
        <w:rPr>
          <w:rFonts w:ascii="Verdana" w:hAnsi="Verdana"/>
          <w:sz w:val="18"/>
          <w:szCs w:val="18"/>
        </w:rPr>
        <w:t xml:space="preserve">wereldwijde humanitaire </w:t>
      </w:r>
      <w:r w:rsidRPr="007E68CC" w:rsidR="00A23395">
        <w:rPr>
          <w:rFonts w:ascii="Verdana" w:hAnsi="Verdana"/>
          <w:sz w:val="18"/>
          <w:szCs w:val="18"/>
        </w:rPr>
        <w:t>node</w:t>
      </w:r>
      <w:r w:rsidRPr="007E68CC" w:rsidR="00746E53">
        <w:rPr>
          <w:rFonts w:ascii="Verdana" w:hAnsi="Verdana"/>
          <w:sz w:val="18"/>
          <w:szCs w:val="18"/>
        </w:rPr>
        <w:t>n</w:t>
      </w:r>
      <w:r w:rsidRPr="007E68CC" w:rsidR="00A23395">
        <w:rPr>
          <w:rFonts w:ascii="Verdana" w:hAnsi="Verdana"/>
          <w:sz w:val="18"/>
          <w:szCs w:val="18"/>
        </w:rPr>
        <w:t xml:space="preserve"> </w:t>
      </w:r>
      <w:r w:rsidRPr="007E68CC" w:rsidR="00FF420F">
        <w:rPr>
          <w:rFonts w:ascii="Verdana" w:hAnsi="Verdana"/>
          <w:sz w:val="18"/>
          <w:szCs w:val="18"/>
        </w:rPr>
        <w:t xml:space="preserve">blijven hoog </w:t>
      </w:r>
      <w:r w:rsidRPr="007E68CC" w:rsidR="000E4A5F">
        <w:rPr>
          <w:rFonts w:ascii="Verdana" w:hAnsi="Verdana"/>
          <w:sz w:val="18"/>
          <w:szCs w:val="18"/>
        </w:rPr>
        <w:t>door</w:t>
      </w:r>
      <w:r w:rsidRPr="007E68CC" w:rsidR="00B276AD">
        <w:rPr>
          <w:rFonts w:ascii="Verdana" w:hAnsi="Verdana"/>
          <w:sz w:val="18"/>
          <w:szCs w:val="18"/>
        </w:rPr>
        <w:t xml:space="preserve"> </w:t>
      </w:r>
      <w:r w:rsidRPr="007E68CC" w:rsidR="000E4A5F">
        <w:rPr>
          <w:rFonts w:ascii="Verdana" w:hAnsi="Verdana"/>
          <w:sz w:val="18"/>
          <w:szCs w:val="18"/>
        </w:rPr>
        <w:t xml:space="preserve">gewapende conflicten </w:t>
      </w:r>
      <w:r w:rsidRPr="007E68CC" w:rsidR="00BA6A6B">
        <w:rPr>
          <w:rFonts w:ascii="Verdana" w:hAnsi="Verdana"/>
          <w:sz w:val="18"/>
          <w:szCs w:val="18"/>
        </w:rPr>
        <w:t>zoals</w:t>
      </w:r>
      <w:r w:rsidRPr="007E68CC" w:rsidR="000E4A5F">
        <w:rPr>
          <w:rFonts w:ascii="Verdana" w:hAnsi="Verdana"/>
          <w:sz w:val="18"/>
          <w:szCs w:val="18"/>
        </w:rPr>
        <w:t xml:space="preserve"> in Soedan, Gaza en Oekraïne</w:t>
      </w:r>
      <w:r w:rsidRPr="007E68CC" w:rsidR="00B276AD">
        <w:rPr>
          <w:rFonts w:ascii="Verdana" w:hAnsi="Verdana"/>
          <w:sz w:val="18"/>
          <w:szCs w:val="18"/>
        </w:rPr>
        <w:t>,</w:t>
      </w:r>
      <w:r w:rsidRPr="007E68CC" w:rsidR="000E4A5F">
        <w:rPr>
          <w:rFonts w:ascii="Verdana" w:hAnsi="Verdana"/>
          <w:sz w:val="18"/>
          <w:szCs w:val="18"/>
        </w:rPr>
        <w:t xml:space="preserve"> </w:t>
      </w:r>
      <w:r w:rsidRPr="007E68CC" w:rsidR="008E1CBB">
        <w:rPr>
          <w:rFonts w:ascii="Verdana" w:hAnsi="Verdana"/>
          <w:sz w:val="18"/>
          <w:szCs w:val="18"/>
        </w:rPr>
        <w:t>en</w:t>
      </w:r>
      <w:r w:rsidRPr="007E68CC" w:rsidR="000E4A5F">
        <w:rPr>
          <w:rFonts w:ascii="Verdana" w:hAnsi="Verdana"/>
          <w:sz w:val="18"/>
          <w:szCs w:val="18"/>
        </w:rPr>
        <w:t xml:space="preserve"> </w:t>
      </w:r>
      <w:r w:rsidRPr="007E68CC" w:rsidR="001656A0">
        <w:rPr>
          <w:rFonts w:ascii="Verdana" w:hAnsi="Verdana"/>
          <w:sz w:val="18"/>
          <w:szCs w:val="18"/>
        </w:rPr>
        <w:t xml:space="preserve">door </w:t>
      </w:r>
      <w:r w:rsidRPr="007E68CC" w:rsidR="000E4A5F">
        <w:rPr>
          <w:rFonts w:ascii="Verdana" w:hAnsi="Verdana"/>
          <w:sz w:val="18"/>
          <w:szCs w:val="18"/>
        </w:rPr>
        <w:t xml:space="preserve">grootschalige natuurrampen, </w:t>
      </w:r>
      <w:r w:rsidRPr="007E68CC" w:rsidR="00FF420F">
        <w:rPr>
          <w:rFonts w:ascii="Verdana" w:hAnsi="Verdana"/>
          <w:sz w:val="18"/>
          <w:szCs w:val="18"/>
        </w:rPr>
        <w:t xml:space="preserve">zoals de recente overstromingen </w:t>
      </w:r>
      <w:r w:rsidRPr="007E68CC" w:rsidR="000E4A5F">
        <w:rPr>
          <w:rFonts w:ascii="Verdana" w:hAnsi="Verdana"/>
          <w:sz w:val="18"/>
          <w:szCs w:val="18"/>
        </w:rPr>
        <w:t>in Zuidoost-Azië</w:t>
      </w:r>
      <w:r w:rsidRPr="007E68CC" w:rsidR="00A23395">
        <w:rPr>
          <w:rFonts w:ascii="Verdana" w:hAnsi="Verdana"/>
          <w:sz w:val="18"/>
          <w:szCs w:val="18"/>
        </w:rPr>
        <w:t>.</w:t>
      </w:r>
      <w:r w:rsidRPr="007E68CC" w:rsidR="00FF420F">
        <w:rPr>
          <w:rFonts w:ascii="Verdana" w:hAnsi="Verdana"/>
          <w:sz w:val="18"/>
          <w:szCs w:val="18"/>
        </w:rPr>
        <w:t xml:space="preserve"> Volgens</w:t>
      </w:r>
      <w:r w:rsidRPr="007E68CC" w:rsidDel="00790C73" w:rsidR="00FF420F">
        <w:rPr>
          <w:rFonts w:ascii="Verdana" w:hAnsi="Verdana"/>
          <w:sz w:val="18"/>
          <w:szCs w:val="18"/>
        </w:rPr>
        <w:t xml:space="preserve"> </w:t>
      </w:r>
      <w:r w:rsidRPr="007E68CC" w:rsidR="00FF420F">
        <w:rPr>
          <w:rFonts w:ascii="Verdana" w:hAnsi="Verdana"/>
          <w:sz w:val="18"/>
          <w:szCs w:val="18"/>
        </w:rPr>
        <w:t>de Verenigde Naties (VN) zullen in 2026 wereldwijd naar schatting 239 miljoen mensen humanitaire hulp nodig hebben.</w:t>
      </w:r>
      <w:r w:rsidRPr="007E68CC" w:rsidR="00FF420F">
        <w:rPr>
          <w:rStyle w:val="FootnoteReference"/>
          <w:rFonts w:ascii="Verdana" w:hAnsi="Verdana"/>
          <w:sz w:val="18"/>
          <w:szCs w:val="18"/>
        </w:rPr>
        <w:footnoteReference w:id="2"/>
      </w:r>
      <w:r w:rsidRPr="007E68CC" w:rsidR="00A23395">
        <w:rPr>
          <w:rFonts w:ascii="Verdana" w:hAnsi="Verdana"/>
          <w:sz w:val="18"/>
          <w:szCs w:val="18"/>
        </w:rPr>
        <w:t xml:space="preserve"> </w:t>
      </w:r>
      <w:r w:rsidRPr="007E68CC" w:rsidR="00FF420F">
        <w:rPr>
          <w:rFonts w:ascii="Verdana" w:hAnsi="Verdana"/>
          <w:sz w:val="18"/>
          <w:szCs w:val="18"/>
        </w:rPr>
        <w:t>Omdat er onvoldoende</w:t>
      </w:r>
      <w:r w:rsidRPr="007E68CC" w:rsidR="001656A0">
        <w:rPr>
          <w:rFonts w:ascii="Verdana" w:hAnsi="Verdana"/>
          <w:sz w:val="18"/>
          <w:szCs w:val="18"/>
        </w:rPr>
        <w:t xml:space="preserve"> middelen zijn om iedereen te </w:t>
      </w:r>
      <w:r w:rsidRPr="007E68CC" w:rsidR="00FF420F">
        <w:rPr>
          <w:rFonts w:ascii="Verdana" w:hAnsi="Verdana"/>
          <w:sz w:val="18"/>
          <w:szCs w:val="18"/>
        </w:rPr>
        <w:t xml:space="preserve">helpen zijn </w:t>
      </w:r>
      <w:r w:rsidRPr="007E68CC" w:rsidR="001656A0">
        <w:rPr>
          <w:rFonts w:ascii="Verdana" w:hAnsi="Verdana"/>
          <w:sz w:val="18"/>
          <w:szCs w:val="18"/>
        </w:rPr>
        <w:t>hulporganisaties</w:t>
      </w:r>
      <w:r w:rsidRPr="007E68CC" w:rsidR="00FF420F">
        <w:rPr>
          <w:rFonts w:ascii="Verdana" w:hAnsi="Verdana"/>
          <w:sz w:val="18"/>
          <w:szCs w:val="18"/>
        </w:rPr>
        <w:t xml:space="preserve"> genoodzaakt te prioriteren</w:t>
      </w:r>
      <w:r w:rsidRPr="007E68CC" w:rsidR="001656A0">
        <w:rPr>
          <w:rFonts w:ascii="Verdana" w:hAnsi="Verdana"/>
          <w:sz w:val="18"/>
          <w:szCs w:val="18"/>
        </w:rPr>
        <w:t xml:space="preserve"> en worden </w:t>
      </w:r>
      <w:r w:rsidRPr="007E68CC" w:rsidR="00652593">
        <w:rPr>
          <w:rFonts w:ascii="Verdana" w:hAnsi="Verdana"/>
          <w:sz w:val="18"/>
          <w:szCs w:val="18"/>
        </w:rPr>
        <w:t xml:space="preserve">middelen </w:t>
      </w:r>
      <w:r w:rsidRPr="007E68CC" w:rsidR="001656A0">
        <w:rPr>
          <w:rFonts w:ascii="Verdana" w:hAnsi="Verdana"/>
          <w:sz w:val="18"/>
          <w:szCs w:val="18"/>
        </w:rPr>
        <w:t xml:space="preserve">in de eerste plaats ingezet voor mensen </w:t>
      </w:r>
      <w:r w:rsidRPr="007E68CC" w:rsidR="00FF420F">
        <w:rPr>
          <w:rFonts w:ascii="Verdana" w:hAnsi="Verdana"/>
          <w:sz w:val="18"/>
          <w:szCs w:val="18"/>
        </w:rPr>
        <w:t>met de meest acute en levensbedreigende behoeften.</w:t>
      </w:r>
    </w:p>
    <w:p w:rsidRPr="007E68CC" w:rsidR="00652593" w:rsidP="008E2C2A" w:rsidRDefault="00652593" w14:paraId="2B35ED76" w14:textId="77777777">
      <w:pPr>
        <w:pStyle w:val="NoSpacing"/>
        <w:spacing w:line="276" w:lineRule="auto"/>
        <w:rPr>
          <w:rFonts w:ascii="Verdana" w:hAnsi="Verdana"/>
          <w:sz w:val="18"/>
          <w:szCs w:val="18"/>
        </w:rPr>
      </w:pPr>
    </w:p>
    <w:p w:rsidRPr="007E68CC" w:rsidR="00652593" w:rsidP="008E2C2A" w:rsidRDefault="00652593" w14:paraId="3D1701B8" w14:textId="740018CA">
      <w:pPr>
        <w:pStyle w:val="NoSpacing"/>
        <w:spacing w:line="276" w:lineRule="auto"/>
        <w:rPr>
          <w:rFonts w:ascii="Verdana" w:hAnsi="Verdana"/>
          <w:sz w:val="18"/>
          <w:szCs w:val="18"/>
        </w:rPr>
      </w:pPr>
      <w:r w:rsidRPr="007E68CC">
        <w:rPr>
          <w:rFonts w:ascii="Verdana" w:hAnsi="Verdana"/>
          <w:sz w:val="18"/>
          <w:szCs w:val="18"/>
        </w:rPr>
        <w:t>Tegen deze achtergrond werkt de</w:t>
      </w:r>
      <w:r w:rsidRPr="007E68CC" w:rsidDel="00E4403F">
        <w:rPr>
          <w:rFonts w:ascii="Verdana" w:hAnsi="Verdana"/>
          <w:sz w:val="18"/>
          <w:szCs w:val="18"/>
        </w:rPr>
        <w:t xml:space="preserve"> </w:t>
      </w:r>
      <w:r w:rsidRPr="007E68CC">
        <w:rPr>
          <w:rFonts w:ascii="Verdana" w:hAnsi="Verdana"/>
          <w:sz w:val="18"/>
          <w:szCs w:val="18"/>
        </w:rPr>
        <w:t xml:space="preserve">VN in samenwerking met donoren en </w:t>
      </w:r>
      <w:r w:rsidRPr="007E68CC" w:rsidR="00A90E40">
        <w:rPr>
          <w:rFonts w:ascii="Verdana" w:hAnsi="Verdana"/>
          <w:sz w:val="18"/>
          <w:szCs w:val="18"/>
        </w:rPr>
        <w:t>non-gouvernementele organisaties (ngo’s)</w:t>
      </w:r>
      <w:r w:rsidRPr="007E68CC">
        <w:rPr>
          <w:rFonts w:ascii="Verdana" w:hAnsi="Verdana"/>
          <w:sz w:val="18"/>
          <w:szCs w:val="18"/>
        </w:rPr>
        <w:t xml:space="preserve"> aan noodzakelijke hervormingen van het humanitaire systeem.</w:t>
      </w:r>
      <w:r w:rsidRPr="007E68CC">
        <w:rPr>
          <w:rStyle w:val="FootnoteReference"/>
          <w:rFonts w:ascii="Verdana" w:hAnsi="Verdana"/>
          <w:sz w:val="18"/>
          <w:szCs w:val="18"/>
        </w:rPr>
        <w:footnoteReference w:id="3"/>
      </w:r>
      <w:r w:rsidRPr="007E68CC">
        <w:rPr>
          <w:rFonts w:ascii="Verdana" w:hAnsi="Verdana"/>
          <w:sz w:val="18"/>
          <w:szCs w:val="18"/>
        </w:rPr>
        <w:t xml:space="preserve"> Deze hervormingen richten zich naast scherper prioriteren, ook op het terugdringen van kosten, bijvoorbeeld door het beter delen van data tussen organisaties en het gezamenlijk gebruik maken van vluchten of vrachtwagens met hulpgoederen. In dat licht wordt ook steeds meer ingezet op het organiseren van hulp op lokaal niveau, door gebruik te maken van lokale en nationale organisaties.</w:t>
      </w:r>
    </w:p>
    <w:bookmarkEnd w:id="0"/>
    <w:p w:rsidRPr="007E68CC" w:rsidR="0021305E" w:rsidP="008E2C2A" w:rsidRDefault="0021305E" w14:paraId="45A91B05" w14:textId="77777777">
      <w:pPr>
        <w:pStyle w:val="NoSpacing"/>
        <w:spacing w:line="276" w:lineRule="auto"/>
        <w:rPr>
          <w:rFonts w:ascii="Verdana" w:hAnsi="Verdana"/>
          <w:sz w:val="18"/>
          <w:szCs w:val="18"/>
        </w:rPr>
      </w:pPr>
    </w:p>
    <w:p w:rsidRPr="007E68CC" w:rsidR="00FF420F" w:rsidP="008E2C2A" w:rsidRDefault="00FF420F" w14:paraId="6E6BB65C" w14:textId="75FA57C3">
      <w:pPr>
        <w:pStyle w:val="NoSpacing"/>
        <w:spacing w:line="276" w:lineRule="auto"/>
        <w:rPr>
          <w:rFonts w:ascii="Verdana" w:hAnsi="Verdana"/>
          <w:b/>
          <w:bCs/>
          <w:sz w:val="18"/>
          <w:szCs w:val="18"/>
        </w:rPr>
      </w:pPr>
      <w:r w:rsidRPr="007E68CC">
        <w:rPr>
          <w:rFonts w:ascii="Verdana" w:hAnsi="Verdana"/>
          <w:b/>
          <w:bCs/>
          <w:sz w:val="18"/>
          <w:szCs w:val="18"/>
        </w:rPr>
        <w:t>Bescherming van humanitaire ruimte en hulpverleners</w:t>
      </w:r>
    </w:p>
    <w:p w:rsidRPr="003C337C" w:rsidR="0021305E" w:rsidP="00A64F3A" w:rsidRDefault="00746E53" w14:paraId="78FCCD21" w14:textId="5A734B57">
      <w:pPr>
        <w:pStyle w:val="NoSpacing"/>
        <w:spacing w:line="276" w:lineRule="auto"/>
        <w:rPr>
          <w:rFonts w:ascii="Verdana" w:hAnsi="Verdana"/>
          <w:sz w:val="18"/>
          <w:szCs w:val="18"/>
        </w:rPr>
      </w:pPr>
      <w:r w:rsidRPr="007E68CC">
        <w:rPr>
          <w:rFonts w:ascii="Verdana" w:hAnsi="Verdana"/>
          <w:sz w:val="18"/>
          <w:szCs w:val="18"/>
        </w:rPr>
        <w:t>V</w:t>
      </w:r>
      <w:r w:rsidRPr="007E68CC" w:rsidR="0021305E">
        <w:rPr>
          <w:rFonts w:ascii="Verdana" w:hAnsi="Verdana"/>
          <w:sz w:val="18"/>
          <w:szCs w:val="18"/>
        </w:rPr>
        <w:t xml:space="preserve">oor hulporganisaties </w:t>
      </w:r>
      <w:r w:rsidRPr="007E68CC">
        <w:rPr>
          <w:rFonts w:ascii="Verdana" w:hAnsi="Verdana"/>
          <w:sz w:val="18"/>
          <w:szCs w:val="18"/>
        </w:rPr>
        <w:t>w</w:t>
      </w:r>
      <w:r w:rsidRPr="007E68CC" w:rsidR="0022696C">
        <w:rPr>
          <w:rFonts w:ascii="Verdana" w:hAnsi="Verdana"/>
          <w:sz w:val="18"/>
          <w:szCs w:val="18"/>
        </w:rPr>
        <w:t xml:space="preserve">ordt </w:t>
      </w:r>
      <w:r w:rsidRPr="007E68CC">
        <w:rPr>
          <w:rFonts w:ascii="Verdana" w:hAnsi="Verdana"/>
          <w:sz w:val="18"/>
          <w:szCs w:val="18"/>
        </w:rPr>
        <w:t xml:space="preserve">het </w:t>
      </w:r>
      <w:r w:rsidRPr="007E68CC" w:rsidR="0021305E">
        <w:rPr>
          <w:rFonts w:ascii="Verdana" w:hAnsi="Verdana"/>
          <w:sz w:val="18"/>
          <w:szCs w:val="18"/>
        </w:rPr>
        <w:t>steeds lastiger om</w:t>
      </w:r>
      <w:r w:rsidRPr="007E68CC" w:rsidR="00FF420F">
        <w:rPr>
          <w:rFonts w:ascii="Verdana" w:hAnsi="Verdana"/>
          <w:sz w:val="18"/>
          <w:szCs w:val="18"/>
        </w:rPr>
        <w:t xml:space="preserve"> de meest kwetsbaren te bereiken en te beschermen</w:t>
      </w:r>
      <w:r w:rsidRPr="007E68CC" w:rsidR="0021305E">
        <w:rPr>
          <w:rFonts w:ascii="Verdana" w:hAnsi="Verdana"/>
          <w:sz w:val="18"/>
          <w:szCs w:val="18"/>
        </w:rPr>
        <w:t xml:space="preserve">. In verschillende </w:t>
      </w:r>
      <w:r w:rsidRPr="007E68CC" w:rsidR="0028791E">
        <w:rPr>
          <w:rFonts w:ascii="Verdana" w:hAnsi="Verdana"/>
          <w:sz w:val="18"/>
          <w:szCs w:val="18"/>
        </w:rPr>
        <w:t xml:space="preserve">landen </w:t>
      </w:r>
      <w:r w:rsidRPr="007E68CC" w:rsidR="0021305E">
        <w:rPr>
          <w:rFonts w:ascii="Verdana" w:hAnsi="Verdana"/>
          <w:sz w:val="18"/>
          <w:szCs w:val="18"/>
        </w:rPr>
        <w:t>st</w:t>
      </w:r>
      <w:r w:rsidRPr="007E68CC" w:rsidR="0022696C">
        <w:rPr>
          <w:rFonts w:ascii="Verdana" w:hAnsi="Verdana"/>
          <w:sz w:val="18"/>
          <w:szCs w:val="18"/>
        </w:rPr>
        <w:t>aat</w:t>
      </w:r>
      <w:r w:rsidRPr="007E68CC" w:rsidR="0021305E">
        <w:rPr>
          <w:rFonts w:ascii="Verdana" w:hAnsi="Verdana"/>
          <w:sz w:val="18"/>
          <w:szCs w:val="18"/>
        </w:rPr>
        <w:t xml:space="preserve"> de naleving van </w:t>
      </w:r>
      <w:r w:rsidRPr="007E68CC" w:rsidR="0021305E">
        <w:rPr>
          <w:rFonts w:ascii="Verdana" w:hAnsi="Verdana"/>
          <w:sz w:val="18"/>
          <w:szCs w:val="18"/>
        </w:rPr>
        <w:lastRenderedPageBreak/>
        <w:t>internationale humanitaire regels en de toegang voor hulporganisaties onder</w:t>
      </w:r>
      <w:r w:rsidRPr="003C337C" w:rsidR="0021305E">
        <w:rPr>
          <w:rFonts w:ascii="Verdana" w:hAnsi="Verdana"/>
          <w:sz w:val="18"/>
          <w:szCs w:val="18"/>
        </w:rPr>
        <w:t xml:space="preserve"> druk</w:t>
      </w:r>
      <w:r w:rsidR="001369D0">
        <w:rPr>
          <w:rFonts w:ascii="Verdana" w:hAnsi="Verdana"/>
          <w:sz w:val="18"/>
          <w:szCs w:val="18"/>
        </w:rPr>
        <w:t>.</w:t>
      </w:r>
      <w:r w:rsidRPr="003C337C" w:rsidR="00A76EC3">
        <w:rPr>
          <w:rFonts w:ascii="Verdana" w:hAnsi="Verdana"/>
          <w:sz w:val="18"/>
          <w:szCs w:val="18"/>
        </w:rPr>
        <w:t xml:space="preserve"> </w:t>
      </w:r>
      <w:r w:rsidR="001369D0">
        <w:rPr>
          <w:rFonts w:ascii="Verdana" w:hAnsi="Verdana"/>
          <w:sz w:val="18"/>
          <w:szCs w:val="18"/>
        </w:rPr>
        <w:t>H</w:t>
      </w:r>
      <w:r w:rsidRPr="003C337C" w:rsidR="0021305E">
        <w:rPr>
          <w:rFonts w:ascii="Verdana" w:hAnsi="Verdana"/>
          <w:sz w:val="18"/>
          <w:szCs w:val="18"/>
        </w:rPr>
        <w:t>umanitaire hulp</w:t>
      </w:r>
      <w:r w:rsidR="001369D0">
        <w:rPr>
          <w:rFonts w:ascii="Verdana" w:hAnsi="Verdana"/>
          <w:sz w:val="18"/>
          <w:szCs w:val="18"/>
        </w:rPr>
        <w:t xml:space="preserve"> wordt</w:t>
      </w:r>
      <w:r w:rsidRPr="003C337C" w:rsidR="0021305E">
        <w:rPr>
          <w:rFonts w:ascii="Verdana" w:hAnsi="Verdana"/>
          <w:sz w:val="18"/>
          <w:szCs w:val="18"/>
        </w:rPr>
        <w:t xml:space="preserve"> steeds meer gebruikt als een instrument voor politiek of militair gewin. Hulpverleners w</w:t>
      </w:r>
      <w:r w:rsidR="0022696C">
        <w:rPr>
          <w:rFonts w:ascii="Verdana" w:hAnsi="Verdana"/>
          <w:sz w:val="18"/>
          <w:szCs w:val="18"/>
        </w:rPr>
        <w:t>o</w:t>
      </w:r>
      <w:r w:rsidRPr="003C337C" w:rsidR="0021305E">
        <w:rPr>
          <w:rFonts w:ascii="Verdana" w:hAnsi="Verdana"/>
          <w:sz w:val="18"/>
          <w:szCs w:val="18"/>
        </w:rPr>
        <w:t>rden bovendien geconfronteerd met geweld: in 2025 kwamen wereldwijd ten minste 329 hulpverleners om het leven, raakten 18</w:t>
      </w:r>
      <w:r w:rsidRPr="003C337C" w:rsidR="00DC42E4">
        <w:rPr>
          <w:rFonts w:ascii="Verdana" w:hAnsi="Verdana"/>
          <w:sz w:val="18"/>
          <w:szCs w:val="18"/>
        </w:rPr>
        <w:t>0</w:t>
      </w:r>
      <w:r w:rsidRPr="003C337C" w:rsidR="0021305E">
        <w:rPr>
          <w:rFonts w:ascii="Verdana" w:hAnsi="Verdana"/>
          <w:sz w:val="18"/>
          <w:szCs w:val="18"/>
        </w:rPr>
        <w:t xml:space="preserve"> gewond en werden 97 ontvoerd.</w:t>
      </w:r>
      <w:r w:rsidRPr="003C337C" w:rsidR="0021305E">
        <w:rPr>
          <w:rStyle w:val="FootnoteReference"/>
          <w:rFonts w:ascii="Verdana" w:hAnsi="Verdana"/>
          <w:sz w:val="18"/>
          <w:szCs w:val="18"/>
        </w:rPr>
        <w:footnoteReference w:id="4"/>
      </w:r>
      <w:r w:rsidRPr="003C337C" w:rsidR="0021305E">
        <w:rPr>
          <w:rFonts w:ascii="Verdana" w:hAnsi="Verdana"/>
          <w:sz w:val="18"/>
          <w:szCs w:val="18"/>
        </w:rPr>
        <w:t xml:space="preserve"> </w:t>
      </w:r>
      <w:r w:rsidR="00FF420F">
        <w:rPr>
          <w:rFonts w:ascii="Verdana" w:hAnsi="Verdana"/>
          <w:sz w:val="18"/>
          <w:szCs w:val="18"/>
        </w:rPr>
        <w:t xml:space="preserve">Het kabinet blijft </w:t>
      </w:r>
      <w:r w:rsidRPr="003C337C" w:rsidR="00FF420F">
        <w:rPr>
          <w:rFonts w:ascii="Verdana" w:hAnsi="Verdana"/>
          <w:sz w:val="18"/>
          <w:szCs w:val="18"/>
        </w:rPr>
        <w:t xml:space="preserve">zich </w:t>
      </w:r>
      <w:r w:rsidR="00FF420F">
        <w:rPr>
          <w:rFonts w:ascii="Verdana" w:hAnsi="Verdana"/>
          <w:sz w:val="18"/>
          <w:szCs w:val="18"/>
        </w:rPr>
        <w:t xml:space="preserve">in 2026 </w:t>
      </w:r>
      <w:r w:rsidRPr="003C337C" w:rsidR="00FF420F">
        <w:rPr>
          <w:rFonts w:ascii="Verdana" w:hAnsi="Verdana"/>
          <w:sz w:val="18"/>
          <w:szCs w:val="18"/>
        </w:rPr>
        <w:t>op diplomatiek vlak actief</w:t>
      </w:r>
      <w:r w:rsidR="00FF420F">
        <w:rPr>
          <w:rFonts w:ascii="Verdana" w:hAnsi="Verdana"/>
          <w:sz w:val="18"/>
          <w:szCs w:val="18"/>
        </w:rPr>
        <w:t xml:space="preserve"> inzetten</w:t>
      </w:r>
      <w:r w:rsidRPr="003C337C" w:rsidR="00FF420F">
        <w:rPr>
          <w:rFonts w:ascii="Verdana" w:hAnsi="Verdana"/>
          <w:sz w:val="18"/>
          <w:szCs w:val="18"/>
        </w:rPr>
        <w:t xml:space="preserve"> voor </w:t>
      </w:r>
      <w:r w:rsidR="00FF420F">
        <w:rPr>
          <w:rFonts w:ascii="Verdana" w:hAnsi="Verdana"/>
          <w:sz w:val="18"/>
          <w:szCs w:val="18"/>
        </w:rPr>
        <w:t xml:space="preserve">het </w:t>
      </w:r>
      <w:r w:rsidRPr="003C337C" w:rsidR="00FF420F">
        <w:rPr>
          <w:rFonts w:ascii="Verdana" w:hAnsi="Verdana"/>
          <w:sz w:val="18"/>
          <w:szCs w:val="18"/>
        </w:rPr>
        <w:t xml:space="preserve">behoud van humanitaire principes en het vergroten van humanitaire toegang, </w:t>
      </w:r>
      <w:r w:rsidR="00FF420F">
        <w:rPr>
          <w:rFonts w:ascii="Verdana" w:hAnsi="Verdana"/>
          <w:sz w:val="18"/>
          <w:szCs w:val="18"/>
        </w:rPr>
        <w:t xml:space="preserve">onder andere </w:t>
      </w:r>
      <w:r w:rsidRPr="003C337C" w:rsidR="00FF420F">
        <w:rPr>
          <w:rFonts w:ascii="Verdana" w:hAnsi="Verdana"/>
          <w:sz w:val="18"/>
          <w:szCs w:val="18"/>
        </w:rPr>
        <w:t>in Gaza, Soedan</w:t>
      </w:r>
      <w:r w:rsidR="00FF420F">
        <w:rPr>
          <w:rFonts w:ascii="Verdana" w:hAnsi="Verdana"/>
          <w:sz w:val="18"/>
          <w:szCs w:val="18"/>
        </w:rPr>
        <w:t xml:space="preserve"> en de Democratische Republiek Congo</w:t>
      </w:r>
      <w:r w:rsidRPr="003C337C" w:rsidR="00FF420F">
        <w:rPr>
          <w:rFonts w:ascii="Verdana" w:hAnsi="Verdana"/>
          <w:sz w:val="18"/>
          <w:szCs w:val="18"/>
        </w:rPr>
        <w:t xml:space="preserve">. </w:t>
      </w:r>
      <w:r w:rsidR="00FF420F">
        <w:rPr>
          <w:rFonts w:ascii="Verdana" w:hAnsi="Verdana"/>
          <w:sz w:val="18"/>
          <w:szCs w:val="18"/>
        </w:rPr>
        <w:t xml:space="preserve">Daarnaast blijft Nederland zich hard maken </w:t>
      </w:r>
      <w:r w:rsidRPr="003C337C" w:rsidR="00FF420F">
        <w:rPr>
          <w:rFonts w:ascii="Verdana" w:hAnsi="Verdana"/>
          <w:sz w:val="18"/>
          <w:szCs w:val="18"/>
        </w:rPr>
        <w:t>voor de bescherming van hulpverleners, onder andere</w:t>
      </w:r>
      <w:r w:rsidR="00FF420F">
        <w:rPr>
          <w:rFonts w:ascii="Verdana" w:hAnsi="Verdana"/>
          <w:sz w:val="18"/>
          <w:szCs w:val="18"/>
        </w:rPr>
        <w:t xml:space="preserve"> </w:t>
      </w:r>
      <w:r w:rsidR="0022696C">
        <w:rPr>
          <w:rFonts w:ascii="Verdana" w:hAnsi="Verdana"/>
          <w:sz w:val="18"/>
          <w:szCs w:val="18"/>
        </w:rPr>
        <w:t xml:space="preserve">via de </w:t>
      </w:r>
      <w:r w:rsidR="00FF420F">
        <w:rPr>
          <w:rFonts w:ascii="Verdana" w:hAnsi="Verdana"/>
          <w:sz w:val="18"/>
          <w:szCs w:val="18"/>
        </w:rPr>
        <w:t>‘</w:t>
      </w:r>
      <w:r w:rsidR="0022696C">
        <w:rPr>
          <w:rFonts w:ascii="Verdana" w:hAnsi="Verdana"/>
          <w:sz w:val="18"/>
          <w:szCs w:val="18"/>
        </w:rPr>
        <w:t xml:space="preserve">Group of </w:t>
      </w:r>
      <w:proofErr w:type="spellStart"/>
      <w:r w:rsidR="0022696C">
        <w:rPr>
          <w:rFonts w:ascii="Verdana" w:hAnsi="Verdana"/>
          <w:sz w:val="18"/>
          <w:szCs w:val="18"/>
        </w:rPr>
        <w:t>Friends</w:t>
      </w:r>
      <w:proofErr w:type="spellEnd"/>
      <w:r w:rsidR="00FF420F">
        <w:rPr>
          <w:rFonts w:ascii="Verdana" w:hAnsi="Verdana"/>
          <w:sz w:val="18"/>
          <w:szCs w:val="18"/>
        </w:rPr>
        <w:t>'</w:t>
      </w:r>
      <w:r w:rsidR="0022696C">
        <w:rPr>
          <w:rFonts w:ascii="Verdana" w:hAnsi="Verdana"/>
          <w:sz w:val="18"/>
          <w:szCs w:val="18"/>
        </w:rPr>
        <w:t xml:space="preserve"> </w:t>
      </w:r>
      <w:r w:rsidRPr="003C337C" w:rsidR="0022696C">
        <w:rPr>
          <w:rFonts w:ascii="Verdana" w:hAnsi="Verdana"/>
          <w:sz w:val="18"/>
          <w:szCs w:val="18"/>
        </w:rPr>
        <w:t xml:space="preserve">van de </w:t>
      </w:r>
      <w:proofErr w:type="spellStart"/>
      <w:r w:rsidRPr="003C337C" w:rsidR="0022696C">
        <w:rPr>
          <w:rFonts w:ascii="Verdana" w:hAnsi="Verdana"/>
          <w:i/>
          <w:sz w:val="18"/>
          <w:szCs w:val="18"/>
        </w:rPr>
        <w:t>Declaration</w:t>
      </w:r>
      <w:proofErr w:type="spellEnd"/>
      <w:r w:rsidRPr="003C337C" w:rsidR="0022696C">
        <w:rPr>
          <w:rFonts w:ascii="Verdana" w:hAnsi="Verdana"/>
          <w:i/>
          <w:sz w:val="18"/>
          <w:szCs w:val="18"/>
        </w:rPr>
        <w:t xml:space="preserve"> </w:t>
      </w:r>
      <w:proofErr w:type="spellStart"/>
      <w:r w:rsidRPr="003C337C" w:rsidR="0022696C">
        <w:rPr>
          <w:rFonts w:ascii="Verdana" w:hAnsi="Verdana"/>
          <w:i/>
          <w:sz w:val="18"/>
          <w:szCs w:val="18"/>
        </w:rPr>
        <w:t>for</w:t>
      </w:r>
      <w:proofErr w:type="spellEnd"/>
      <w:r w:rsidRPr="003C337C" w:rsidR="0022696C">
        <w:rPr>
          <w:rFonts w:ascii="Verdana" w:hAnsi="Verdana"/>
          <w:i/>
          <w:sz w:val="18"/>
          <w:szCs w:val="18"/>
        </w:rPr>
        <w:t xml:space="preserve"> </w:t>
      </w:r>
      <w:proofErr w:type="spellStart"/>
      <w:r w:rsidRPr="003C337C" w:rsidR="0022696C">
        <w:rPr>
          <w:rFonts w:ascii="Verdana" w:hAnsi="Verdana"/>
          <w:i/>
          <w:sz w:val="18"/>
          <w:szCs w:val="18"/>
        </w:rPr>
        <w:t>the</w:t>
      </w:r>
      <w:proofErr w:type="spellEnd"/>
      <w:r w:rsidRPr="003C337C" w:rsidR="0022696C">
        <w:rPr>
          <w:rFonts w:ascii="Verdana" w:hAnsi="Verdana"/>
          <w:i/>
          <w:sz w:val="18"/>
          <w:szCs w:val="18"/>
        </w:rPr>
        <w:t xml:space="preserve"> </w:t>
      </w:r>
      <w:proofErr w:type="spellStart"/>
      <w:r w:rsidRPr="003C337C" w:rsidR="0022696C">
        <w:rPr>
          <w:rFonts w:ascii="Verdana" w:hAnsi="Verdana"/>
          <w:i/>
          <w:sz w:val="18"/>
          <w:szCs w:val="18"/>
        </w:rPr>
        <w:t>Protection</w:t>
      </w:r>
      <w:proofErr w:type="spellEnd"/>
      <w:r w:rsidRPr="003C337C" w:rsidR="0022696C">
        <w:rPr>
          <w:rFonts w:ascii="Verdana" w:hAnsi="Verdana"/>
          <w:i/>
          <w:sz w:val="18"/>
          <w:szCs w:val="18"/>
        </w:rPr>
        <w:t xml:space="preserve"> of </w:t>
      </w:r>
      <w:proofErr w:type="spellStart"/>
      <w:r w:rsidRPr="003C337C" w:rsidR="0022696C">
        <w:rPr>
          <w:rFonts w:ascii="Verdana" w:hAnsi="Verdana"/>
          <w:i/>
          <w:sz w:val="18"/>
          <w:szCs w:val="18"/>
        </w:rPr>
        <w:t>Humanitarian</w:t>
      </w:r>
      <w:proofErr w:type="spellEnd"/>
      <w:r w:rsidRPr="003C337C" w:rsidR="0022696C">
        <w:rPr>
          <w:rFonts w:ascii="Verdana" w:hAnsi="Verdana"/>
          <w:i/>
          <w:sz w:val="18"/>
          <w:szCs w:val="18"/>
        </w:rPr>
        <w:t xml:space="preserve"> </w:t>
      </w:r>
      <w:proofErr w:type="spellStart"/>
      <w:r w:rsidRPr="003C337C" w:rsidR="0022696C">
        <w:rPr>
          <w:rFonts w:ascii="Verdana" w:hAnsi="Verdana"/>
          <w:i/>
          <w:sz w:val="18"/>
          <w:szCs w:val="18"/>
        </w:rPr>
        <w:t>Personnel</w:t>
      </w:r>
      <w:proofErr w:type="spellEnd"/>
      <w:r w:rsidRPr="003C337C" w:rsidR="0022696C">
        <w:rPr>
          <w:rStyle w:val="FootnoteReference"/>
          <w:rFonts w:ascii="Verdana" w:hAnsi="Verdana"/>
          <w:i/>
          <w:iCs/>
          <w:sz w:val="18"/>
          <w:szCs w:val="18"/>
        </w:rPr>
        <w:footnoteReference w:id="5"/>
      </w:r>
      <w:r w:rsidRPr="003C337C" w:rsidR="0022696C">
        <w:rPr>
          <w:rFonts w:ascii="Verdana" w:hAnsi="Verdana"/>
          <w:sz w:val="18"/>
          <w:szCs w:val="18"/>
        </w:rPr>
        <w:t xml:space="preserve"> en door bij te dragen aan het </w:t>
      </w:r>
      <w:r w:rsidRPr="003C337C" w:rsidR="0022696C">
        <w:rPr>
          <w:rFonts w:ascii="Verdana" w:hAnsi="Verdana"/>
          <w:i/>
          <w:sz w:val="18"/>
          <w:szCs w:val="18"/>
        </w:rPr>
        <w:t xml:space="preserve">Global </w:t>
      </w:r>
      <w:proofErr w:type="spellStart"/>
      <w:r w:rsidRPr="003C337C" w:rsidR="0022696C">
        <w:rPr>
          <w:rFonts w:ascii="Verdana" w:hAnsi="Verdana"/>
          <w:i/>
          <w:sz w:val="18"/>
          <w:szCs w:val="18"/>
        </w:rPr>
        <w:t>Initiative</w:t>
      </w:r>
      <w:proofErr w:type="spellEnd"/>
      <w:r w:rsidRPr="003C337C" w:rsidR="0022696C">
        <w:rPr>
          <w:rFonts w:ascii="Verdana" w:hAnsi="Verdana"/>
          <w:i/>
          <w:sz w:val="18"/>
          <w:szCs w:val="18"/>
        </w:rPr>
        <w:t xml:space="preserve"> </w:t>
      </w:r>
      <w:r w:rsidRPr="003C337C" w:rsidR="0022696C">
        <w:rPr>
          <w:rFonts w:ascii="Verdana" w:hAnsi="Verdana"/>
          <w:sz w:val="18"/>
          <w:szCs w:val="18"/>
        </w:rPr>
        <w:t>ter bevordering van het humanitair oorlogsrecht.</w:t>
      </w:r>
      <w:r w:rsidRPr="003C337C" w:rsidR="0022696C">
        <w:rPr>
          <w:rStyle w:val="FootnoteReference"/>
          <w:rFonts w:ascii="Verdana" w:hAnsi="Verdana"/>
          <w:sz w:val="18"/>
          <w:szCs w:val="18"/>
        </w:rPr>
        <w:footnoteReference w:id="6"/>
      </w:r>
      <w:bookmarkEnd w:id="1"/>
      <w:r w:rsidR="00966485">
        <w:rPr>
          <w:rFonts w:ascii="Verdana" w:hAnsi="Verdana"/>
          <w:sz w:val="18"/>
          <w:szCs w:val="18"/>
        </w:rPr>
        <w:t xml:space="preserve"> </w:t>
      </w:r>
    </w:p>
    <w:bookmarkEnd w:id="2"/>
    <w:bookmarkEnd w:id="3"/>
    <w:bookmarkEnd w:id="4"/>
    <w:bookmarkEnd w:id="5"/>
    <w:p w:rsidRPr="003C337C" w:rsidR="0022354C" w:rsidP="008E2C2A" w:rsidRDefault="0022354C" w14:paraId="0CEA53DD" w14:textId="77777777">
      <w:pPr>
        <w:pStyle w:val="NoSpacing"/>
        <w:spacing w:line="276" w:lineRule="auto"/>
        <w:rPr>
          <w:rFonts w:ascii="Verdana" w:hAnsi="Verdana"/>
          <w:sz w:val="18"/>
          <w:szCs w:val="18"/>
        </w:rPr>
      </w:pPr>
    </w:p>
    <w:p w:rsidRPr="007A0E43" w:rsidR="0022354C" w:rsidP="00D95606" w:rsidRDefault="00FC4144" w14:paraId="5B3F7840" w14:textId="23F8A516">
      <w:pPr>
        <w:pStyle w:val="NoSpacing"/>
        <w:spacing w:line="276" w:lineRule="auto"/>
        <w:rPr>
          <w:rFonts w:ascii="Verdana" w:hAnsi="Verdana"/>
          <w:b/>
          <w:bCs/>
          <w:sz w:val="18"/>
          <w:szCs w:val="18"/>
        </w:rPr>
      </w:pPr>
      <w:r>
        <w:rPr>
          <w:rFonts w:ascii="Verdana" w:hAnsi="Verdana"/>
          <w:b/>
          <w:bCs/>
          <w:sz w:val="18"/>
          <w:szCs w:val="18"/>
        </w:rPr>
        <w:t>N</w:t>
      </w:r>
      <w:r w:rsidRPr="007A0E43" w:rsidR="008F561F">
        <w:rPr>
          <w:rFonts w:ascii="Verdana" w:hAnsi="Verdana"/>
          <w:b/>
          <w:bCs/>
          <w:sz w:val="18"/>
          <w:szCs w:val="18"/>
        </w:rPr>
        <w:t>a</w:t>
      </w:r>
      <w:r w:rsidRPr="00B276AD" w:rsidR="008F561F">
        <w:rPr>
          <w:rFonts w:ascii="Verdana" w:hAnsi="Verdana"/>
          <w:b/>
          <w:bCs/>
          <w:sz w:val="18"/>
          <w:szCs w:val="18"/>
        </w:rPr>
        <w:t>ast levens redden</w:t>
      </w:r>
      <w:r w:rsidRPr="00B276AD" w:rsidR="00113131">
        <w:rPr>
          <w:rFonts w:ascii="Verdana" w:hAnsi="Verdana"/>
          <w:b/>
          <w:bCs/>
          <w:sz w:val="18"/>
          <w:szCs w:val="18"/>
        </w:rPr>
        <w:t xml:space="preserve"> met humanitaire hulp</w:t>
      </w:r>
      <w:r w:rsidRPr="00B276AD" w:rsidR="00045403">
        <w:rPr>
          <w:rFonts w:ascii="Verdana" w:hAnsi="Verdana"/>
          <w:b/>
          <w:bCs/>
          <w:sz w:val="18"/>
          <w:szCs w:val="18"/>
        </w:rPr>
        <w:t>,</w:t>
      </w:r>
      <w:r w:rsidRPr="00B276AD" w:rsidR="008F561F">
        <w:rPr>
          <w:rFonts w:ascii="Verdana" w:hAnsi="Verdana"/>
          <w:b/>
          <w:bCs/>
          <w:sz w:val="18"/>
          <w:szCs w:val="18"/>
        </w:rPr>
        <w:t xml:space="preserve"> levens verbeteren met ontwikkelingshulp</w:t>
      </w:r>
    </w:p>
    <w:p w:rsidRPr="00B276AD" w:rsidR="00D95606" w:rsidP="00B276AD" w:rsidRDefault="00D95606" w14:paraId="4643652F" w14:textId="59021EA8">
      <w:pPr>
        <w:pStyle w:val="NoSpacing"/>
        <w:spacing w:line="276" w:lineRule="auto"/>
        <w:rPr>
          <w:rFonts w:ascii="Verdana" w:hAnsi="Verdana"/>
          <w:sz w:val="18"/>
          <w:szCs w:val="18"/>
        </w:rPr>
      </w:pPr>
      <w:r w:rsidRPr="003C337C">
        <w:rPr>
          <w:rFonts w:ascii="Verdana" w:hAnsi="Verdana"/>
          <w:sz w:val="18"/>
          <w:szCs w:val="18"/>
        </w:rPr>
        <w:t xml:space="preserve">Waar Nederland met humanitaire hulp inzet op levensreddende en levens ondersteunende hulp, </w:t>
      </w:r>
      <w:r w:rsidR="001369D0">
        <w:rPr>
          <w:rFonts w:ascii="Verdana" w:hAnsi="Verdana"/>
          <w:sz w:val="18"/>
          <w:szCs w:val="18"/>
        </w:rPr>
        <w:t xml:space="preserve">beoogt het kabinet met </w:t>
      </w:r>
      <w:r w:rsidRPr="003C337C">
        <w:rPr>
          <w:rFonts w:ascii="Verdana" w:hAnsi="Verdana"/>
          <w:sz w:val="18"/>
          <w:szCs w:val="18"/>
        </w:rPr>
        <w:t>ontwikkelingshulp de situatie</w:t>
      </w:r>
      <w:r w:rsidR="001369D0">
        <w:rPr>
          <w:rFonts w:ascii="Verdana" w:hAnsi="Verdana"/>
          <w:sz w:val="18"/>
          <w:szCs w:val="18"/>
        </w:rPr>
        <w:t xml:space="preserve"> van mensen</w:t>
      </w:r>
      <w:r w:rsidRPr="003C337C">
        <w:rPr>
          <w:rFonts w:ascii="Verdana" w:hAnsi="Verdana"/>
          <w:sz w:val="18"/>
          <w:szCs w:val="18"/>
        </w:rPr>
        <w:t xml:space="preserve"> op de lange termijn te verbeteren</w:t>
      </w:r>
      <w:r w:rsidR="00A90E40">
        <w:rPr>
          <w:rFonts w:ascii="Verdana" w:hAnsi="Verdana"/>
          <w:sz w:val="18"/>
          <w:szCs w:val="18"/>
        </w:rPr>
        <w:t>. Deze bredere inzet wordt beschreven in</w:t>
      </w:r>
      <w:r w:rsidR="00966485">
        <w:rPr>
          <w:rFonts w:ascii="Verdana" w:hAnsi="Verdana"/>
          <w:sz w:val="18"/>
          <w:szCs w:val="18"/>
        </w:rPr>
        <w:t xml:space="preserve"> </w:t>
      </w:r>
      <w:r w:rsidR="00081DE1">
        <w:rPr>
          <w:rFonts w:ascii="Verdana" w:hAnsi="Verdana"/>
          <w:sz w:val="18"/>
          <w:szCs w:val="18"/>
        </w:rPr>
        <w:t>de 5 begrotingsartikelen uit d</w:t>
      </w:r>
      <w:r w:rsidRPr="00081DE1" w:rsidR="00081DE1">
        <w:rPr>
          <w:rFonts w:ascii="Verdana" w:hAnsi="Verdana"/>
          <w:sz w:val="18"/>
          <w:szCs w:val="18"/>
        </w:rPr>
        <w:t>e begroting voor Buitenlandse Handel en Ontwikkelingshulp</w:t>
      </w:r>
      <w:r w:rsidR="00A90E40">
        <w:rPr>
          <w:rFonts w:ascii="Verdana" w:hAnsi="Verdana"/>
          <w:sz w:val="18"/>
          <w:szCs w:val="18"/>
        </w:rPr>
        <w:t>.</w:t>
      </w:r>
      <w:r w:rsidRPr="00081DE1" w:rsidR="00081DE1">
        <w:rPr>
          <w:rFonts w:ascii="Verdana" w:hAnsi="Verdana"/>
          <w:sz w:val="18"/>
          <w:szCs w:val="18"/>
        </w:rPr>
        <w:t xml:space="preserve"> </w:t>
      </w:r>
      <w:r w:rsidR="001F571C">
        <w:rPr>
          <w:rFonts w:ascii="Verdana" w:hAnsi="Verdana"/>
          <w:sz w:val="18"/>
          <w:szCs w:val="18"/>
        </w:rPr>
        <w:t>O</w:t>
      </w:r>
      <w:r w:rsidRPr="003C337C">
        <w:rPr>
          <w:rFonts w:ascii="Verdana" w:hAnsi="Verdana"/>
          <w:sz w:val="18"/>
          <w:szCs w:val="18"/>
        </w:rPr>
        <w:t xml:space="preserve">ntwikkelingshulp en humanitaire hulp </w:t>
      </w:r>
      <w:r w:rsidR="001F571C">
        <w:rPr>
          <w:rFonts w:ascii="Verdana" w:hAnsi="Verdana"/>
          <w:sz w:val="18"/>
          <w:szCs w:val="18"/>
        </w:rPr>
        <w:t xml:space="preserve">vullen </w:t>
      </w:r>
      <w:r w:rsidRPr="003C337C">
        <w:rPr>
          <w:rFonts w:ascii="Verdana" w:hAnsi="Verdana"/>
          <w:sz w:val="18"/>
          <w:szCs w:val="18"/>
        </w:rPr>
        <w:t>elkaar aan. Zo draagt Nederland in de Palestijnse Gebieden bij aan ontwikkelingsprogramma’s gericht op bijvoorbeeld voedselzekerheid en de watervoorzieningen, waar de humanitaire hulp zich richt op het direct leveren van voedsel, bescherming en medische hulp. Ook in Syrië blijft levensreddende hulp essentieel, maar daarnaast steunt Nederland sinds de val van Assad ook projecten op onder andere het gebied van ontmijning, wederopbouw en economisch herstel. In Oekraïne draagt Nederland zowel bij aan de verlichting van urgente noden via humanitaire inzet, als aan ontwikkelingsprogramma’s die zich bijvoorbeeld richten op het vergroten van de capaciteit van lokale Oekraïense autoriteiten om dat zelf te doen.</w:t>
      </w:r>
      <w:r>
        <w:rPr>
          <w:rFonts w:ascii="Verdana" w:hAnsi="Verdana"/>
          <w:sz w:val="18"/>
          <w:szCs w:val="18"/>
        </w:rPr>
        <w:t xml:space="preserve"> </w:t>
      </w:r>
      <w:r w:rsidRPr="00081DE1">
        <w:rPr>
          <w:rFonts w:ascii="Verdana" w:hAnsi="Verdana"/>
          <w:sz w:val="18"/>
          <w:szCs w:val="18"/>
        </w:rPr>
        <w:t xml:space="preserve">In de Democratische Republiek Congo </w:t>
      </w:r>
      <w:r w:rsidRPr="00081DE1" w:rsidR="00EA50B7">
        <w:rPr>
          <w:rFonts w:ascii="Verdana" w:hAnsi="Verdana"/>
          <w:sz w:val="18"/>
          <w:szCs w:val="18"/>
        </w:rPr>
        <w:t>wordt humanitaire hulp vooral geleverd in Noord- en Zuid-</w:t>
      </w:r>
      <w:proofErr w:type="spellStart"/>
      <w:r w:rsidRPr="00081DE1" w:rsidR="00EA50B7">
        <w:rPr>
          <w:rFonts w:ascii="Verdana" w:hAnsi="Verdana"/>
          <w:sz w:val="18"/>
          <w:szCs w:val="18"/>
        </w:rPr>
        <w:t>Kivu</w:t>
      </w:r>
      <w:proofErr w:type="spellEnd"/>
      <w:r w:rsidRPr="00081DE1" w:rsidR="00EA50B7">
        <w:rPr>
          <w:rFonts w:ascii="Verdana" w:hAnsi="Verdana"/>
          <w:sz w:val="18"/>
          <w:szCs w:val="18"/>
        </w:rPr>
        <w:t>. Met ontwikkelingsmiddelen draagt Nederland daarnaast bij aan veiligheid en stabiliteit in de regio, bijvoorbeeld via partnerschappen die het maatschappelijk middenveld ondersteunen bij lokale en regionale conflictbemiddeling</w:t>
      </w:r>
      <w:r w:rsidRPr="00EA50B7" w:rsidR="00EA50B7">
        <w:rPr>
          <w:rFonts w:ascii="Verdana" w:hAnsi="Verdana"/>
          <w:sz w:val="18"/>
          <w:szCs w:val="18"/>
        </w:rPr>
        <w:t>.</w:t>
      </w:r>
    </w:p>
    <w:p w:rsidRPr="003C337C" w:rsidR="00E11F68" w:rsidP="008E2C2A" w:rsidRDefault="00E11F68" w14:paraId="69BB712D" w14:textId="77777777">
      <w:pPr>
        <w:pStyle w:val="NoSpacing"/>
        <w:spacing w:line="276" w:lineRule="auto"/>
        <w:rPr>
          <w:rFonts w:ascii="Verdana" w:hAnsi="Verdana"/>
          <w:b/>
          <w:bCs/>
          <w:sz w:val="18"/>
          <w:szCs w:val="18"/>
        </w:rPr>
      </w:pPr>
      <w:bookmarkStart w:name="_Hlk218964327" w:id="6"/>
    </w:p>
    <w:bookmarkEnd w:id="6"/>
    <w:p w:rsidRPr="003C337C" w:rsidR="00E66B68" w:rsidP="008E2C2A" w:rsidRDefault="00343E34" w14:paraId="701F80AA" w14:textId="3EBE89D5">
      <w:pPr>
        <w:pStyle w:val="NoSpacing"/>
        <w:spacing w:line="276" w:lineRule="auto"/>
        <w:rPr>
          <w:rFonts w:ascii="Verdana" w:hAnsi="Verdana"/>
          <w:b/>
          <w:bCs/>
          <w:sz w:val="18"/>
          <w:szCs w:val="18"/>
        </w:rPr>
      </w:pPr>
      <w:r>
        <w:rPr>
          <w:rFonts w:ascii="Verdana" w:hAnsi="Verdana"/>
          <w:b/>
          <w:bCs/>
          <w:sz w:val="18"/>
          <w:szCs w:val="18"/>
        </w:rPr>
        <w:t xml:space="preserve">Financiële invulling </w:t>
      </w:r>
      <w:r w:rsidRPr="003C337C" w:rsidR="00E66B68">
        <w:rPr>
          <w:rFonts w:ascii="Verdana" w:hAnsi="Verdana"/>
          <w:b/>
          <w:bCs/>
          <w:sz w:val="18"/>
          <w:szCs w:val="18"/>
        </w:rPr>
        <w:t xml:space="preserve">voor humanitaire hulp 2026 </w:t>
      </w:r>
    </w:p>
    <w:p w:rsidRPr="003C337C" w:rsidR="0080004A" w:rsidP="008E2C2A" w:rsidRDefault="00D95606" w14:paraId="56D16B5D" w14:textId="03D6F38C">
      <w:pPr>
        <w:pStyle w:val="NoSpacing"/>
        <w:spacing w:line="276" w:lineRule="auto"/>
        <w:rPr>
          <w:rFonts w:ascii="Verdana" w:hAnsi="Verdana"/>
          <w:sz w:val="18"/>
          <w:szCs w:val="18"/>
        </w:rPr>
      </w:pPr>
      <w:bookmarkStart w:name="_Hlk218585030" w:id="7"/>
      <w:bookmarkStart w:name="_Hlk218434949" w:id="8"/>
      <w:r>
        <w:rPr>
          <w:rFonts w:ascii="Verdana" w:hAnsi="Verdana"/>
          <w:sz w:val="18"/>
          <w:szCs w:val="18"/>
        </w:rPr>
        <w:t>Gel</w:t>
      </w:r>
      <w:r w:rsidR="00652593">
        <w:rPr>
          <w:rFonts w:ascii="Verdana" w:hAnsi="Verdana"/>
          <w:sz w:val="18"/>
          <w:szCs w:val="18"/>
        </w:rPr>
        <w:t>et</w:t>
      </w:r>
      <w:r>
        <w:rPr>
          <w:rFonts w:ascii="Verdana" w:hAnsi="Verdana"/>
          <w:sz w:val="18"/>
          <w:szCs w:val="18"/>
        </w:rPr>
        <w:t xml:space="preserve"> op</w:t>
      </w:r>
      <w:r w:rsidR="00652593">
        <w:rPr>
          <w:rFonts w:ascii="Verdana" w:hAnsi="Verdana"/>
          <w:sz w:val="18"/>
          <w:szCs w:val="18"/>
        </w:rPr>
        <w:t xml:space="preserve"> de</w:t>
      </w:r>
      <w:r w:rsidRPr="003C337C" w:rsidR="0080004A">
        <w:rPr>
          <w:rFonts w:ascii="Verdana" w:hAnsi="Verdana"/>
          <w:sz w:val="18"/>
          <w:szCs w:val="18"/>
        </w:rPr>
        <w:t xml:space="preserve"> grote humanitaire noden en </w:t>
      </w:r>
      <w:r w:rsidR="00652593">
        <w:rPr>
          <w:rFonts w:ascii="Verdana" w:hAnsi="Verdana"/>
          <w:sz w:val="18"/>
          <w:szCs w:val="18"/>
        </w:rPr>
        <w:t xml:space="preserve">de </w:t>
      </w:r>
      <w:r w:rsidRPr="003C337C" w:rsidR="0080004A">
        <w:rPr>
          <w:rFonts w:ascii="Verdana" w:hAnsi="Verdana"/>
          <w:sz w:val="18"/>
          <w:szCs w:val="18"/>
        </w:rPr>
        <w:t xml:space="preserve">wereldwijd afnemende financiering is het belangrijk om te kijken hoe hulp slimmer kan worden georganiseerd en hoe beschikbare middelen zo effectief mogelijk kunnen worden ingezet. Meerjarige en flexibele </w:t>
      </w:r>
      <w:r w:rsidRPr="003C337C" w:rsidR="0068779F">
        <w:rPr>
          <w:rFonts w:ascii="Verdana" w:hAnsi="Verdana"/>
          <w:sz w:val="18"/>
          <w:szCs w:val="18"/>
        </w:rPr>
        <w:t>voor</w:t>
      </w:r>
      <w:r w:rsidRPr="003C337C" w:rsidR="0080004A">
        <w:rPr>
          <w:rFonts w:ascii="Verdana" w:hAnsi="Verdana"/>
          <w:sz w:val="18"/>
          <w:szCs w:val="18"/>
        </w:rPr>
        <w:t>financiering, die vroeg in het jaar beschikbaar komt, geeft humanitaire partners de ruimte om vooruit te plannen</w:t>
      </w:r>
      <w:r w:rsidR="00BD3A84">
        <w:rPr>
          <w:rFonts w:ascii="Verdana" w:hAnsi="Verdana"/>
          <w:sz w:val="18"/>
          <w:szCs w:val="18"/>
        </w:rPr>
        <w:t xml:space="preserve">, </w:t>
      </w:r>
      <w:r w:rsidRPr="003C337C" w:rsidR="0080004A">
        <w:rPr>
          <w:rFonts w:ascii="Verdana" w:hAnsi="Verdana"/>
          <w:sz w:val="18"/>
          <w:szCs w:val="18"/>
        </w:rPr>
        <w:t>sneller te handelen wanneer dat nodig is</w:t>
      </w:r>
      <w:r w:rsidRPr="003C337C" w:rsidR="00D0380A">
        <w:rPr>
          <w:rFonts w:ascii="Verdana" w:hAnsi="Verdana"/>
          <w:sz w:val="18"/>
          <w:szCs w:val="18"/>
        </w:rPr>
        <w:t>, alsook zich snel aan te kunnen passen aan verander</w:t>
      </w:r>
      <w:r w:rsidR="00BD3A84">
        <w:rPr>
          <w:rFonts w:ascii="Verdana" w:hAnsi="Verdana"/>
          <w:sz w:val="18"/>
          <w:szCs w:val="18"/>
        </w:rPr>
        <w:t>ende</w:t>
      </w:r>
      <w:r w:rsidRPr="003C337C" w:rsidR="00D0380A">
        <w:rPr>
          <w:rFonts w:ascii="Verdana" w:hAnsi="Verdana"/>
          <w:sz w:val="18"/>
          <w:szCs w:val="18"/>
        </w:rPr>
        <w:t xml:space="preserve"> </w:t>
      </w:r>
      <w:r w:rsidRPr="003C337C" w:rsidR="00966D83">
        <w:rPr>
          <w:rFonts w:ascii="Verdana" w:hAnsi="Verdana"/>
          <w:sz w:val="18"/>
          <w:szCs w:val="18"/>
        </w:rPr>
        <w:t>omstandigheden</w:t>
      </w:r>
      <w:r w:rsidRPr="003C337C" w:rsidR="0080004A">
        <w:rPr>
          <w:rFonts w:ascii="Verdana" w:hAnsi="Verdana"/>
          <w:sz w:val="18"/>
          <w:szCs w:val="18"/>
        </w:rPr>
        <w:t>. Nederland geldt hierin als voorbeeld richting andere donoren</w:t>
      </w:r>
      <w:r w:rsidR="00BD3A84">
        <w:rPr>
          <w:rFonts w:ascii="Verdana" w:hAnsi="Verdana"/>
          <w:sz w:val="18"/>
          <w:szCs w:val="18"/>
        </w:rPr>
        <w:t xml:space="preserve"> en</w:t>
      </w:r>
      <w:r w:rsidRPr="003C337C" w:rsidR="00045403">
        <w:rPr>
          <w:rFonts w:ascii="Verdana" w:hAnsi="Verdana"/>
          <w:sz w:val="18"/>
          <w:szCs w:val="18"/>
        </w:rPr>
        <w:t xml:space="preserve"> wil andere landen</w:t>
      </w:r>
      <w:r w:rsidRPr="003C337C" w:rsidR="00902FEE">
        <w:rPr>
          <w:rFonts w:ascii="Verdana" w:hAnsi="Verdana"/>
          <w:sz w:val="18"/>
          <w:szCs w:val="18"/>
        </w:rPr>
        <w:t xml:space="preserve"> </w:t>
      </w:r>
      <w:r w:rsidRPr="003C337C" w:rsidR="00045403">
        <w:rPr>
          <w:rFonts w:ascii="Verdana" w:hAnsi="Verdana"/>
          <w:sz w:val="18"/>
          <w:szCs w:val="18"/>
        </w:rPr>
        <w:t>blijven inspireren dit voorbeeld te volgen</w:t>
      </w:r>
      <w:r w:rsidR="00BD3A84">
        <w:rPr>
          <w:rFonts w:ascii="Verdana" w:hAnsi="Verdana"/>
          <w:sz w:val="18"/>
          <w:szCs w:val="18"/>
        </w:rPr>
        <w:t xml:space="preserve">. Daarom </w:t>
      </w:r>
      <w:r w:rsidRPr="003C337C" w:rsidR="00130213">
        <w:rPr>
          <w:rFonts w:ascii="Verdana" w:hAnsi="Verdana"/>
          <w:sz w:val="18"/>
          <w:szCs w:val="18"/>
        </w:rPr>
        <w:t>zet</w:t>
      </w:r>
      <w:r w:rsidR="00BD3A84">
        <w:rPr>
          <w:rFonts w:ascii="Verdana" w:hAnsi="Verdana"/>
          <w:sz w:val="18"/>
          <w:szCs w:val="18"/>
        </w:rPr>
        <w:t xml:space="preserve"> Nederland</w:t>
      </w:r>
      <w:r w:rsidRPr="003C337C" w:rsidR="00130213">
        <w:rPr>
          <w:rFonts w:ascii="Verdana" w:hAnsi="Verdana"/>
          <w:sz w:val="18"/>
          <w:szCs w:val="18"/>
        </w:rPr>
        <w:t xml:space="preserve"> deze manier van financieren </w:t>
      </w:r>
      <w:r w:rsidR="00BD3A84">
        <w:rPr>
          <w:rFonts w:ascii="Verdana" w:hAnsi="Verdana"/>
          <w:sz w:val="18"/>
          <w:szCs w:val="18"/>
        </w:rPr>
        <w:t xml:space="preserve">ook </w:t>
      </w:r>
      <w:r w:rsidRPr="003C337C" w:rsidR="00130213">
        <w:rPr>
          <w:rFonts w:ascii="Verdana" w:hAnsi="Verdana"/>
          <w:sz w:val="18"/>
          <w:szCs w:val="18"/>
        </w:rPr>
        <w:t xml:space="preserve">in 2026 </w:t>
      </w:r>
      <w:r w:rsidRPr="003C337C" w:rsidR="00045403">
        <w:rPr>
          <w:rFonts w:ascii="Verdana" w:hAnsi="Verdana"/>
          <w:sz w:val="18"/>
          <w:szCs w:val="18"/>
        </w:rPr>
        <w:t xml:space="preserve">zelf </w:t>
      </w:r>
      <w:r w:rsidRPr="003C337C" w:rsidR="00130213">
        <w:rPr>
          <w:rFonts w:ascii="Verdana" w:hAnsi="Verdana"/>
          <w:sz w:val="18"/>
          <w:szCs w:val="18"/>
        </w:rPr>
        <w:t xml:space="preserve">voort. </w:t>
      </w:r>
    </w:p>
    <w:p w:rsidRPr="003C337C" w:rsidR="009A3264" w:rsidP="008E2C2A" w:rsidRDefault="009A3264" w14:paraId="426552AA" w14:textId="77777777">
      <w:pPr>
        <w:pStyle w:val="NoSpacing"/>
        <w:spacing w:line="276" w:lineRule="auto"/>
        <w:rPr>
          <w:rFonts w:ascii="Verdana" w:hAnsi="Verdana"/>
          <w:sz w:val="18"/>
          <w:szCs w:val="18"/>
        </w:rPr>
      </w:pPr>
    </w:p>
    <w:p w:rsidRPr="003C337C" w:rsidR="00E66B68" w:rsidP="008E2C2A" w:rsidRDefault="0080004A" w14:paraId="58F3FC0F" w14:textId="238C132D">
      <w:pPr>
        <w:pStyle w:val="NoSpacing"/>
        <w:spacing w:line="276" w:lineRule="auto"/>
        <w:rPr>
          <w:rFonts w:ascii="Verdana" w:hAnsi="Verdana"/>
          <w:sz w:val="18"/>
          <w:szCs w:val="18"/>
        </w:rPr>
      </w:pPr>
      <w:r w:rsidRPr="003C337C">
        <w:rPr>
          <w:rFonts w:ascii="Verdana" w:hAnsi="Verdana"/>
          <w:sz w:val="18"/>
          <w:szCs w:val="18"/>
        </w:rPr>
        <w:t xml:space="preserve">Het kabinet financiert een selectie van organisaties dat elkaar aanvult: VN-organisaties en fondsen, de Rode Kruis- en Rode Halve Maanbeweging, en de </w:t>
      </w:r>
      <w:r w:rsidRPr="003C337C">
        <w:rPr>
          <w:rFonts w:ascii="Verdana" w:hAnsi="Verdana"/>
          <w:sz w:val="18"/>
          <w:szCs w:val="18"/>
        </w:rPr>
        <w:lastRenderedPageBreak/>
        <w:t xml:space="preserve">Dutch Relief Alliance. </w:t>
      </w:r>
      <w:r w:rsidRPr="003C337C" w:rsidR="00E66B68">
        <w:rPr>
          <w:rFonts w:ascii="Verdana" w:hAnsi="Verdana"/>
          <w:sz w:val="18"/>
          <w:szCs w:val="18"/>
        </w:rPr>
        <w:t xml:space="preserve">Met </w:t>
      </w:r>
      <w:r w:rsidRPr="003C337C" w:rsidR="003B47C7">
        <w:rPr>
          <w:rFonts w:ascii="Verdana" w:hAnsi="Verdana"/>
          <w:sz w:val="18"/>
          <w:szCs w:val="18"/>
        </w:rPr>
        <w:t>ieder</w:t>
      </w:r>
      <w:r w:rsidRPr="003C337C" w:rsidR="00E66B68">
        <w:rPr>
          <w:rFonts w:ascii="Verdana" w:hAnsi="Verdana"/>
          <w:sz w:val="18"/>
          <w:szCs w:val="18"/>
        </w:rPr>
        <w:t xml:space="preserve"> hun specifieke rol</w:t>
      </w:r>
      <w:r w:rsidRPr="003C337C" w:rsidR="00E24193">
        <w:rPr>
          <w:rFonts w:ascii="Verdana" w:hAnsi="Verdana"/>
          <w:sz w:val="18"/>
          <w:szCs w:val="18"/>
        </w:rPr>
        <w:t>, gebaseerd</w:t>
      </w:r>
      <w:r w:rsidRPr="003C337C" w:rsidR="00E66B68">
        <w:rPr>
          <w:rFonts w:ascii="Verdana" w:hAnsi="Verdana"/>
          <w:sz w:val="18"/>
          <w:szCs w:val="18"/>
        </w:rPr>
        <w:t xml:space="preserve"> op mandaat en toegevoegde waarde</w:t>
      </w:r>
      <w:r w:rsidRPr="003C337C" w:rsidR="00E24193">
        <w:rPr>
          <w:rFonts w:ascii="Verdana" w:hAnsi="Verdana"/>
          <w:sz w:val="18"/>
          <w:szCs w:val="18"/>
        </w:rPr>
        <w:t>, vullen</w:t>
      </w:r>
      <w:r w:rsidRPr="003C337C" w:rsidDel="00E24193" w:rsidR="00E66B68">
        <w:rPr>
          <w:rFonts w:ascii="Verdana" w:hAnsi="Verdana"/>
          <w:sz w:val="18"/>
          <w:szCs w:val="18"/>
        </w:rPr>
        <w:t xml:space="preserve"> </w:t>
      </w:r>
      <w:r w:rsidRPr="003C337C" w:rsidR="00E66B68">
        <w:rPr>
          <w:rFonts w:ascii="Verdana" w:hAnsi="Verdana"/>
          <w:sz w:val="18"/>
          <w:szCs w:val="18"/>
        </w:rPr>
        <w:t>de</w:t>
      </w:r>
      <w:r w:rsidRPr="003C337C" w:rsidR="00B46C5D">
        <w:rPr>
          <w:rFonts w:ascii="Verdana" w:hAnsi="Verdana"/>
          <w:sz w:val="18"/>
          <w:szCs w:val="18"/>
        </w:rPr>
        <w:t>ze</w:t>
      </w:r>
      <w:r w:rsidRPr="003C337C" w:rsidR="00E66B68">
        <w:rPr>
          <w:rFonts w:ascii="Verdana" w:hAnsi="Verdana"/>
          <w:sz w:val="18"/>
          <w:szCs w:val="18"/>
        </w:rPr>
        <w:t xml:space="preserve"> organisaties</w:t>
      </w:r>
      <w:r w:rsidRPr="003C337C" w:rsidR="00E24193">
        <w:rPr>
          <w:rFonts w:ascii="Verdana" w:hAnsi="Verdana"/>
          <w:sz w:val="18"/>
          <w:szCs w:val="18"/>
        </w:rPr>
        <w:t xml:space="preserve"> elkaar aan en dragen zo bij aan een effectieve humanitaire respons.</w:t>
      </w:r>
      <w:bookmarkEnd w:id="7"/>
      <w:r w:rsidRPr="003C337C" w:rsidR="00FE6800">
        <w:rPr>
          <w:rFonts w:ascii="Verdana" w:hAnsi="Verdana"/>
          <w:sz w:val="18"/>
          <w:szCs w:val="18"/>
        </w:rPr>
        <w:t xml:space="preserve"> </w:t>
      </w:r>
      <w:r w:rsidRPr="003C337C" w:rsidR="00E66B68">
        <w:rPr>
          <w:rFonts w:ascii="Verdana" w:hAnsi="Verdana"/>
          <w:sz w:val="18"/>
          <w:szCs w:val="18"/>
        </w:rPr>
        <w:t>Naast bilaterale kanalen, draagt Nederland als EU-lidstaat bij aan de humanitaire inzet van de Europese Unie.</w:t>
      </w:r>
    </w:p>
    <w:bookmarkEnd w:id="8"/>
    <w:p w:rsidRPr="00FC4144" w:rsidR="00E66B68" w:rsidP="008E2C2A" w:rsidRDefault="00E66B68" w14:paraId="2319A5BD" w14:textId="77777777">
      <w:pPr>
        <w:pStyle w:val="NoSpacing"/>
        <w:spacing w:line="276" w:lineRule="auto"/>
        <w:rPr>
          <w:rFonts w:ascii="Verdana" w:hAnsi="Verdana"/>
          <w:b/>
          <w:bCs/>
          <w:sz w:val="18"/>
          <w:szCs w:val="18"/>
        </w:rPr>
      </w:pPr>
      <w:r w:rsidRPr="003C337C">
        <w:rPr>
          <w:rFonts w:ascii="Verdana" w:hAnsi="Verdana"/>
          <w:sz w:val="18"/>
          <w:szCs w:val="18"/>
        </w:rPr>
        <w:br/>
      </w:r>
      <w:r w:rsidRPr="00FC4144">
        <w:rPr>
          <w:rFonts w:ascii="Verdana" w:hAnsi="Verdana"/>
          <w:b/>
          <w:bCs/>
          <w:sz w:val="18"/>
          <w:szCs w:val="18"/>
        </w:rPr>
        <w:t xml:space="preserve">Verdeling van middelen </w:t>
      </w:r>
    </w:p>
    <w:p w:rsidR="00E66B68" w:rsidP="00FC4144" w:rsidRDefault="00E66B68" w14:paraId="7839D876" w14:textId="4A2D4697">
      <w:pPr>
        <w:pStyle w:val="NoSpacing"/>
        <w:spacing w:line="276" w:lineRule="auto"/>
        <w:rPr>
          <w:rFonts w:ascii="Verdana" w:hAnsi="Verdana"/>
          <w:sz w:val="18"/>
          <w:szCs w:val="18"/>
        </w:rPr>
      </w:pPr>
      <w:r w:rsidRPr="003C337C">
        <w:rPr>
          <w:rFonts w:ascii="Verdana" w:hAnsi="Verdana"/>
          <w:sz w:val="18"/>
          <w:szCs w:val="18"/>
        </w:rPr>
        <w:t>Het totale Nederlandse budget voor humanitaire hulp</w:t>
      </w:r>
      <w:r w:rsidR="008B0100">
        <w:rPr>
          <w:rFonts w:ascii="Verdana" w:hAnsi="Verdana"/>
          <w:sz w:val="18"/>
          <w:szCs w:val="18"/>
        </w:rPr>
        <w:t xml:space="preserve"> (artikel 4.1)</w:t>
      </w:r>
      <w:r w:rsidRPr="003C337C">
        <w:rPr>
          <w:rFonts w:ascii="Verdana" w:hAnsi="Verdana"/>
          <w:sz w:val="18"/>
          <w:szCs w:val="18"/>
        </w:rPr>
        <w:t xml:space="preserve"> in 2026 bedraagt EUR 4</w:t>
      </w:r>
      <w:r w:rsidRPr="003C337C" w:rsidR="003C4C5E">
        <w:rPr>
          <w:rFonts w:ascii="Verdana" w:hAnsi="Verdana"/>
          <w:sz w:val="18"/>
          <w:szCs w:val="18"/>
        </w:rPr>
        <w:t>74</w:t>
      </w:r>
      <w:r w:rsidRPr="003C337C">
        <w:rPr>
          <w:rFonts w:ascii="Verdana" w:hAnsi="Verdana"/>
          <w:sz w:val="18"/>
          <w:szCs w:val="18"/>
        </w:rPr>
        <w:t>,9 miljoen</w:t>
      </w:r>
      <w:r w:rsidR="004F625E">
        <w:rPr>
          <w:rFonts w:ascii="Verdana" w:hAnsi="Verdana"/>
          <w:sz w:val="18"/>
          <w:szCs w:val="18"/>
        </w:rPr>
        <w:t>. D</w:t>
      </w:r>
      <w:r w:rsidR="006F7C24">
        <w:rPr>
          <w:rFonts w:ascii="Verdana" w:hAnsi="Verdana"/>
          <w:sz w:val="18"/>
          <w:szCs w:val="18"/>
        </w:rPr>
        <w:t>it</w:t>
      </w:r>
      <w:r w:rsidR="00B24EA6">
        <w:rPr>
          <w:rFonts w:ascii="Verdana" w:hAnsi="Verdana"/>
          <w:sz w:val="18"/>
          <w:szCs w:val="18"/>
        </w:rPr>
        <w:t xml:space="preserve"> bedrag</w:t>
      </w:r>
      <w:r w:rsidR="006F7C24">
        <w:rPr>
          <w:rFonts w:ascii="Verdana" w:hAnsi="Verdana"/>
          <w:sz w:val="18"/>
          <w:szCs w:val="18"/>
        </w:rPr>
        <w:t xml:space="preserve"> is </w:t>
      </w:r>
      <w:r w:rsidRPr="008B0100" w:rsidR="008B0100">
        <w:rPr>
          <w:rFonts w:ascii="Verdana" w:hAnsi="Verdana"/>
          <w:sz w:val="18"/>
          <w:szCs w:val="18"/>
        </w:rPr>
        <w:t xml:space="preserve">exclusief </w:t>
      </w:r>
      <w:r w:rsidR="00DE094B">
        <w:rPr>
          <w:rFonts w:ascii="Verdana" w:hAnsi="Verdana"/>
          <w:sz w:val="18"/>
          <w:szCs w:val="18"/>
        </w:rPr>
        <w:t xml:space="preserve">EUR 18 miljoen </w:t>
      </w:r>
      <w:r w:rsidRPr="008B0100" w:rsidR="008B0100">
        <w:rPr>
          <w:rFonts w:ascii="Verdana" w:hAnsi="Verdana"/>
          <w:sz w:val="18"/>
          <w:szCs w:val="18"/>
        </w:rPr>
        <w:t xml:space="preserve">specifieke </w:t>
      </w:r>
      <w:r w:rsidRPr="008B0100" w:rsidR="006F7C24">
        <w:rPr>
          <w:rFonts w:ascii="Verdana" w:hAnsi="Verdana"/>
          <w:sz w:val="18"/>
          <w:szCs w:val="18"/>
        </w:rPr>
        <w:t>bijdragen</w:t>
      </w:r>
      <w:r w:rsidR="00DE094B">
        <w:rPr>
          <w:rFonts w:ascii="Verdana" w:hAnsi="Verdana"/>
          <w:sz w:val="18"/>
          <w:szCs w:val="18"/>
        </w:rPr>
        <w:t xml:space="preserve"> (artikel 5.3)</w:t>
      </w:r>
      <w:r w:rsidR="001369D0">
        <w:rPr>
          <w:rFonts w:ascii="Verdana" w:hAnsi="Verdana"/>
          <w:sz w:val="18"/>
          <w:szCs w:val="18"/>
        </w:rPr>
        <w:t xml:space="preserve"> voor humanitaire hulp in </w:t>
      </w:r>
      <w:r w:rsidRPr="008B0100" w:rsidR="001369D0">
        <w:rPr>
          <w:rFonts w:ascii="Verdana" w:hAnsi="Verdana"/>
          <w:sz w:val="18"/>
          <w:szCs w:val="18"/>
        </w:rPr>
        <w:t>Oekraïne</w:t>
      </w:r>
      <w:r w:rsidR="006F7C24">
        <w:rPr>
          <w:rFonts w:ascii="Verdana" w:hAnsi="Verdana"/>
          <w:sz w:val="18"/>
          <w:szCs w:val="18"/>
        </w:rPr>
        <w:t xml:space="preserve">. </w:t>
      </w:r>
      <w:bookmarkStart w:name="_Hlk219045578" w:id="9"/>
      <w:bookmarkStart w:name="_Hlk218969564" w:id="10"/>
      <w:r w:rsidRPr="003C337C">
        <w:rPr>
          <w:rFonts w:ascii="Verdana" w:hAnsi="Verdana"/>
          <w:sz w:val="18"/>
          <w:szCs w:val="18"/>
        </w:rPr>
        <w:t>De middelen worden verdeeld over vier kanalen.</w:t>
      </w:r>
      <w:r w:rsidRPr="00FC4144" w:rsidR="00805C6C">
        <w:rPr>
          <w:rFonts w:ascii="Verdana" w:hAnsi="Verdana"/>
          <w:sz w:val="18"/>
          <w:szCs w:val="18"/>
        </w:rPr>
        <w:t xml:space="preserve"> </w:t>
      </w:r>
      <w:r w:rsidRPr="00805C6C" w:rsidR="00805C6C">
        <w:rPr>
          <w:rFonts w:ascii="Verdana" w:hAnsi="Verdana"/>
          <w:sz w:val="18"/>
          <w:szCs w:val="18"/>
        </w:rPr>
        <w:t>Voor de kanalen 1, 3 en 4 liggen de bijdragen grotendeels meerjarig vast</w:t>
      </w:r>
      <w:r w:rsidR="00D96EAC">
        <w:rPr>
          <w:rFonts w:ascii="Verdana" w:hAnsi="Verdana"/>
          <w:sz w:val="18"/>
          <w:szCs w:val="18"/>
        </w:rPr>
        <w:t>,</w:t>
      </w:r>
      <w:r w:rsidRPr="00805C6C" w:rsidR="00805C6C">
        <w:rPr>
          <w:rFonts w:ascii="Verdana" w:hAnsi="Verdana"/>
          <w:sz w:val="18"/>
          <w:szCs w:val="18"/>
        </w:rPr>
        <w:t xml:space="preserve"> en zijn deze </w:t>
      </w:r>
      <w:r w:rsidR="00805C6C">
        <w:rPr>
          <w:rFonts w:ascii="Verdana" w:hAnsi="Verdana"/>
          <w:sz w:val="18"/>
          <w:szCs w:val="18"/>
        </w:rPr>
        <w:t>veelal</w:t>
      </w:r>
      <w:r w:rsidRPr="00805C6C" w:rsidR="00805C6C">
        <w:rPr>
          <w:rFonts w:ascii="Verdana" w:hAnsi="Verdana"/>
          <w:sz w:val="18"/>
          <w:szCs w:val="18"/>
        </w:rPr>
        <w:t xml:space="preserve"> </w:t>
      </w:r>
      <w:proofErr w:type="spellStart"/>
      <w:r w:rsidRPr="00805C6C" w:rsidR="00805C6C">
        <w:rPr>
          <w:rFonts w:ascii="Verdana" w:hAnsi="Verdana"/>
          <w:sz w:val="18"/>
          <w:szCs w:val="18"/>
        </w:rPr>
        <w:t>ongeoormerkt</w:t>
      </w:r>
      <w:proofErr w:type="spellEnd"/>
      <w:r w:rsidRPr="00805C6C" w:rsidR="00805C6C">
        <w:rPr>
          <w:rFonts w:ascii="Verdana" w:hAnsi="Verdana"/>
          <w:sz w:val="18"/>
          <w:szCs w:val="18"/>
        </w:rPr>
        <w:t>.</w:t>
      </w:r>
      <w:bookmarkEnd w:id="9"/>
      <w:r w:rsidRPr="003C337C" w:rsidR="00724F50">
        <w:rPr>
          <w:rFonts w:ascii="Verdana" w:hAnsi="Verdana"/>
          <w:sz w:val="18"/>
          <w:szCs w:val="18"/>
        </w:rPr>
        <w:t xml:space="preserve"> Da</w:t>
      </w:r>
      <w:r w:rsidRPr="003C337C" w:rsidR="00721480">
        <w:rPr>
          <w:rFonts w:ascii="Verdana" w:hAnsi="Verdana"/>
          <w:sz w:val="18"/>
          <w:szCs w:val="18"/>
        </w:rPr>
        <w:t xml:space="preserve">t wil zeggen </w:t>
      </w:r>
      <w:r w:rsidRPr="003C337C" w:rsidR="00724F50">
        <w:rPr>
          <w:rFonts w:ascii="Verdana" w:hAnsi="Verdana"/>
          <w:sz w:val="18"/>
          <w:szCs w:val="18"/>
        </w:rPr>
        <w:t xml:space="preserve">dat </w:t>
      </w:r>
      <w:r w:rsidR="00626A41">
        <w:rPr>
          <w:rFonts w:ascii="Verdana" w:hAnsi="Verdana"/>
          <w:sz w:val="18"/>
          <w:szCs w:val="18"/>
        </w:rPr>
        <w:t xml:space="preserve">Nederland aan </w:t>
      </w:r>
      <w:r w:rsidRPr="003C337C" w:rsidR="00724F50">
        <w:rPr>
          <w:rFonts w:ascii="Verdana" w:hAnsi="Verdana"/>
          <w:sz w:val="18"/>
          <w:szCs w:val="18"/>
        </w:rPr>
        <w:t xml:space="preserve">partners </w:t>
      </w:r>
      <w:r w:rsidRPr="003C337C" w:rsidR="00721480">
        <w:rPr>
          <w:rFonts w:ascii="Verdana" w:hAnsi="Verdana"/>
          <w:sz w:val="18"/>
          <w:szCs w:val="18"/>
        </w:rPr>
        <w:t>niet vooraf</w:t>
      </w:r>
      <w:r w:rsidRPr="003C337C" w:rsidR="00724F50">
        <w:rPr>
          <w:rFonts w:ascii="Verdana" w:hAnsi="Verdana"/>
          <w:sz w:val="18"/>
          <w:szCs w:val="18"/>
        </w:rPr>
        <w:t xml:space="preserve"> een opdracht </w:t>
      </w:r>
      <w:r w:rsidR="00626A41">
        <w:rPr>
          <w:rFonts w:ascii="Verdana" w:hAnsi="Verdana"/>
          <w:sz w:val="18"/>
          <w:szCs w:val="18"/>
        </w:rPr>
        <w:t>geeft</w:t>
      </w:r>
      <w:r w:rsidRPr="003C337C" w:rsidR="00626A41">
        <w:rPr>
          <w:rFonts w:ascii="Verdana" w:hAnsi="Verdana"/>
          <w:sz w:val="18"/>
          <w:szCs w:val="18"/>
        </w:rPr>
        <w:t xml:space="preserve"> </w:t>
      </w:r>
      <w:r w:rsidRPr="003C337C" w:rsidR="00724F50">
        <w:rPr>
          <w:rFonts w:ascii="Verdana" w:hAnsi="Verdana"/>
          <w:sz w:val="18"/>
          <w:szCs w:val="18"/>
        </w:rPr>
        <w:t xml:space="preserve">om </w:t>
      </w:r>
      <w:r w:rsidRPr="003C337C" w:rsidR="00721480">
        <w:rPr>
          <w:rFonts w:ascii="Verdana" w:hAnsi="Verdana"/>
          <w:sz w:val="18"/>
          <w:szCs w:val="18"/>
        </w:rPr>
        <w:t>specifieke activiteiten</w:t>
      </w:r>
      <w:r w:rsidRPr="003C337C" w:rsidR="00724F50">
        <w:rPr>
          <w:rFonts w:ascii="Verdana" w:hAnsi="Verdana"/>
          <w:sz w:val="18"/>
          <w:szCs w:val="18"/>
        </w:rPr>
        <w:t xml:space="preserve"> uit te voeren in een bepaald land, maar </w:t>
      </w:r>
      <w:r w:rsidR="00626A41">
        <w:rPr>
          <w:rFonts w:ascii="Verdana" w:hAnsi="Verdana"/>
          <w:sz w:val="18"/>
          <w:szCs w:val="18"/>
        </w:rPr>
        <w:t xml:space="preserve">dat </w:t>
      </w:r>
      <w:r w:rsidR="00081DE1">
        <w:rPr>
          <w:rFonts w:ascii="Verdana" w:hAnsi="Verdana"/>
          <w:sz w:val="18"/>
          <w:szCs w:val="18"/>
        </w:rPr>
        <w:t>zij</w:t>
      </w:r>
      <w:r w:rsidR="00626A41">
        <w:rPr>
          <w:rFonts w:ascii="Verdana" w:hAnsi="Verdana"/>
          <w:sz w:val="18"/>
          <w:szCs w:val="18"/>
        </w:rPr>
        <w:t xml:space="preserve"> de ruimte krijgen om </w:t>
      </w:r>
      <w:r w:rsidRPr="003C337C" w:rsidR="00724F50">
        <w:rPr>
          <w:rFonts w:ascii="Verdana" w:hAnsi="Verdana"/>
          <w:sz w:val="18"/>
          <w:szCs w:val="18"/>
        </w:rPr>
        <w:t xml:space="preserve">op basis van een objectieve methode </w:t>
      </w:r>
      <w:r w:rsidR="00626A41">
        <w:rPr>
          <w:rFonts w:ascii="Verdana" w:hAnsi="Verdana"/>
          <w:sz w:val="18"/>
          <w:szCs w:val="18"/>
        </w:rPr>
        <w:t xml:space="preserve">te </w:t>
      </w:r>
      <w:r w:rsidRPr="003C337C" w:rsidR="00724F50">
        <w:rPr>
          <w:rFonts w:ascii="Verdana" w:hAnsi="Verdana"/>
          <w:sz w:val="18"/>
          <w:szCs w:val="18"/>
        </w:rPr>
        <w:t xml:space="preserve">bepalen </w:t>
      </w:r>
      <w:r w:rsidRPr="003C337C" w:rsidR="00532666">
        <w:rPr>
          <w:rFonts w:ascii="Verdana" w:hAnsi="Verdana"/>
          <w:sz w:val="18"/>
          <w:szCs w:val="18"/>
        </w:rPr>
        <w:t>waar humanitaire</w:t>
      </w:r>
      <w:r w:rsidRPr="003C337C" w:rsidR="00724F50">
        <w:rPr>
          <w:rFonts w:ascii="Verdana" w:hAnsi="Verdana"/>
          <w:sz w:val="18"/>
          <w:szCs w:val="18"/>
        </w:rPr>
        <w:t xml:space="preserve"> h</w:t>
      </w:r>
      <w:r w:rsidRPr="003C337C" w:rsidR="00474902">
        <w:rPr>
          <w:rFonts w:ascii="Verdana" w:hAnsi="Verdana"/>
          <w:sz w:val="18"/>
          <w:szCs w:val="18"/>
        </w:rPr>
        <w:t>ulp</w:t>
      </w:r>
      <w:r w:rsidRPr="003C337C" w:rsidR="00E64A61">
        <w:rPr>
          <w:rFonts w:ascii="Verdana" w:hAnsi="Verdana"/>
          <w:sz w:val="18"/>
          <w:szCs w:val="18"/>
        </w:rPr>
        <w:t xml:space="preserve"> </w:t>
      </w:r>
      <w:r w:rsidRPr="00D96EAC" w:rsidR="00724F50">
        <w:rPr>
          <w:rFonts w:ascii="Verdana" w:hAnsi="Verdana"/>
          <w:sz w:val="18"/>
          <w:szCs w:val="18"/>
        </w:rPr>
        <w:t>het meest nodig is</w:t>
      </w:r>
      <w:r w:rsidRPr="00D96EAC" w:rsidR="00626A41">
        <w:rPr>
          <w:rFonts w:ascii="Verdana" w:hAnsi="Verdana"/>
          <w:sz w:val="18"/>
          <w:szCs w:val="18"/>
        </w:rPr>
        <w:t>, en welke vorm van hulp op dat moment het meest noodzakelijk is</w:t>
      </w:r>
      <w:r w:rsidRPr="00D96EAC" w:rsidR="00657CCD">
        <w:rPr>
          <w:rFonts w:ascii="Verdana" w:hAnsi="Verdana"/>
          <w:sz w:val="18"/>
          <w:szCs w:val="18"/>
        </w:rPr>
        <w:t>.</w:t>
      </w:r>
      <w:bookmarkStart w:name="_Hlk218589361" w:id="11"/>
      <w:bookmarkEnd w:id="10"/>
      <w:r w:rsidRPr="00D96EAC" w:rsidR="00626A41">
        <w:rPr>
          <w:rFonts w:ascii="Verdana" w:hAnsi="Verdana"/>
          <w:sz w:val="18"/>
          <w:szCs w:val="18"/>
        </w:rPr>
        <w:t xml:space="preserve"> </w:t>
      </w:r>
      <w:r w:rsidRPr="00D96EAC" w:rsidR="00FB37A3">
        <w:rPr>
          <w:rFonts w:ascii="Verdana" w:hAnsi="Verdana"/>
          <w:sz w:val="18"/>
          <w:szCs w:val="18"/>
        </w:rPr>
        <w:t xml:space="preserve">Nederlandse hulp volgt op die manier </w:t>
      </w:r>
      <w:r w:rsidRPr="00D96EAC" w:rsidR="00013E21">
        <w:rPr>
          <w:rFonts w:ascii="Verdana" w:hAnsi="Verdana"/>
          <w:sz w:val="18"/>
          <w:szCs w:val="18"/>
        </w:rPr>
        <w:t xml:space="preserve">de mensen het meest in nood, ook over landgrenzen heen. </w:t>
      </w:r>
      <w:r w:rsidRPr="00D96EAC" w:rsidR="00FB37A3">
        <w:rPr>
          <w:rFonts w:ascii="Verdana" w:hAnsi="Verdana"/>
          <w:sz w:val="18"/>
          <w:szCs w:val="18"/>
        </w:rPr>
        <w:t>D</w:t>
      </w:r>
      <w:r w:rsidRPr="00D96EAC" w:rsidR="00013E21">
        <w:rPr>
          <w:rFonts w:ascii="Verdana" w:hAnsi="Verdana"/>
          <w:sz w:val="18"/>
          <w:szCs w:val="18"/>
        </w:rPr>
        <w:t>eze methode van financiering</w:t>
      </w:r>
      <w:r w:rsidRPr="00D96EAC" w:rsidR="00FB37A3">
        <w:rPr>
          <w:rFonts w:ascii="Verdana" w:hAnsi="Verdana"/>
          <w:sz w:val="18"/>
          <w:szCs w:val="18"/>
        </w:rPr>
        <w:t xml:space="preserve"> leidt ertoe dat de middelen </w:t>
      </w:r>
      <w:r w:rsidRPr="00D96EAC" w:rsidR="00013E21">
        <w:rPr>
          <w:rFonts w:ascii="Verdana" w:hAnsi="Verdana"/>
          <w:sz w:val="18"/>
          <w:szCs w:val="18"/>
        </w:rPr>
        <w:t>die besteed worden aan mensen in nood via de Verenigde Naties (tabel</w:t>
      </w:r>
      <w:r w:rsidRPr="00D96EAC" w:rsidR="00FB37A3">
        <w:rPr>
          <w:rFonts w:ascii="Verdana" w:hAnsi="Verdana"/>
          <w:sz w:val="18"/>
          <w:szCs w:val="18"/>
        </w:rPr>
        <w:t xml:space="preserve"> 1</w:t>
      </w:r>
      <w:r w:rsidRPr="00D96EAC" w:rsidR="00013E21">
        <w:rPr>
          <w:rFonts w:ascii="Verdana" w:hAnsi="Verdana"/>
          <w:sz w:val="18"/>
          <w:szCs w:val="18"/>
        </w:rPr>
        <w:t>), de Dutch Relief Alliance en het Nederlandse Rode Kruis (tabel</w:t>
      </w:r>
      <w:r w:rsidRPr="00D96EAC" w:rsidR="00FB37A3">
        <w:rPr>
          <w:rFonts w:ascii="Verdana" w:hAnsi="Verdana"/>
          <w:sz w:val="18"/>
          <w:szCs w:val="18"/>
        </w:rPr>
        <w:t xml:space="preserve"> 3</w:t>
      </w:r>
      <w:r w:rsidRPr="00D96EAC" w:rsidR="00013E21">
        <w:rPr>
          <w:rFonts w:ascii="Verdana" w:hAnsi="Verdana"/>
          <w:sz w:val="18"/>
          <w:szCs w:val="18"/>
        </w:rPr>
        <w:t>)</w:t>
      </w:r>
      <w:r w:rsidRPr="00D96EAC" w:rsidR="00FB37A3">
        <w:rPr>
          <w:rFonts w:ascii="Verdana" w:hAnsi="Verdana"/>
          <w:sz w:val="18"/>
          <w:szCs w:val="18"/>
        </w:rPr>
        <w:t xml:space="preserve"> ook </w:t>
      </w:r>
      <w:r w:rsidRPr="00D96EAC" w:rsidR="00966485">
        <w:rPr>
          <w:rFonts w:ascii="Verdana" w:hAnsi="Verdana"/>
          <w:sz w:val="18"/>
          <w:szCs w:val="18"/>
        </w:rPr>
        <w:t>groten</w:t>
      </w:r>
      <w:r w:rsidRPr="00D96EAC" w:rsidR="00FB37A3">
        <w:rPr>
          <w:rFonts w:ascii="Verdana" w:hAnsi="Verdana"/>
          <w:sz w:val="18"/>
          <w:szCs w:val="18"/>
        </w:rPr>
        <w:t xml:space="preserve">deels in </w:t>
      </w:r>
      <w:r w:rsidRPr="00D96EAC" w:rsidR="00966485">
        <w:rPr>
          <w:rFonts w:ascii="Verdana" w:hAnsi="Verdana"/>
          <w:sz w:val="18"/>
          <w:szCs w:val="18"/>
        </w:rPr>
        <w:t>d</w:t>
      </w:r>
      <w:r w:rsidRPr="00D96EAC" w:rsidR="00FB37A3">
        <w:rPr>
          <w:rFonts w:ascii="Verdana" w:hAnsi="Verdana"/>
          <w:sz w:val="18"/>
          <w:szCs w:val="18"/>
        </w:rPr>
        <w:t xml:space="preserve">e </w:t>
      </w:r>
      <w:r w:rsidRPr="00D96EAC" w:rsidR="00966485">
        <w:rPr>
          <w:rFonts w:ascii="Verdana" w:hAnsi="Verdana"/>
          <w:sz w:val="18"/>
          <w:szCs w:val="18"/>
        </w:rPr>
        <w:t>grootste cris</w:t>
      </w:r>
      <w:r w:rsidRPr="00D96EAC" w:rsidR="00081DE1">
        <w:rPr>
          <w:rFonts w:ascii="Verdana" w:hAnsi="Verdana"/>
          <w:sz w:val="18"/>
          <w:szCs w:val="18"/>
        </w:rPr>
        <w:t>i</w:t>
      </w:r>
      <w:r w:rsidRPr="00D96EAC" w:rsidR="00966485">
        <w:rPr>
          <w:rFonts w:ascii="Verdana" w:hAnsi="Verdana"/>
          <w:sz w:val="18"/>
          <w:szCs w:val="18"/>
        </w:rPr>
        <w:t xml:space="preserve">s contexten terechtkomen, zoals in de </w:t>
      </w:r>
      <w:r w:rsidRPr="00D96EAC" w:rsidR="00FB37A3">
        <w:rPr>
          <w:rFonts w:ascii="Verdana" w:hAnsi="Verdana"/>
          <w:sz w:val="18"/>
          <w:szCs w:val="18"/>
        </w:rPr>
        <w:t>Palestijnse Gebieden</w:t>
      </w:r>
      <w:r w:rsidRPr="00D96EAC" w:rsidR="00AA4326">
        <w:rPr>
          <w:rFonts w:ascii="Verdana" w:hAnsi="Verdana"/>
          <w:sz w:val="18"/>
          <w:szCs w:val="18"/>
        </w:rPr>
        <w:t xml:space="preserve"> en</w:t>
      </w:r>
      <w:r w:rsidRPr="00D96EAC" w:rsidR="00FB37A3">
        <w:rPr>
          <w:rFonts w:ascii="Verdana" w:hAnsi="Verdana"/>
          <w:sz w:val="18"/>
          <w:szCs w:val="18"/>
        </w:rPr>
        <w:t xml:space="preserve"> Soedan</w:t>
      </w:r>
      <w:r w:rsidRPr="00D96EAC" w:rsidR="00966485">
        <w:rPr>
          <w:rFonts w:ascii="Verdana" w:hAnsi="Verdana"/>
          <w:sz w:val="18"/>
          <w:szCs w:val="18"/>
        </w:rPr>
        <w:t xml:space="preserve">. </w:t>
      </w:r>
      <w:bookmarkStart w:name="_Hlk219046031" w:id="12"/>
      <w:r w:rsidRPr="00D96EAC" w:rsidR="00966485">
        <w:rPr>
          <w:rFonts w:ascii="Verdana" w:hAnsi="Verdana"/>
          <w:sz w:val="18"/>
          <w:szCs w:val="18"/>
        </w:rPr>
        <w:t>D</w:t>
      </w:r>
      <w:r w:rsidRPr="00D96EAC" w:rsidR="00FB37A3">
        <w:rPr>
          <w:rFonts w:ascii="Verdana" w:hAnsi="Verdana"/>
          <w:sz w:val="18"/>
          <w:szCs w:val="18"/>
        </w:rPr>
        <w:t>e Nederlandse bijdrage aan d</w:t>
      </w:r>
      <w:r w:rsidRPr="00D96EAC" w:rsidR="00AA4326">
        <w:rPr>
          <w:rFonts w:ascii="Verdana" w:hAnsi="Verdana"/>
          <w:sz w:val="18"/>
          <w:szCs w:val="18"/>
        </w:rPr>
        <w:t>e mensen in nood in de grootste</w:t>
      </w:r>
      <w:r w:rsidRPr="00D96EAC" w:rsidR="00FB37A3">
        <w:rPr>
          <w:rFonts w:ascii="Verdana" w:hAnsi="Verdana"/>
          <w:sz w:val="18"/>
          <w:szCs w:val="18"/>
        </w:rPr>
        <w:t xml:space="preserve"> crises </w:t>
      </w:r>
      <w:r w:rsidRPr="00D96EAC" w:rsidR="00966485">
        <w:rPr>
          <w:rFonts w:ascii="Verdana" w:hAnsi="Verdana"/>
          <w:sz w:val="18"/>
          <w:szCs w:val="18"/>
        </w:rPr>
        <w:t xml:space="preserve">zal </w:t>
      </w:r>
      <w:r w:rsidRPr="00D96EAC" w:rsidR="00FB37A3">
        <w:rPr>
          <w:rFonts w:ascii="Verdana" w:hAnsi="Verdana"/>
          <w:sz w:val="18"/>
          <w:szCs w:val="18"/>
        </w:rPr>
        <w:t>dus hoger</w:t>
      </w:r>
      <w:r w:rsidR="00FB37A3">
        <w:rPr>
          <w:rFonts w:ascii="Verdana" w:hAnsi="Verdana"/>
          <w:sz w:val="18"/>
          <w:szCs w:val="18"/>
        </w:rPr>
        <w:t xml:space="preserve"> zijn dan de b</w:t>
      </w:r>
      <w:r w:rsidRPr="00FB37A3" w:rsidR="00FB37A3">
        <w:rPr>
          <w:rFonts w:ascii="Verdana" w:hAnsi="Verdana"/>
          <w:sz w:val="18"/>
          <w:szCs w:val="18"/>
        </w:rPr>
        <w:t xml:space="preserve">ijdragen voor hulpverlening in specifieke humanitaire contexten </w:t>
      </w:r>
      <w:r w:rsidR="00FB37A3">
        <w:rPr>
          <w:rFonts w:ascii="Verdana" w:hAnsi="Verdana"/>
          <w:sz w:val="18"/>
          <w:szCs w:val="18"/>
        </w:rPr>
        <w:t>(</w:t>
      </w:r>
      <w:r w:rsidRPr="00FB37A3" w:rsidR="00FB37A3">
        <w:rPr>
          <w:rFonts w:ascii="Verdana" w:hAnsi="Verdana"/>
          <w:sz w:val="18"/>
          <w:szCs w:val="18"/>
        </w:rPr>
        <w:t>kanaal 2</w:t>
      </w:r>
      <w:r w:rsidR="00FB37A3">
        <w:rPr>
          <w:rFonts w:ascii="Verdana" w:hAnsi="Verdana"/>
          <w:sz w:val="18"/>
          <w:szCs w:val="18"/>
        </w:rPr>
        <w:t>) alleen.</w:t>
      </w:r>
      <w:r w:rsidRPr="00FB37A3" w:rsidR="00FB37A3">
        <w:rPr>
          <w:rFonts w:ascii="Verdana" w:hAnsi="Verdana"/>
          <w:sz w:val="18"/>
          <w:szCs w:val="18"/>
        </w:rPr>
        <w:t xml:space="preserve"> </w:t>
      </w:r>
    </w:p>
    <w:bookmarkEnd w:id="12"/>
    <w:p w:rsidRPr="003C337C" w:rsidR="00FC4144" w:rsidP="00B276AD" w:rsidRDefault="00FC4144" w14:paraId="78AEB8FE" w14:textId="77777777">
      <w:pPr>
        <w:pStyle w:val="NoSpacing"/>
      </w:pPr>
    </w:p>
    <w:tbl>
      <w:tblPr>
        <w:tblW w:w="7541" w:type="dxa"/>
        <w:tblCellMar>
          <w:left w:w="70" w:type="dxa"/>
          <w:right w:w="70" w:type="dxa"/>
        </w:tblCellMar>
        <w:tblLook w:val="04A0" w:firstRow="1" w:lastRow="0" w:firstColumn="1" w:lastColumn="0" w:noHBand="0" w:noVBand="1"/>
      </w:tblPr>
      <w:tblGrid>
        <w:gridCol w:w="6148"/>
        <w:gridCol w:w="1393"/>
      </w:tblGrid>
      <w:tr w:rsidRPr="003C337C" w:rsidR="00343E34" w:rsidTr="00363594" w14:paraId="14B7DC80" w14:textId="77777777">
        <w:trPr>
          <w:trHeight w:val="300"/>
        </w:trPr>
        <w:tc>
          <w:tcPr>
            <w:tcW w:w="6148" w:type="dxa"/>
            <w:tcBorders>
              <w:top w:val="single" w:color="auto" w:sz="8" w:space="0"/>
              <w:left w:val="single" w:color="auto" w:sz="8" w:space="0"/>
              <w:bottom w:val="single" w:color="auto" w:sz="8" w:space="0"/>
              <w:right w:val="nil"/>
            </w:tcBorders>
            <w:shd w:val="clear" w:color="auto" w:fill="D9D9D9" w:themeFill="background1" w:themeFillShade="D9"/>
            <w:vAlign w:val="center"/>
          </w:tcPr>
          <w:bookmarkEnd w:id="11"/>
          <w:p w:rsidRPr="0078008E" w:rsidR="00343E34" w:rsidP="0078008E" w:rsidRDefault="0078008E" w14:paraId="51FCFF68" w14:textId="66CAEA9F">
            <w:pPr>
              <w:pStyle w:val="ListParagraph"/>
              <w:numPr>
                <w:ilvl w:val="0"/>
                <w:numId w:val="7"/>
              </w:numPr>
              <w:spacing w:line="276" w:lineRule="auto"/>
              <w:rPr>
                <w:rFonts w:eastAsia="Times New Roman" w:cs="Times New Roman"/>
                <w:b/>
                <w:bCs/>
                <w:i/>
                <w:iCs/>
              </w:rPr>
            </w:pPr>
            <w:r w:rsidRPr="0078008E">
              <w:rPr>
                <w:rFonts w:eastAsia="Times New Roman" w:cstheme="minorHAnsi"/>
                <w:b/>
                <w:bCs/>
                <w:i/>
                <w:iCs/>
              </w:rPr>
              <w:t>Bijdragen aan gespecialiseerde internationale hulporganisaties van de Verenigde Naties (VN) en de Rode Kruisbeweging</w:t>
            </w:r>
          </w:p>
        </w:tc>
        <w:tc>
          <w:tcPr>
            <w:tcW w:w="139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3C337C" w:rsidR="00343E34" w:rsidP="00363594" w:rsidRDefault="00343E34" w14:paraId="71DF0B0D" w14:textId="77777777">
            <w:pPr>
              <w:autoSpaceDN/>
              <w:spacing w:line="276" w:lineRule="auto"/>
              <w:jc w:val="center"/>
              <w:textAlignment w:val="auto"/>
              <w:rPr>
                <w:rFonts w:eastAsia="Times New Roman" w:cs="Times New Roman"/>
                <w:b/>
                <w:bCs/>
              </w:rPr>
            </w:pPr>
            <w:r w:rsidRPr="003C337C">
              <w:rPr>
                <w:rFonts w:eastAsia="Times New Roman" w:cs="Times New Roman"/>
                <w:b/>
                <w:bCs/>
              </w:rPr>
              <w:t>EUR mln.</w:t>
            </w:r>
          </w:p>
        </w:tc>
      </w:tr>
      <w:tr w:rsidRPr="003C337C" w:rsidR="00343E34" w:rsidTr="00363594" w14:paraId="79B2CF1E" w14:textId="77777777">
        <w:trPr>
          <w:trHeight w:val="232"/>
        </w:trPr>
        <w:tc>
          <w:tcPr>
            <w:tcW w:w="6148" w:type="dxa"/>
            <w:tcBorders>
              <w:top w:val="nil"/>
              <w:left w:val="single" w:color="auto" w:sz="8" w:space="0"/>
              <w:bottom w:val="single" w:color="auto" w:sz="8" w:space="0"/>
              <w:right w:val="nil"/>
            </w:tcBorders>
            <w:vAlign w:val="center"/>
            <w:hideMark/>
          </w:tcPr>
          <w:p w:rsidRPr="003C337C" w:rsidR="00343E34" w:rsidP="00363594" w:rsidRDefault="00343E34" w14:paraId="1492E0DC" w14:textId="77777777">
            <w:pPr>
              <w:autoSpaceDN/>
              <w:spacing w:line="276" w:lineRule="auto"/>
              <w:textAlignment w:val="auto"/>
              <w:rPr>
                <w:rFonts w:eastAsia="Times New Roman" w:cs="Times New Roman"/>
                <w:lang w:val="en-US"/>
              </w:rPr>
            </w:pPr>
            <w:r w:rsidRPr="003C337C">
              <w:rPr>
                <w:rFonts w:eastAsia="Times New Roman" w:cs="Times New Roman"/>
                <w:lang w:val="en-US"/>
              </w:rPr>
              <w:t>Central Emergency Response Fund (CERF)</w:t>
            </w:r>
          </w:p>
        </w:tc>
        <w:tc>
          <w:tcPr>
            <w:tcW w:w="1393" w:type="dxa"/>
            <w:tcBorders>
              <w:top w:val="nil"/>
              <w:left w:val="single" w:color="auto" w:sz="4" w:space="0"/>
              <w:bottom w:val="single" w:color="auto" w:sz="4" w:space="0"/>
              <w:right w:val="single" w:color="auto" w:sz="4" w:space="0"/>
            </w:tcBorders>
            <w:noWrap/>
            <w:vAlign w:val="bottom"/>
            <w:hideMark/>
          </w:tcPr>
          <w:p w:rsidRPr="003C337C" w:rsidR="00343E34" w:rsidP="00363594" w:rsidRDefault="00343E34" w14:paraId="61C9118A" w14:textId="77777777">
            <w:pPr>
              <w:autoSpaceDN/>
              <w:spacing w:line="276" w:lineRule="auto"/>
              <w:jc w:val="right"/>
              <w:textAlignment w:val="auto"/>
              <w:rPr>
                <w:rFonts w:eastAsia="Times New Roman" w:cs="Times New Roman"/>
              </w:rPr>
            </w:pPr>
            <w:r w:rsidRPr="003C337C">
              <w:rPr>
                <w:rFonts w:eastAsia="Times New Roman" w:cs="Times New Roman"/>
              </w:rPr>
              <w:t>48</w:t>
            </w:r>
          </w:p>
        </w:tc>
      </w:tr>
      <w:tr w:rsidRPr="003C337C" w:rsidR="00343E34" w:rsidTr="00363594" w14:paraId="2854831A" w14:textId="77777777">
        <w:trPr>
          <w:trHeight w:val="300"/>
        </w:trPr>
        <w:tc>
          <w:tcPr>
            <w:tcW w:w="6148" w:type="dxa"/>
            <w:tcBorders>
              <w:top w:val="nil"/>
              <w:left w:val="single" w:color="auto" w:sz="8" w:space="0"/>
              <w:bottom w:val="single" w:color="auto" w:sz="8" w:space="0"/>
              <w:right w:val="nil"/>
            </w:tcBorders>
            <w:vAlign w:val="center"/>
            <w:hideMark/>
          </w:tcPr>
          <w:p w:rsidRPr="003C337C" w:rsidR="00343E34" w:rsidP="00363594" w:rsidRDefault="00343E34" w14:paraId="5BC0B8FE" w14:textId="77777777">
            <w:pPr>
              <w:autoSpaceDN/>
              <w:spacing w:line="276" w:lineRule="auto"/>
              <w:textAlignment w:val="auto"/>
              <w:rPr>
                <w:rFonts w:eastAsia="Times New Roman" w:cs="Times New Roman"/>
                <w:lang w:val="en-US"/>
              </w:rPr>
            </w:pPr>
            <w:r w:rsidRPr="003C337C">
              <w:rPr>
                <w:rFonts w:eastAsia="Times New Roman" w:cs="Times New Roman"/>
                <w:lang w:val="en-US"/>
              </w:rPr>
              <w:t>UN Office for the Coordination of Humanitarian Affairs (UN OCHA)</w:t>
            </w:r>
          </w:p>
        </w:tc>
        <w:tc>
          <w:tcPr>
            <w:tcW w:w="1393" w:type="dxa"/>
            <w:tcBorders>
              <w:top w:val="nil"/>
              <w:left w:val="single" w:color="auto" w:sz="4" w:space="0"/>
              <w:bottom w:val="single" w:color="auto" w:sz="4" w:space="0"/>
              <w:right w:val="single" w:color="auto" w:sz="4" w:space="0"/>
            </w:tcBorders>
            <w:noWrap/>
            <w:vAlign w:val="bottom"/>
            <w:hideMark/>
          </w:tcPr>
          <w:p w:rsidRPr="003C337C" w:rsidR="00343E34" w:rsidP="00363594" w:rsidRDefault="00343E34" w14:paraId="0B85D54C" w14:textId="77777777">
            <w:pPr>
              <w:autoSpaceDN/>
              <w:spacing w:line="276" w:lineRule="auto"/>
              <w:jc w:val="right"/>
              <w:textAlignment w:val="auto"/>
              <w:rPr>
                <w:rFonts w:eastAsia="Times New Roman" w:cs="Times New Roman"/>
              </w:rPr>
            </w:pPr>
            <w:r w:rsidRPr="003C337C">
              <w:rPr>
                <w:rFonts w:eastAsia="Times New Roman" w:cs="Times New Roman"/>
              </w:rPr>
              <w:t>7</w:t>
            </w:r>
          </w:p>
        </w:tc>
      </w:tr>
      <w:tr w:rsidRPr="003C337C" w:rsidR="00343E34" w:rsidTr="00363594" w14:paraId="0498D1D7" w14:textId="77777777">
        <w:trPr>
          <w:trHeight w:val="300"/>
        </w:trPr>
        <w:tc>
          <w:tcPr>
            <w:tcW w:w="6148" w:type="dxa"/>
            <w:tcBorders>
              <w:top w:val="nil"/>
              <w:left w:val="single" w:color="auto" w:sz="8" w:space="0"/>
              <w:bottom w:val="single" w:color="auto" w:sz="8" w:space="0"/>
              <w:right w:val="nil"/>
            </w:tcBorders>
            <w:vAlign w:val="center"/>
            <w:hideMark/>
          </w:tcPr>
          <w:p w:rsidRPr="003C337C" w:rsidR="00343E34" w:rsidP="00363594" w:rsidRDefault="00343E34" w14:paraId="4D3642A7" w14:textId="77777777">
            <w:pPr>
              <w:autoSpaceDN/>
              <w:spacing w:line="276" w:lineRule="auto"/>
              <w:textAlignment w:val="auto"/>
              <w:rPr>
                <w:rFonts w:eastAsia="Times New Roman" w:cs="Times New Roman"/>
                <w:lang w:val="en-US"/>
              </w:rPr>
            </w:pPr>
            <w:r w:rsidRPr="003C337C">
              <w:rPr>
                <w:rFonts w:eastAsia="Times New Roman" w:cs="Times New Roman"/>
                <w:lang w:val="en-US"/>
              </w:rPr>
              <w:t>United Nations International Children’s Emergency Fund (UNICEF)</w:t>
            </w:r>
          </w:p>
        </w:tc>
        <w:tc>
          <w:tcPr>
            <w:tcW w:w="1393" w:type="dxa"/>
            <w:tcBorders>
              <w:top w:val="nil"/>
              <w:left w:val="single" w:color="auto" w:sz="4" w:space="0"/>
              <w:bottom w:val="single" w:color="auto" w:sz="4" w:space="0"/>
              <w:right w:val="single" w:color="auto" w:sz="4" w:space="0"/>
            </w:tcBorders>
            <w:noWrap/>
            <w:vAlign w:val="bottom"/>
            <w:hideMark/>
          </w:tcPr>
          <w:p w:rsidRPr="003C337C" w:rsidR="00343E34" w:rsidP="00363594" w:rsidRDefault="00343E34" w14:paraId="35A7E213" w14:textId="77777777">
            <w:pPr>
              <w:autoSpaceDN/>
              <w:spacing w:line="276" w:lineRule="auto"/>
              <w:jc w:val="right"/>
              <w:textAlignment w:val="auto"/>
              <w:rPr>
                <w:rFonts w:eastAsia="Times New Roman" w:cs="Times New Roman"/>
              </w:rPr>
            </w:pPr>
            <w:r w:rsidRPr="003C337C">
              <w:rPr>
                <w:rFonts w:eastAsia="Times New Roman" w:cs="Times New Roman"/>
              </w:rPr>
              <w:t>17</w:t>
            </w:r>
          </w:p>
        </w:tc>
      </w:tr>
      <w:tr w:rsidRPr="003C337C" w:rsidR="00343E34" w:rsidTr="00363594" w14:paraId="55FCF92C" w14:textId="77777777">
        <w:trPr>
          <w:trHeight w:val="300"/>
        </w:trPr>
        <w:tc>
          <w:tcPr>
            <w:tcW w:w="6148" w:type="dxa"/>
            <w:tcBorders>
              <w:top w:val="nil"/>
              <w:left w:val="single" w:color="auto" w:sz="8" w:space="0"/>
              <w:bottom w:val="single" w:color="auto" w:sz="8" w:space="0"/>
              <w:right w:val="nil"/>
            </w:tcBorders>
            <w:vAlign w:val="center"/>
            <w:hideMark/>
          </w:tcPr>
          <w:p w:rsidRPr="003C337C" w:rsidR="00343E34" w:rsidP="00363594" w:rsidRDefault="00343E34" w14:paraId="75B6DDE6" w14:textId="77777777">
            <w:pPr>
              <w:autoSpaceDN/>
              <w:spacing w:line="276" w:lineRule="auto"/>
              <w:textAlignment w:val="auto"/>
              <w:rPr>
                <w:rFonts w:eastAsia="Times New Roman" w:cs="Times New Roman"/>
                <w:lang w:val="en-US"/>
              </w:rPr>
            </w:pPr>
            <w:r w:rsidRPr="003C337C">
              <w:rPr>
                <w:rFonts w:eastAsia="Times New Roman" w:cs="Times New Roman"/>
                <w:lang w:val="en-US"/>
              </w:rPr>
              <w:t>United Nations High Commissioner for Refugees (UNHCR)</w:t>
            </w:r>
          </w:p>
        </w:tc>
        <w:tc>
          <w:tcPr>
            <w:tcW w:w="1393" w:type="dxa"/>
            <w:tcBorders>
              <w:top w:val="nil"/>
              <w:left w:val="single" w:color="auto" w:sz="4" w:space="0"/>
              <w:bottom w:val="single" w:color="auto" w:sz="4" w:space="0"/>
              <w:right w:val="single" w:color="auto" w:sz="4" w:space="0"/>
            </w:tcBorders>
            <w:noWrap/>
            <w:vAlign w:val="bottom"/>
            <w:hideMark/>
          </w:tcPr>
          <w:p w:rsidRPr="003C337C" w:rsidR="00343E34" w:rsidP="00363594" w:rsidRDefault="00343E34" w14:paraId="036BB49F" w14:textId="77777777">
            <w:pPr>
              <w:autoSpaceDN/>
              <w:spacing w:line="276" w:lineRule="auto"/>
              <w:jc w:val="right"/>
              <w:textAlignment w:val="auto"/>
              <w:rPr>
                <w:rFonts w:eastAsia="Times New Roman" w:cs="Times New Roman"/>
              </w:rPr>
            </w:pPr>
            <w:r w:rsidRPr="003C337C">
              <w:rPr>
                <w:rFonts w:eastAsia="Times New Roman" w:cs="Times New Roman"/>
              </w:rPr>
              <w:t>35</w:t>
            </w:r>
          </w:p>
        </w:tc>
      </w:tr>
      <w:tr w:rsidRPr="003C337C" w:rsidR="00343E34" w:rsidTr="00363594" w14:paraId="409EC182" w14:textId="77777777">
        <w:trPr>
          <w:trHeight w:val="300"/>
        </w:trPr>
        <w:tc>
          <w:tcPr>
            <w:tcW w:w="6148" w:type="dxa"/>
            <w:tcBorders>
              <w:top w:val="nil"/>
              <w:left w:val="single" w:color="auto" w:sz="8" w:space="0"/>
              <w:bottom w:val="single" w:color="auto" w:sz="8" w:space="0"/>
              <w:right w:val="nil"/>
            </w:tcBorders>
            <w:vAlign w:val="center"/>
            <w:hideMark/>
          </w:tcPr>
          <w:p w:rsidRPr="003C337C" w:rsidR="00343E34" w:rsidP="00363594" w:rsidRDefault="00343E34" w14:paraId="64EFFCC7" w14:textId="77777777">
            <w:pPr>
              <w:autoSpaceDN/>
              <w:spacing w:line="276" w:lineRule="auto"/>
              <w:textAlignment w:val="auto"/>
              <w:rPr>
                <w:rFonts w:eastAsia="Times New Roman" w:cs="Times New Roman"/>
                <w:lang w:val="en-US"/>
              </w:rPr>
            </w:pPr>
            <w:r w:rsidRPr="003C337C">
              <w:rPr>
                <w:rFonts w:eastAsia="Times New Roman" w:cs="Times New Roman"/>
                <w:lang w:val="en-US"/>
              </w:rPr>
              <w:t>United Nations Relief and Works Agency for Palestine Refugees is the Near East (UNRWA)</w:t>
            </w:r>
            <w:r w:rsidRPr="003C337C">
              <w:rPr>
                <w:rStyle w:val="FootnoteReference"/>
                <w:rFonts w:eastAsia="Times New Roman" w:cs="Times New Roman"/>
                <w:lang w:val="en-US"/>
              </w:rPr>
              <w:footnoteReference w:id="7"/>
            </w:r>
          </w:p>
        </w:tc>
        <w:tc>
          <w:tcPr>
            <w:tcW w:w="1393" w:type="dxa"/>
            <w:tcBorders>
              <w:top w:val="nil"/>
              <w:left w:val="single" w:color="auto" w:sz="4" w:space="0"/>
              <w:bottom w:val="single" w:color="auto" w:sz="4" w:space="0"/>
              <w:right w:val="single" w:color="auto" w:sz="4" w:space="0"/>
            </w:tcBorders>
            <w:noWrap/>
            <w:vAlign w:val="bottom"/>
            <w:hideMark/>
          </w:tcPr>
          <w:p w:rsidRPr="003C337C" w:rsidR="00343E34" w:rsidP="00363594" w:rsidRDefault="00343E34" w14:paraId="65C1386E" w14:textId="77777777">
            <w:pPr>
              <w:autoSpaceDN/>
              <w:spacing w:line="276" w:lineRule="auto"/>
              <w:jc w:val="right"/>
              <w:textAlignment w:val="auto"/>
              <w:rPr>
                <w:rFonts w:eastAsia="Times New Roman" w:cs="Times New Roman"/>
              </w:rPr>
            </w:pPr>
            <w:r w:rsidRPr="003C337C">
              <w:rPr>
                <w:rFonts w:eastAsia="Times New Roman" w:cs="Times New Roman"/>
              </w:rPr>
              <w:t>11</w:t>
            </w:r>
          </w:p>
        </w:tc>
      </w:tr>
      <w:tr w:rsidRPr="003C337C" w:rsidR="00343E34" w:rsidTr="00363594" w14:paraId="506C2DEE" w14:textId="77777777">
        <w:trPr>
          <w:trHeight w:val="300"/>
        </w:trPr>
        <w:tc>
          <w:tcPr>
            <w:tcW w:w="6148" w:type="dxa"/>
            <w:tcBorders>
              <w:top w:val="nil"/>
              <w:left w:val="single" w:color="auto" w:sz="8" w:space="0"/>
              <w:bottom w:val="single" w:color="auto" w:sz="8" w:space="0"/>
              <w:right w:val="nil"/>
            </w:tcBorders>
            <w:vAlign w:val="center"/>
            <w:hideMark/>
          </w:tcPr>
          <w:p w:rsidRPr="003C337C" w:rsidR="00343E34" w:rsidP="00363594" w:rsidRDefault="00343E34" w14:paraId="25726122" w14:textId="77777777">
            <w:pPr>
              <w:autoSpaceDN/>
              <w:spacing w:line="276" w:lineRule="auto"/>
              <w:textAlignment w:val="auto"/>
              <w:rPr>
                <w:rFonts w:eastAsia="Times New Roman" w:cs="Times New Roman"/>
              </w:rPr>
            </w:pPr>
            <w:r w:rsidRPr="003C337C">
              <w:rPr>
                <w:rFonts w:eastAsia="Times New Roman" w:cs="Times New Roman"/>
              </w:rPr>
              <w:t xml:space="preserve">World Food </w:t>
            </w:r>
            <w:proofErr w:type="spellStart"/>
            <w:r w:rsidRPr="003C337C">
              <w:rPr>
                <w:rFonts w:eastAsia="Times New Roman" w:cs="Times New Roman"/>
              </w:rPr>
              <w:t>Programme</w:t>
            </w:r>
            <w:proofErr w:type="spellEnd"/>
            <w:r w:rsidRPr="003C337C">
              <w:rPr>
                <w:rFonts w:eastAsia="Times New Roman" w:cs="Times New Roman"/>
              </w:rPr>
              <w:t xml:space="preserve"> (WFP)</w:t>
            </w:r>
          </w:p>
        </w:tc>
        <w:tc>
          <w:tcPr>
            <w:tcW w:w="1393" w:type="dxa"/>
            <w:tcBorders>
              <w:top w:val="nil"/>
              <w:left w:val="single" w:color="auto" w:sz="4" w:space="0"/>
              <w:bottom w:val="single" w:color="auto" w:sz="4" w:space="0"/>
              <w:right w:val="single" w:color="auto" w:sz="4" w:space="0"/>
            </w:tcBorders>
            <w:noWrap/>
            <w:vAlign w:val="bottom"/>
            <w:hideMark/>
          </w:tcPr>
          <w:p w:rsidRPr="003C337C" w:rsidR="00343E34" w:rsidP="00363594" w:rsidRDefault="00343E34" w14:paraId="30052514" w14:textId="77777777">
            <w:pPr>
              <w:autoSpaceDN/>
              <w:spacing w:line="276" w:lineRule="auto"/>
              <w:jc w:val="right"/>
              <w:textAlignment w:val="auto"/>
              <w:rPr>
                <w:rFonts w:eastAsia="Times New Roman" w:cs="Times New Roman"/>
              </w:rPr>
            </w:pPr>
            <w:r w:rsidRPr="003C337C">
              <w:rPr>
                <w:rFonts w:eastAsia="Times New Roman" w:cs="Times New Roman"/>
              </w:rPr>
              <w:t>60</w:t>
            </w:r>
          </w:p>
        </w:tc>
      </w:tr>
      <w:tr w:rsidRPr="003C337C" w:rsidR="00343E34" w:rsidTr="00363594" w14:paraId="025AF9E4" w14:textId="77777777">
        <w:trPr>
          <w:trHeight w:val="300"/>
        </w:trPr>
        <w:tc>
          <w:tcPr>
            <w:tcW w:w="6148" w:type="dxa"/>
            <w:tcBorders>
              <w:top w:val="nil"/>
              <w:left w:val="single" w:color="auto" w:sz="8" w:space="0"/>
              <w:bottom w:val="single" w:color="auto" w:sz="8" w:space="0"/>
              <w:right w:val="nil"/>
            </w:tcBorders>
            <w:vAlign w:val="center"/>
            <w:hideMark/>
          </w:tcPr>
          <w:p w:rsidRPr="003C337C" w:rsidR="00343E34" w:rsidP="00363594" w:rsidRDefault="00343E34" w14:paraId="612AF01B" w14:textId="77777777">
            <w:pPr>
              <w:autoSpaceDN/>
              <w:spacing w:line="276" w:lineRule="auto"/>
              <w:textAlignment w:val="auto"/>
              <w:rPr>
                <w:rFonts w:eastAsia="Times New Roman" w:cs="Times New Roman"/>
                <w:lang w:val="en-GB"/>
              </w:rPr>
            </w:pPr>
            <w:r w:rsidRPr="003C337C">
              <w:rPr>
                <w:rFonts w:eastAsia="Times New Roman" w:cs="Times New Roman"/>
                <w:lang w:val="en-GB"/>
              </w:rPr>
              <w:t>UN Humanitarian Air Service (UNHAS)</w:t>
            </w:r>
          </w:p>
        </w:tc>
        <w:tc>
          <w:tcPr>
            <w:tcW w:w="1393" w:type="dxa"/>
            <w:tcBorders>
              <w:top w:val="nil"/>
              <w:left w:val="single" w:color="auto" w:sz="4" w:space="0"/>
              <w:bottom w:val="single" w:color="auto" w:sz="4" w:space="0"/>
              <w:right w:val="single" w:color="auto" w:sz="4" w:space="0"/>
            </w:tcBorders>
            <w:noWrap/>
            <w:vAlign w:val="bottom"/>
            <w:hideMark/>
          </w:tcPr>
          <w:p w:rsidRPr="003C337C" w:rsidR="00343E34" w:rsidP="00363594" w:rsidRDefault="00343E34" w14:paraId="474A242F" w14:textId="77777777">
            <w:pPr>
              <w:autoSpaceDN/>
              <w:spacing w:line="276" w:lineRule="auto"/>
              <w:jc w:val="right"/>
              <w:textAlignment w:val="auto"/>
              <w:rPr>
                <w:rFonts w:eastAsia="Times New Roman" w:cs="Times New Roman"/>
              </w:rPr>
            </w:pPr>
            <w:r w:rsidRPr="003C337C">
              <w:rPr>
                <w:rFonts w:eastAsia="Times New Roman" w:cs="Times New Roman"/>
              </w:rPr>
              <w:t>3</w:t>
            </w:r>
          </w:p>
        </w:tc>
      </w:tr>
      <w:tr w:rsidRPr="003C337C" w:rsidR="00343E34" w:rsidTr="00363594" w14:paraId="402911E2" w14:textId="77777777">
        <w:trPr>
          <w:trHeight w:val="300"/>
        </w:trPr>
        <w:tc>
          <w:tcPr>
            <w:tcW w:w="6148" w:type="dxa"/>
            <w:tcBorders>
              <w:top w:val="nil"/>
              <w:left w:val="single" w:color="auto" w:sz="8" w:space="0"/>
              <w:bottom w:val="single" w:color="auto" w:sz="8" w:space="0"/>
              <w:right w:val="nil"/>
            </w:tcBorders>
            <w:vAlign w:val="center"/>
            <w:hideMark/>
          </w:tcPr>
          <w:p w:rsidRPr="003C337C" w:rsidR="00343E34" w:rsidP="00363594" w:rsidRDefault="00343E34" w14:paraId="773158FF" w14:textId="77777777">
            <w:pPr>
              <w:autoSpaceDN/>
              <w:spacing w:line="276" w:lineRule="auto"/>
              <w:textAlignment w:val="auto"/>
              <w:rPr>
                <w:rFonts w:eastAsia="Times New Roman" w:cs="Times New Roman"/>
                <w:lang w:val="en-US"/>
              </w:rPr>
            </w:pPr>
            <w:r w:rsidRPr="003C337C">
              <w:rPr>
                <w:rFonts w:eastAsia="Times New Roman" w:cs="Times New Roman"/>
                <w:lang w:val="en-US"/>
              </w:rPr>
              <w:t>International Committee of the Red Cross (ICRC)</w:t>
            </w:r>
          </w:p>
        </w:tc>
        <w:tc>
          <w:tcPr>
            <w:tcW w:w="1393" w:type="dxa"/>
            <w:tcBorders>
              <w:top w:val="nil"/>
              <w:left w:val="single" w:color="auto" w:sz="4" w:space="0"/>
              <w:bottom w:val="single" w:color="auto" w:sz="4" w:space="0"/>
              <w:right w:val="single" w:color="auto" w:sz="4" w:space="0"/>
            </w:tcBorders>
            <w:noWrap/>
            <w:vAlign w:val="bottom"/>
            <w:hideMark/>
          </w:tcPr>
          <w:p w:rsidRPr="003C337C" w:rsidR="00343E34" w:rsidP="00363594" w:rsidRDefault="00343E34" w14:paraId="3B301F2F" w14:textId="77777777">
            <w:pPr>
              <w:autoSpaceDN/>
              <w:spacing w:line="276" w:lineRule="auto"/>
              <w:jc w:val="right"/>
              <w:textAlignment w:val="auto"/>
              <w:rPr>
                <w:rFonts w:eastAsia="Times New Roman" w:cs="Times New Roman"/>
              </w:rPr>
            </w:pPr>
            <w:r w:rsidRPr="003C337C">
              <w:rPr>
                <w:rFonts w:eastAsia="Times New Roman" w:cs="Times New Roman"/>
              </w:rPr>
              <w:t>55</w:t>
            </w:r>
          </w:p>
        </w:tc>
      </w:tr>
      <w:tr w:rsidRPr="003C337C" w:rsidR="00343E34" w:rsidTr="00363594" w14:paraId="103262B4" w14:textId="77777777">
        <w:trPr>
          <w:trHeight w:val="300"/>
        </w:trPr>
        <w:tc>
          <w:tcPr>
            <w:tcW w:w="6148" w:type="dxa"/>
            <w:tcBorders>
              <w:top w:val="nil"/>
              <w:left w:val="single" w:color="auto" w:sz="8" w:space="0"/>
              <w:bottom w:val="single" w:color="auto" w:sz="8" w:space="0"/>
              <w:right w:val="nil"/>
            </w:tcBorders>
            <w:vAlign w:val="center"/>
          </w:tcPr>
          <w:p w:rsidRPr="003C337C" w:rsidR="00343E34" w:rsidP="00343E34" w:rsidRDefault="00343E34" w14:paraId="57BA7ACF" w14:textId="2C9F0058">
            <w:pPr>
              <w:autoSpaceDN/>
              <w:spacing w:line="276" w:lineRule="auto"/>
              <w:textAlignment w:val="auto"/>
              <w:rPr>
                <w:rFonts w:eastAsia="Times New Roman" w:cs="Times New Roman"/>
                <w:lang w:val="en-US"/>
              </w:rPr>
            </w:pPr>
            <w:r w:rsidRPr="003C337C">
              <w:rPr>
                <w:rFonts w:eastAsia="Times New Roman" w:cs="Times New Roman"/>
                <w:lang w:val="en-US"/>
              </w:rPr>
              <w:t xml:space="preserve">International Federation of Red Cross and Red Crescent Societies (IFRC), via het </w:t>
            </w:r>
            <w:proofErr w:type="spellStart"/>
            <w:r w:rsidRPr="003C337C">
              <w:rPr>
                <w:rFonts w:eastAsia="Times New Roman" w:cs="Times New Roman"/>
                <w:lang w:val="en-US"/>
              </w:rPr>
              <w:t>Nederlandse</w:t>
            </w:r>
            <w:proofErr w:type="spellEnd"/>
            <w:r w:rsidRPr="003C337C">
              <w:rPr>
                <w:rFonts w:eastAsia="Times New Roman" w:cs="Times New Roman"/>
                <w:lang w:val="en-US"/>
              </w:rPr>
              <w:t xml:space="preserve"> Rode Kruis</w:t>
            </w:r>
          </w:p>
        </w:tc>
        <w:tc>
          <w:tcPr>
            <w:tcW w:w="1393" w:type="dxa"/>
            <w:tcBorders>
              <w:top w:val="nil"/>
              <w:left w:val="single" w:color="auto" w:sz="4" w:space="0"/>
              <w:bottom w:val="single" w:color="auto" w:sz="4" w:space="0"/>
              <w:right w:val="single" w:color="auto" w:sz="4" w:space="0"/>
            </w:tcBorders>
            <w:noWrap/>
            <w:vAlign w:val="bottom"/>
          </w:tcPr>
          <w:p w:rsidRPr="003C337C" w:rsidR="00343E34" w:rsidP="00343E34" w:rsidRDefault="00343E34" w14:paraId="28062E7E" w14:textId="6ADCEBC2">
            <w:pPr>
              <w:autoSpaceDN/>
              <w:spacing w:line="276" w:lineRule="auto"/>
              <w:jc w:val="right"/>
              <w:textAlignment w:val="auto"/>
              <w:rPr>
                <w:rFonts w:eastAsia="Times New Roman" w:cs="Times New Roman"/>
              </w:rPr>
            </w:pPr>
            <w:r w:rsidRPr="003C337C">
              <w:rPr>
                <w:rFonts w:eastAsia="Times New Roman" w:cs="Times New Roman"/>
              </w:rPr>
              <w:t>1,9</w:t>
            </w:r>
          </w:p>
        </w:tc>
      </w:tr>
      <w:tr w:rsidRPr="003C337C" w:rsidR="00343E34" w:rsidTr="00363594" w14:paraId="5263B78F" w14:textId="77777777">
        <w:trPr>
          <w:trHeight w:val="300"/>
        </w:trPr>
        <w:tc>
          <w:tcPr>
            <w:tcW w:w="6148" w:type="dxa"/>
            <w:tcBorders>
              <w:top w:val="nil"/>
              <w:left w:val="single" w:color="auto" w:sz="8" w:space="0"/>
              <w:bottom w:val="single" w:color="auto" w:sz="8" w:space="0"/>
              <w:right w:val="nil"/>
            </w:tcBorders>
            <w:vAlign w:val="center"/>
            <w:hideMark/>
          </w:tcPr>
          <w:p w:rsidRPr="00343E34" w:rsidR="00343E34" w:rsidP="00343E34" w:rsidRDefault="00343E34" w14:paraId="029FF3B5" w14:textId="458941EE">
            <w:pPr>
              <w:autoSpaceDN/>
              <w:spacing w:line="276" w:lineRule="auto"/>
              <w:textAlignment w:val="auto"/>
              <w:rPr>
                <w:rFonts w:eastAsia="Times New Roman" w:cs="Times New Roman"/>
                <w:b/>
                <w:bCs/>
                <w:lang w:val="en-US"/>
              </w:rPr>
            </w:pPr>
            <w:proofErr w:type="spellStart"/>
            <w:r>
              <w:rPr>
                <w:rFonts w:eastAsia="Times New Roman" w:cs="Times New Roman"/>
                <w:b/>
                <w:bCs/>
                <w:lang w:val="en-US"/>
              </w:rPr>
              <w:t>Totaal</w:t>
            </w:r>
            <w:proofErr w:type="spellEnd"/>
          </w:p>
        </w:tc>
        <w:tc>
          <w:tcPr>
            <w:tcW w:w="1393" w:type="dxa"/>
            <w:tcBorders>
              <w:top w:val="nil"/>
              <w:left w:val="single" w:color="auto" w:sz="4" w:space="0"/>
              <w:bottom w:val="single" w:color="auto" w:sz="4" w:space="0"/>
              <w:right w:val="single" w:color="auto" w:sz="4" w:space="0"/>
            </w:tcBorders>
            <w:noWrap/>
            <w:vAlign w:val="bottom"/>
            <w:hideMark/>
          </w:tcPr>
          <w:p w:rsidRPr="003C337C" w:rsidR="00343E34" w:rsidP="00343E34" w:rsidRDefault="00343E34" w14:paraId="4D5509BF" w14:textId="3AA24569">
            <w:pPr>
              <w:autoSpaceDN/>
              <w:spacing w:line="276" w:lineRule="auto"/>
              <w:jc w:val="right"/>
              <w:textAlignment w:val="auto"/>
              <w:rPr>
                <w:rFonts w:eastAsia="Times New Roman" w:cs="Times New Roman"/>
              </w:rPr>
            </w:pPr>
            <w:r w:rsidRPr="003C337C">
              <w:rPr>
                <w:rFonts w:eastAsia="Times New Roman" w:cs="Times New Roman"/>
                <w:b/>
                <w:bCs/>
              </w:rPr>
              <w:t>237,9</w:t>
            </w:r>
          </w:p>
        </w:tc>
      </w:tr>
    </w:tbl>
    <w:p w:rsidR="00343E34" w:rsidP="008E2C2A" w:rsidRDefault="00343E34" w14:paraId="6191F0A5" w14:textId="77777777">
      <w:pPr>
        <w:pStyle w:val="NoSpacing"/>
        <w:spacing w:line="276" w:lineRule="auto"/>
        <w:rPr>
          <w:rFonts w:ascii="Verdana" w:hAnsi="Verdana"/>
          <w:sz w:val="18"/>
          <w:szCs w:val="18"/>
        </w:rPr>
      </w:pPr>
    </w:p>
    <w:p w:rsidRPr="003C337C" w:rsidR="00343E34" w:rsidP="00343E34" w:rsidRDefault="00343E34" w14:paraId="4CEB03D2" w14:textId="77777777">
      <w:pPr>
        <w:pStyle w:val="NoSpacing"/>
        <w:spacing w:line="276" w:lineRule="auto"/>
        <w:rPr>
          <w:rFonts w:ascii="Verdana" w:hAnsi="Verdana"/>
          <w:sz w:val="18"/>
          <w:szCs w:val="18"/>
        </w:rPr>
      </w:pPr>
      <w:r w:rsidRPr="003C337C">
        <w:rPr>
          <w:rFonts w:ascii="Verdana" w:hAnsi="Verdana"/>
          <w:sz w:val="18"/>
          <w:szCs w:val="18"/>
        </w:rPr>
        <w:t xml:space="preserve">VN-organisaties kunnen door hun wereldwijde aanwezigheid en capaciteit snel opschalen en grootschalige hulp bieden, en vervullen een cruciale coördinerende rol die zorgt voor samenhang in de wereldwijde humanitaire inzet. Het mandaat van de VN-organisaties wordt door het voltallige VN-lidmaatschap verleend wat hen bijzondere legitimiteit geeft en hun rol als erkende humanitaire actor </w:t>
      </w:r>
      <w:r w:rsidRPr="003C337C">
        <w:rPr>
          <w:rFonts w:ascii="Verdana" w:hAnsi="Verdana"/>
          <w:sz w:val="18"/>
          <w:szCs w:val="18"/>
        </w:rPr>
        <w:lastRenderedPageBreak/>
        <w:t>versterkt. De organisaties die in de tabel genoemd worden hebben allemaal een eigen mandaat en specifieke toegevoegde waarde waardoor ze elkaar versterken.</w:t>
      </w:r>
      <w:r w:rsidRPr="003C337C">
        <w:rPr>
          <w:rStyle w:val="CommentReference"/>
          <w:rFonts w:ascii="Verdana" w:hAnsi="Verdana"/>
          <w:sz w:val="18"/>
          <w:szCs w:val="18"/>
        </w:rPr>
        <w:t xml:space="preserve"> </w:t>
      </w:r>
    </w:p>
    <w:p w:rsidRPr="003C337C" w:rsidR="00343E34" w:rsidP="00343E34" w:rsidRDefault="00343E34" w14:paraId="6EFE7E08" w14:textId="77777777">
      <w:pPr>
        <w:pStyle w:val="NoSpacing"/>
        <w:spacing w:line="276" w:lineRule="auto"/>
        <w:rPr>
          <w:rFonts w:ascii="Verdana" w:hAnsi="Verdana"/>
          <w:sz w:val="18"/>
          <w:szCs w:val="18"/>
        </w:rPr>
      </w:pPr>
    </w:p>
    <w:p w:rsidR="00343E34" w:rsidP="00343E34" w:rsidRDefault="00343E34" w14:paraId="3435E494" w14:textId="77777777">
      <w:pPr>
        <w:pStyle w:val="NoSpacing"/>
        <w:spacing w:line="276" w:lineRule="auto"/>
        <w:rPr>
          <w:rFonts w:ascii="Verdana" w:hAnsi="Verdana"/>
          <w:sz w:val="18"/>
          <w:szCs w:val="18"/>
        </w:rPr>
      </w:pPr>
      <w:r w:rsidRPr="003C337C">
        <w:rPr>
          <w:rFonts w:ascii="Verdana" w:hAnsi="Verdana"/>
          <w:sz w:val="18"/>
          <w:szCs w:val="18"/>
        </w:rPr>
        <w:t>De Rode Kruis- en Rode Halve Maanbeweging is van groot belang vanwege de rol van het ICRC als onafhankelijk hoeder van het humanitair oorlogsrecht, vastgelegd in de Verdragen van Genève. In dat kader faciliteert ICRC onder andere gevangenenruil en gezinshereniging. Daarnaast is de IFRC, via hun nationale verenigingen, zoals het Nederlandse Rode Kruis, in 191 landen met 17 miljoen vrijwilligers diep verankerd in lokale gemeenschappen. Daardoor kunnen zij snel en context-specifiek hulp bieden: vóór, tijdens en na een crisis.</w:t>
      </w:r>
    </w:p>
    <w:p w:rsidRPr="003C337C" w:rsidR="00E66B68" w:rsidP="008E2C2A" w:rsidRDefault="00E66B68" w14:paraId="663EDB84" w14:textId="77777777">
      <w:pPr>
        <w:pStyle w:val="NoSpacing"/>
        <w:spacing w:line="276" w:lineRule="auto"/>
        <w:rPr>
          <w:rFonts w:ascii="Verdana" w:hAnsi="Verdana"/>
          <w:sz w:val="18"/>
          <w:szCs w:val="18"/>
        </w:rPr>
      </w:pPr>
    </w:p>
    <w:tbl>
      <w:tblPr>
        <w:tblW w:w="7541" w:type="dxa"/>
        <w:tblCellMar>
          <w:left w:w="70" w:type="dxa"/>
          <w:right w:w="70" w:type="dxa"/>
        </w:tblCellMar>
        <w:tblLook w:val="04A0" w:firstRow="1" w:lastRow="0" w:firstColumn="1" w:lastColumn="0" w:noHBand="0" w:noVBand="1"/>
      </w:tblPr>
      <w:tblGrid>
        <w:gridCol w:w="6148"/>
        <w:gridCol w:w="1393"/>
      </w:tblGrid>
      <w:tr w:rsidRPr="003C337C" w:rsidR="00EA50B7" w:rsidTr="00363594" w14:paraId="4A2361CF" w14:textId="77777777">
        <w:trPr>
          <w:trHeight w:val="300"/>
        </w:trPr>
        <w:tc>
          <w:tcPr>
            <w:tcW w:w="6148" w:type="dxa"/>
            <w:tcBorders>
              <w:top w:val="single" w:color="auto" w:sz="8" w:space="0"/>
              <w:left w:val="single" w:color="auto" w:sz="8" w:space="0"/>
              <w:bottom w:val="single" w:color="auto" w:sz="8" w:space="0"/>
              <w:right w:val="nil"/>
            </w:tcBorders>
            <w:shd w:val="clear" w:color="auto" w:fill="D9D9D9" w:themeFill="background1" w:themeFillShade="D9"/>
            <w:vAlign w:val="center"/>
          </w:tcPr>
          <w:p w:rsidRPr="0078008E" w:rsidR="00EA50B7" w:rsidP="0078008E" w:rsidRDefault="0078008E" w14:paraId="618C8EB8" w14:textId="3FEA1E73">
            <w:pPr>
              <w:pStyle w:val="ListParagraph"/>
              <w:numPr>
                <w:ilvl w:val="0"/>
                <w:numId w:val="7"/>
              </w:numPr>
              <w:spacing w:line="276" w:lineRule="auto"/>
              <w:rPr>
                <w:rFonts w:eastAsia="Times New Roman" w:cstheme="minorHAnsi"/>
                <w:b/>
                <w:bCs/>
                <w:i/>
              </w:rPr>
            </w:pPr>
            <w:r w:rsidRPr="0078008E">
              <w:rPr>
                <w:b/>
                <w:bCs/>
                <w:i/>
                <w:iCs/>
              </w:rPr>
              <w:t xml:space="preserve">Bijdragen voor hulpverlening in specifieke </w:t>
            </w:r>
            <w:r w:rsidRPr="0078008E">
              <w:rPr>
                <w:rFonts w:eastAsia="Times New Roman" w:cstheme="minorHAnsi"/>
                <w:b/>
                <w:bCs/>
                <w:i/>
              </w:rPr>
              <w:t>humanitaire contexten, incl. reserve</w:t>
            </w:r>
          </w:p>
        </w:tc>
        <w:tc>
          <w:tcPr>
            <w:tcW w:w="139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3C337C" w:rsidR="00EA50B7" w:rsidP="00363594" w:rsidRDefault="00EA50B7" w14:paraId="684C1736" w14:textId="77777777">
            <w:pPr>
              <w:autoSpaceDN/>
              <w:spacing w:line="276" w:lineRule="auto"/>
              <w:jc w:val="center"/>
              <w:textAlignment w:val="auto"/>
              <w:rPr>
                <w:rFonts w:eastAsia="Times New Roman" w:cs="Times New Roman"/>
                <w:b/>
                <w:bCs/>
              </w:rPr>
            </w:pPr>
            <w:r w:rsidRPr="003C337C">
              <w:rPr>
                <w:rFonts w:eastAsia="Times New Roman" w:cs="Times New Roman"/>
                <w:b/>
                <w:bCs/>
              </w:rPr>
              <w:t>EUR mln.</w:t>
            </w:r>
          </w:p>
        </w:tc>
      </w:tr>
      <w:tr w:rsidRPr="003C337C" w:rsidR="00EA50B7" w:rsidTr="00363594" w14:paraId="08FD6BAD" w14:textId="77777777">
        <w:trPr>
          <w:trHeight w:val="232"/>
        </w:trPr>
        <w:tc>
          <w:tcPr>
            <w:tcW w:w="6148" w:type="dxa"/>
            <w:tcBorders>
              <w:top w:val="nil"/>
              <w:left w:val="single" w:color="auto" w:sz="8" w:space="0"/>
              <w:bottom w:val="single" w:color="auto" w:sz="8" w:space="0"/>
              <w:right w:val="nil"/>
            </w:tcBorders>
            <w:vAlign w:val="center"/>
            <w:hideMark/>
          </w:tcPr>
          <w:p w:rsidRPr="003C337C" w:rsidR="00EA50B7" w:rsidP="00EA50B7" w:rsidRDefault="00EA50B7" w14:paraId="527C576E" w14:textId="77777777">
            <w:pPr>
              <w:autoSpaceDN/>
              <w:spacing w:line="276" w:lineRule="auto"/>
              <w:textAlignment w:val="auto"/>
              <w:rPr>
                <w:rFonts w:eastAsia="Times New Roman" w:cs="Times New Roman"/>
              </w:rPr>
            </w:pPr>
            <w:r w:rsidRPr="003C337C">
              <w:rPr>
                <w:rFonts w:eastAsia="Times New Roman" w:cs="Times New Roman"/>
              </w:rPr>
              <w:t>Financiering aan de humanitaire landenfondsen van de VN voor:</w:t>
            </w:r>
          </w:p>
          <w:p w:rsidRPr="003C337C" w:rsidR="00EA50B7" w:rsidP="00EA50B7" w:rsidRDefault="00EA50B7" w14:paraId="0732ECC2" w14:textId="77777777">
            <w:pPr>
              <w:pStyle w:val="ListParagraph"/>
              <w:numPr>
                <w:ilvl w:val="0"/>
                <w:numId w:val="9"/>
              </w:numPr>
              <w:autoSpaceDN/>
              <w:spacing w:line="276" w:lineRule="auto"/>
              <w:textAlignment w:val="auto"/>
              <w:rPr>
                <w:rFonts w:eastAsia="Times New Roman" w:cs="Times New Roman"/>
              </w:rPr>
            </w:pPr>
            <w:r w:rsidRPr="003C337C">
              <w:rPr>
                <w:rFonts w:eastAsia="Times New Roman" w:cs="Times New Roman"/>
              </w:rPr>
              <w:t>Palestijnse Gebieden</w:t>
            </w:r>
          </w:p>
          <w:p w:rsidRPr="003C337C" w:rsidR="00EA50B7" w:rsidP="00EA50B7" w:rsidRDefault="00EA50B7" w14:paraId="47B18121" w14:textId="77777777">
            <w:pPr>
              <w:pStyle w:val="ListParagraph"/>
              <w:numPr>
                <w:ilvl w:val="0"/>
                <w:numId w:val="9"/>
              </w:numPr>
              <w:autoSpaceDN/>
              <w:spacing w:line="276" w:lineRule="auto"/>
              <w:textAlignment w:val="auto"/>
              <w:rPr>
                <w:rFonts w:eastAsia="Times New Roman" w:cs="Times New Roman"/>
              </w:rPr>
            </w:pPr>
            <w:r w:rsidRPr="003C337C">
              <w:rPr>
                <w:rFonts w:eastAsia="Times New Roman" w:cs="Times New Roman"/>
              </w:rPr>
              <w:t xml:space="preserve">Soedan </w:t>
            </w:r>
          </w:p>
          <w:p w:rsidRPr="003C337C" w:rsidR="00EA50B7" w:rsidP="00EA50B7" w:rsidRDefault="00EA50B7" w14:paraId="7FB3A0BB" w14:textId="77777777">
            <w:pPr>
              <w:pStyle w:val="ListParagraph"/>
              <w:numPr>
                <w:ilvl w:val="0"/>
                <w:numId w:val="9"/>
              </w:numPr>
              <w:autoSpaceDN/>
              <w:spacing w:line="276" w:lineRule="auto"/>
              <w:textAlignment w:val="auto"/>
              <w:rPr>
                <w:rFonts w:eastAsia="Times New Roman" w:cs="Times New Roman"/>
              </w:rPr>
            </w:pPr>
            <w:r w:rsidRPr="003C337C">
              <w:rPr>
                <w:rFonts w:eastAsia="Times New Roman" w:cs="Times New Roman"/>
              </w:rPr>
              <w:t>Syrië</w:t>
            </w:r>
          </w:p>
          <w:p w:rsidRPr="003C337C" w:rsidR="00EA50B7" w:rsidP="00EA50B7" w:rsidRDefault="00EA50B7" w14:paraId="292A2CA8" w14:textId="77777777">
            <w:pPr>
              <w:pStyle w:val="ListParagraph"/>
              <w:numPr>
                <w:ilvl w:val="0"/>
                <w:numId w:val="9"/>
              </w:numPr>
              <w:autoSpaceDN/>
              <w:spacing w:line="276" w:lineRule="auto"/>
              <w:textAlignment w:val="auto"/>
              <w:rPr>
                <w:rFonts w:eastAsia="Times New Roman" w:cs="Times New Roman"/>
              </w:rPr>
            </w:pPr>
            <w:r w:rsidRPr="003C337C">
              <w:rPr>
                <w:rFonts w:eastAsia="Times New Roman" w:cs="Times New Roman"/>
              </w:rPr>
              <w:t>Afghanistan</w:t>
            </w:r>
          </w:p>
          <w:p w:rsidRPr="003C337C" w:rsidR="00EA50B7" w:rsidP="00EA50B7" w:rsidRDefault="00EA50B7" w14:paraId="51FFF349" w14:textId="77777777">
            <w:pPr>
              <w:pStyle w:val="ListParagraph"/>
              <w:numPr>
                <w:ilvl w:val="0"/>
                <w:numId w:val="9"/>
              </w:numPr>
              <w:autoSpaceDN/>
              <w:spacing w:line="276" w:lineRule="auto"/>
              <w:textAlignment w:val="auto"/>
              <w:rPr>
                <w:rFonts w:eastAsia="Times New Roman" w:cs="Times New Roman"/>
              </w:rPr>
            </w:pPr>
            <w:r w:rsidRPr="003C337C">
              <w:rPr>
                <w:rFonts w:eastAsia="Times New Roman" w:cs="Times New Roman"/>
              </w:rPr>
              <w:t>Jemen</w:t>
            </w:r>
          </w:p>
          <w:p w:rsidRPr="003C337C" w:rsidR="00EA50B7" w:rsidP="00EA50B7" w:rsidRDefault="00EA50B7" w14:paraId="63251195" w14:textId="77777777">
            <w:pPr>
              <w:pStyle w:val="ListParagraph"/>
              <w:numPr>
                <w:ilvl w:val="0"/>
                <w:numId w:val="9"/>
              </w:numPr>
              <w:autoSpaceDN/>
              <w:spacing w:line="276" w:lineRule="auto"/>
              <w:textAlignment w:val="auto"/>
              <w:rPr>
                <w:rFonts w:eastAsia="Times New Roman" w:cs="Times New Roman"/>
              </w:rPr>
            </w:pPr>
            <w:r w:rsidRPr="003C337C">
              <w:rPr>
                <w:rFonts w:eastAsia="Times New Roman" w:cs="Times New Roman"/>
              </w:rPr>
              <w:t>Zuid-Soedan</w:t>
            </w:r>
          </w:p>
          <w:p w:rsidRPr="003C337C" w:rsidR="00EA50B7" w:rsidP="00EA50B7" w:rsidRDefault="00EA50B7" w14:paraId="202067B5" w14:textId="77777777">
            <w:pPr>
              <w:pStyle w:val="ListParagraph"/>
              <w:numPr>
                <w:ilvl w:val="0"/>
                <w:numId w:val="9"/>
              </w:numPr>
              <w:autoSpaceDN/>
              <w:spacing w:line="276" w:lineRule="auto"/>
              <w:textAlignment w:val="auto"/>
              <w:rPr>
                <w:rFonts w:eastAsia="Times New Roman" w:cs="Times New Roman"/>
              </w:rPr>
            </w:pPr>
            <w:r w:rsidRPr="003C337C">
              <w:rPr>
                <w:rFonts w:eastAsia="Times New Roman" w:cs="Times New Roman"/>
              </w:rPr>
              <w:t>Democratische Republiek Congo</w:t>
            </w:r>
          </w:p>
          <w:p w:rsidRPr="003C337C" w:rsidR="00EA50B7" w:rsidP="00EA50B7" w:rsidRDefault="00EA50B7" w14:paraId="163757C8" w14:textId="77777777">
            <w:pPr>
              <w:pStyle w:val="ListParagraph"/>
              <w:numPr>
                <w:ilvl w:val="0"/>
                <w:numId w:val="9"/>
              </w:numPr>
              <w:autoSpaceDN/>
              <w:spacing w:line="276" w:lineRule="auto"/>
              <w:textAlignment w:val="auto"/>
              <w:rPr>
                <w:rFonts w:eastAsia="Times New Roman" w:cs="Times New Roman"/>
              </w:rPr>
            </w:pPr>
            <w:r w:rsidRPr="003C337C">
              <w:rPr>
                <w:rFonts w:eastAsia="Times New Roman" w:cs="Times New Roman"/>
              </w:rPr>
              <w:t>Ethiopië</w:t>
            </w:r>
          </w:p>
          <w:p w:rsidRPr="003C337C" w:rsidR="00EA50B7" w:rsidP="00EA50B7" w:rsidRDefault="00EA50B7" w14:paraId="642F6301" w14:textId="77777777">
            <w:pPr>
              <w:pStyle w:val="ListParagraph"/>
              <w:numPr>
                <w:ilvl w:val="0"/>
                <w:numId w:val="9"/>
              </w:numPr>
              <w:autoSpaceDN/>
              <w:spacing w:line="276" w:lineRule="auto"/>
              <w:textAlignment w:val="auto"/>
              <w:rPr>
                <w:rFonts w:eastAsia="Times New Roman" w:cs="Times New Roman"/>
              </w:rPr>
            </w:pPr>
            <w:r w:rsidRPr="003C337C">
              <w:rPr>
                <w:rFonts w:eastAsia="Times New Roman" w:cs="Times New Roman"/>
              </w:rPr>
              <w:t>Somalië</w:t>
            </w:r>
          </w:p>
          <w:p w:rsidRPr="00EA50B7" w:rsidR="00EA50B7" w:rsidP="00EA50B7" w:rsidRDefault="00EA50B7" w14:paraId="4A6C3151" w14:textId="77752AF1">
            <w:pPr>
              <w:pStyle w:val="ListParagraph"/>
              <w:numPr>
                <w:ilvl w:val="0"/>
                <w:numId w:val="9"/>
              </w:numPr>
              <w:autoSpaceDN/>
              <w:spacing w:line="276" w:lineRule="auto"/>
              <w:textAlignment w:val="auto"/>
              <w:rPr>
                <w:rFonts w:eastAsia="Times New Roman" w:cs="Times New Roman"/>
              </w:rPr>
            </w:pPr>
            <w:r w:rsidRPr="003C337C">
              <w:rPr>
                <w:rFonts w:eastAsia="Times New Roman" w:cs="Times New Roman"/>
              </w:rPr>
              <w:t>Tsjaad</w:t>
            </w:r>
          </w:p>
        </w:tc>
        <w:tc>
          <w:tcPr>
            <w:tcW w:w="1393" w:type="dxa"/>
            <w:tcBorders>
              <w:top w:val="nil"/>
              <w:left w:val="single" w:color="auto" w:sz="4" w:space="0"/>
              <w:bottom w:val="single" w:color="auto" w:sz="4" w:space="0"/>
              <w:right w:val="single" w:color="auto" w:sz="4" w:space="0"/>
            </w:tcBorders>
            <w:noWrap/>
            <w:vAlign w:val="bottom"/>
            <w:hideMark/>
          </w:tcPr>
          <w:p w:rsidRPr="003C337C" w:rsidR="00EA50B7" w:rsidP="00EA50B7" w:rsidRDefault="00EA50B7" w14:paraId="450DD406" w14:textId="77777777">
            <w:pPr>
              <w:autoSpaceDN/>
              <w:spacing w:line="276" w:lineRule="auto"/>
              <w:jc w:val="right"/>
              <w:textAlignment w:val="auto"/>
              <w:rPr>
                <w:rFonts w:eastAsia="Times New Roman" w:cs="Times New Roman"/>
              </w:rPr>
            </w:pPr>
          </w:p>
          <w:p w:rsidRPr="003C337C" w:rsidR="00EA50B7" w:rsidP="00EA50B7" w:rsidRDefault="00EA50B7" w14:paraId="3E8BC897" w14:textId="77777777">
            <w:pPr>
              <w:autoSpaceDN/>
              <w:spacing w:line="276" w:lineRule="auto"/>
              <w:jc w:val="right"/>
              <w:textAlignment w:val="auto"/>
              <w:rPr>
                <w:rFonts w:eastAsia="Times New Roman" w:cs="Times New Roman"/>
              </w:rPr>
            </w:pPr>
            <w:r w:rsidRPr="003C337C">
              <w:rPr>
                <w:rFonts w:eastAsia="Times New Roman" w:cs="Times New Roman"/>
              </w:rPr>
              <w:t>16</w:t>
            </w:r>
          </w:p>
          <w:p w:rsidRPr="003C337C" w:rsidR="00EA50B7" w:rsidP="00EA50B7" w:rsidRDefault="00EA50B7" w14:paraId="139B1D9A" w14:textId="77777777">
            <w:pPr>
              <w:autoSpaceDN/>
              <w:spacing w:line="276" w:lineRule="auto"/>
              <w:jc w:val="right"/>
              <w:textAlignment w:val="auto"/>
              <w:rPr>
                <w:rFonts w:eastAsia="Times New Roman" w:cs="Times New Roman"/>
              </w:rPr>
            </w:pPr>
            <w:r w:rsidRPr="003C337C">
              <w:rPr>
                <w:rFonts w:eastAsia="Times New Roman" w:cs="Times New Roman"/>
              </w:rPr>
              <w:t>16</w:t>
            </w:r>
          </w:p>
          <w:p w:rsidRPr="003C337C" w:rsidR="00EA50B7" w:rsidP="00EA50B7" w:rsidRDefault="00EA50B7" w14:paraId="40CB6121" w14:textId="77777777">
            <w:pPr>
              <w:autoSpaceDN/>
              <w:spacing w:line="276" w:lineRule="auto"/>
              <w:jc w:val="right"/>
              <w:textAlignment w:val="auto"/>
              <w:rPr>
                <w:rFonts w:eastAsia="Times New Roman" w:cs="Times New Roman"/>
              </w:rPr>
            </w:pPr>
            <w:r w:rsidRPr="003C337C">
              <w:rPr>
                <w:rFonts w:eastAsia="Times New Roman" w:cs="Times New Roman"/>
              </w:rPr>
              <w:t>14</w:t>
            </w:r>
          </w:p>
          <w:p w:rsidRPr="003C337C" w:rsidR="00EA50B7" w:rsidP="00EA50B7" w:rsidRDefault="00EA50B7" w14:paraId="555A1411" w14:textId="77777777">
            <w:pPr>
              <w:autoSpaceDN/>
              <w:spacing w:line="276" w:lineRule="auto"/>
              <w:jc w:val="right"/>
              <w:textAlignment w:val="auto"/>
              <w:rPr>
                <w:rFonts w:eastAsia="Times New Roman" w:cs="Times New Roman"/>
              </w:rPr>
            </w:pPr>
            <w:r w:rsidRPr="003C337C">
              <w:rPr>
                <w:rFonts w:eastAsia="Times New Roman" w:cs="Times New Roman"/>
              </w:rPr>
              <w:t>11</w:t>
            </w:r>
          </w:p>
          <w:p w:rsidRPr="003C337C" w:rsidR="00EA50B7" w:rsidP="00EA50B7" w:rsidRDefault="00EA50B7" w14:paraId="7BC0AB49" w14:textId="77777777">
            <w:pPr>
              <w:autoSpaceDN/>
              <w:spacing w:line="276" w:lineRule="auto"/>
              <w:jc w:val="right"/>
              <w:textAlignment w:val="auto"/>
              <w:rPr>
                <w:rFonts w:eastAsia="Times New Roman" w:cs="Times New Roman"/>
              </w:rPr>
            </w:pPr>
            <w:r w:rsidRPr="003C337C">
              <w:rPr>
                <w:rFonts w:eastAsia="Times New Roman" w:cs="Times New Roman"/>
              </w:rPr>
              <w:t>11</w:t>
            </w:r>
          </w:p>
          <w:p w:rsidRPr="003C337C" w:rsidR="00EA50B7" w:rsidP="00EA50B7" w:rsidRDefault="00EA50B7" w14:paraId="29780AEE" w14:textId="77777777">
            <w:pPr>
              <w:autoSpaceDN/>
              <w:spacing w:line="276" w:lineRule="auto"/>
              <w:jc w:val="right"/>
              <w:textAlignment w:val="auto"/>
              <w:rPr>
                <w:rFonts w:eastAsia="Times New Roman" w:cs="Times New Roman"/>
              </w:rPr>
            </w:pPr>
            <w:r w:rsidRPr="003C337C">
              <w:rPr>
                <w:rFonts w:eastAsia="Times New Roman" w:cs="Times New Roman"/>
              </w:rPr>
              <w:t>11</w:t>
            </w:r>
          </w:p>
          <w:p w:rsidRPr="003C337C" w:rsidR="00EA50B7" w:rsidP="00EA50B7" w:rsidRDefault="00EA50B7" w14:paraId="7D48063A" w14:textId="77777777">
            <w:pPr>
              <w:autoSpaceDN/>
              <w:spacing w:line="276" w:lineRule="auto"/>
              <w:jc w:val="right"/>
              <w:textAlignment w:val="auto"/>
              <w:rPr>
                <w:rFonts w:eastAsia="Times New Roman" w:cs="Times New Roman"/>
              </w:rPr>
            </w:pPr>
            <w:r w:rsidRPr="003C337C">
              <w:rPr>
                <w:rFonts w:eastAsia="Times New Roman" w:cs="Times New Roman"/>
              </w:rPr>
              <w:t>8</w:t>
            </w:r>
          </w:p>
          <w:p w:rsidRPr="003C337C" w:rsidR="00EA50B7" w:rsidP="00EA50B7" w:rsidRDefault="00EA50B7" w14:paraId="4F23E0FF" w14:textId="77777777">
            <w:pPr>
              <w:autoSpaceDN/>
              <w:spacing w:line="276" w:lineRule="auto"/>
              <w:jc w:val="right"/>
              <w:textAlignment w:val="auto"/>
              <w:rPr>
                <w:rFonts w:eastAsia="Times New Roman" w:cs="Times New Roman"/>
              </w:rPr>
            </w:pPr>
            <w:r w:rsidRPr="003C337C">
              <w:rPr>
                <w:rFonts w:eastAsia="Times New Roman" w:cs="Times New Roman"/>
              </w:rPr>
              <w:t>8</w:t>
            </w:r>
          </w:p>
          <w:p w:rsidRPr="003C337C" w:rsidR="00EA50B7" w:rsidP="00EA50B7" w:rsidRDefault="00EA50B7" w14:paraId="2E7B6F47" w14:textId="77777777">
            <w:pPr>
              <w:autoSpaceDN/>
              <w:spacing w:line="276" w:lineRule="auto"/>
              <w:jc w:val="right"/>
              <w:textAlignment w:val="auto"/>
              <w:rPr>
                <w:rFonts w:eastAsia="Times New Roman" w:cs="Times New Roman"/>
              </w:rPr>
            </w:pPr>
            <w:r w:rsidRPr="003C337C">
              <w:rPr>
                <w:rFonts w:eastAsia="Times New Roman" w:cs="Times New Roman"/>
              </w:rPr>
              <w:t>8</w:t>
            </w:r>
          </w:p>
          <w:p w:rsidRPr="003C337C" w:rsidR="00EA50B7" w:rsidP="00EA50B7" w:rsidRDefault="00EA50B7" w14:paraId="663EBABD" w14:textId="0D8354C6">
            <w:pPr>
              <w:autoSpaceDN/>
              <w:spacing w:line="276" w:lineRule="auto"/>
              <w:jc w:val="right"/>
              <w:textAlignment w:val="auto"/>
              <w:rPr>
                <w:rFonts w:eastAsia="Times New Roman" w:cs="Times New Roman"/>
              </w:rPr>
            </w:pPr>
            <w:r w:rsidRPr="003C337C">
              <w:rPr>
                <w:rFonts w:eastAsia="Times New Roman" w:cs="Times New Roman"/>
              </w:rPr>
              <w:t>5</w:t>
            </w:r>
          </w:p>
          <w:p w:rsidRPr="003C337C" w:rsidR="00EA50B7" w:rsidP="00EA50B7" w:rsidRDefault="00EA50B7" w14:paraId="33ACD894" w14:textId="051300AE">
            <w:pPr>
              <w:autoSpaceDN/>
              <w:spacing w:line="276" w:lineRule="auto"/>
              <w:jc w:val="right"/>
              <w:textAlignment w:val="auto"/>
              <w:rPr>
                <w:rFonts w:eastAsia="Times New Roman" w:cs="Times New Roman"/>
              </w:rPr>
            </w:pPr>
          </w:p>
        </w:tc>
      </w:tr>
      <w:tr w:rsidRPr="003C337C" w:rsidR="00DE094B" w:rsidTr="00363594" w14:paraId="12477BC5" w14:textId="77777777">
        <w:trPr>
          <w:trHeight w:val="300"/>
        </w:trPr>
        <w:tc>
          <w:tcPr>
            <w:tcW w:w="6148" w:type="dxa"/>
            <w:tcBorders>
              <w:top w:val="nil"/>
              <w:left w:val="single" w:color="auto" w:sz="8" w:space="0"/>
              <w:bottom w:val="single" w:color="auto" w:sz="8" w:space="0"/>
              <w:right w:val="nil"/>
            </w:tcBorders>
            <w:vAlign w:val="center"/>
            <w:hideMark/>
          </w:tcPr>
          <w:p w:rsidRPr="00B24EA6" w:rsidR="00DE094B" w:rsidP="00B276AD" w:rsidRDefault="00DE094B" w14:paraId="7D189161" w14:textId="79FD4524">
            <w:pPr>
              <w:pStyle w:val="ListParagraph"/>
              <w:ind w:left="0"/>
            </w:pPr>
            <w:r w:rsidRPr="003C337C">
              <w:rPr>
                <w:rFonts w:eastAsia="Times New Roman" w:cs="Times New Roman"/>
              </w:rPr>
              <w:t>Reserve waarmee een extra bijdrage gedaan kan worden in noodsituaties gedurende het jaar</w:t>
            </w:r>
            <w:r>
              <w:rPr>
                <w:rFonts w:eastAsia="Times New Roman" w:cs="Times New Roman"/>
              </w:rPr>
              <w:t>.</w:t>
            </w:r>
          </w:p>
        </w:tc>
        <w:tc>
          <w:tcPr>
            <w:tcW w:w="1393" w:type="dxa"/>
            <w:tcBorders>
              <w:top w:val="nil"/>
              <w:left w:val="single" w:color="auto" w:sz="4" w:space="0"/>
              <w:bottom w:val="single" w:color="auto" w:sz="4" w:space="0"/>
              <w:right w:val="single" w:color="auto" w:sz="4" w:space="0"/>
            </w:tcBorders>
            <w:noWrap/>
            <w:vAlign w:val="bottom"/>
            <w:hideMark/>
          </w:tcPr>
          <w:p w:rsidRPr="003C337C" w:rsidR="00DE094B" w:rsidP="00DE094B" w:rsidRDefault="00DE094B" w14:paraId="328E25A8" w14:textId="6948C8A5">
            <w:pPr>
              <w:autoSpaceDN/>
              <w:spacing w:line="276" w:lineRule="auto"/>
              <w:jc w:val="right"/>
              <w:textAlignment w:val="auto"/>
              <w:rPr>
                <w:rFonts w:eastAsia="Times New Roman" w:cs="Times New Roman"/>
              </w:rPr>
            </w:pPr>
            <w:r w:rsidRPr="003C337C">
              <w:rPr>
                <w:rFonts w:eastAsia="Times New Roman" w:cs="Times New Roman"/>
              </w:rPr>
              <w:t>29,1</w:t>
            </w:r>
          </w:p>
        </w:tc>
      </w:tr>
      <w:tr w:rsidRPr="003C337C" w:rsidR="00DE094B" w:rsidTr="00363594" w14:paraId="06457A06" w14:textId="77777777">
        <w:trPr>
          <w:trHeight w:val="300"/>
        </w:trPr>
        <w:tc>
          <w:tcPr>
            <w:tcW w:w="6148" w:type="dxa"/>
            <w:tcBorders>
              <w:top w:val="nil"/>
              <w:left w:val="single" w:color="auto" w:sz="8" w:space="0"/>
              <w:bottom w:val="single" w:color="auto" w:sz="8" w:space="0"/>
              <w:right w:val="nil"/>
            </w:tcBorders>
            <w:vAlign w:val="center"/>
          </w:tcPr>
          <w:p w:rsidRPr="00EA50B7" w:rsidR="00DE094B" w:rsidP="00DE094B" w:rsidRDefault="00DE094B" w14:paraId="3FDCD4EE" w14:textId="7F82FC79">
            <w:pPr>
              <w:autoSpaceDN/>
              <w:spacing w:line="276" w:lineRule="auto"/>
              <w:textAlignment w:val="auto"/>
              <w:rPr>
                <w:rFonts w:eastAsia="Times New Roman" w:cs="Times New Roman"/>
              </w:rPr>
            </w:pPr>
            <w:proofErr w:type="spellStart"/>
            <w:r>
              <w:rPr>
                <w:rFonts w:eastAsia="Times New Roman" w:cs="Times New Roman"/>
                <w:b/>
                <w:bCs/>
                <w:lang w:val="en-US"/>
              </w:rPr>
              <w:t>Totaal</w:t>
            </w:r>
            <w:proofErr w:type="spellEnd"/>
          </w:p>
        </w:tc>
        <w:tc>
          <w:tcPr>
            <w:tcW w:w="1393" w:type="dxa"/>
            <w:tcBorders>
              <w:top w:val="nil"/>
              <w:left w:val="single" w:color="auto" w:sz="4" w:space="0"/>
              <w:bottom w:val="single" w:color="auto" w:sz="4" w:space="0"/>
              <w:right w:val="single" w:color="auto" w:sz="4" w:space="0"/>
            </w:tcBorders>
            <w:noWrap/>
            <w:vAlign w:val="bottom"/>
          </w:tcPr>
          <w:p w:rsidRPr="003C337C" w:rsidR="00DE094B" w:rsidP="00DE094B" w:rsidRDefault="00DE094B" w14:paraId="15E17B57" w14:textId="516A8C3D">
            <w:pPr>
              <w:autoSpaceDN/>
              <w:spacing w:line="276" w:lineRule="auto"/>
              <w:jc w:val="right"/>
              <w:textAlignment w:val="auto"/>
              <w:rPr>
                <w:rFonts w:eastAsia="Times New Roman" w:cs="Times New Roman"/>
              </w:rPr>
            </w:pPr>
            <w:r>
              <w:rPr>
                <w:rFonts w:eastAsia="Times New Roman" w:cs="Times New Roman"/>
                <w:b/>
                <w:bCs/>
              </w:rPr>
              <w:t>1</w:t>
            </w:r>
            <w:r w:rsidRPr="003C337C">
              <w:rPr>
                <w:rFonts w:eastAsia="Times New Roman" w:cs="Times New Roman"/>
                <w:b/>
                <w:bCs/>
              </w:rPr>
              <w:t>37</w:t>
            </w:r>
            <w:r>
              <w:rPr>
                <w:rFonts w:eastAsia="Times New Roman" w:cs="Times New Roman"/>
                <w:b/>
                <w:bCs/>
              </w:rPr>
              <w:t>,1</w:t>
            </w:r>
          </w:p>
        </w:tc>
      </w:tr>
    </w:tbl>
    <w:p w:rsidRPr="00EA50B7" w:rsidR="00EA50B7" w:rsidP="00EA50B7" w:rsidRDefault="00EA50B7" w14:paraId="1345E0B7" w14:textId="77777777">
      <w:pPr>
        <w:spacing w:line="276" w:lineRule="auto"/>
        <w:rPr>
          <w:rFonts w:eastAsia="Times New Roman" w:cstheme="minorHAnsi"/>
          <w:i/>
        </w:rPr>
      </w:pPr>
    </w:p>
    <w:p w:rsidRPr="003C337C" w:rsidR="00E66B68" w:rsidP="008E2C2A" w:rsidRDefault="00E66B68" w14:paraId="64675139" w14:textId="0DD0D1A9">
      <w:pPr>
        <w:pStyle w:val="NoSpacing"/>
        <w:spacing w:line="276" w:lineRule="auto"/>
        <w:rPr>
          <w:rFonts w:ascii="Verdana" w:hAnsi="Verdana"/>
          <w:sz w:val="18"/>
          <w:szCs w:val="18"/>
        </w:rPr>
      </w:pPr>
      <w:r w:rsidRPr="003C337C">
        <w:rPr>
          <w:rFonts w:ascii="Verdana" w:hAnsi="Verdana"/>
          <w:sz w:val="18"/>
          <w:szCs w:val="18"/>
        </w:rPr>
        <w:t xml:space="preserve">Nederland levert via </w:t>
      </w:r>
      <w:r w:rsidRPr="003C337C">
        <w:rPr>
          <w:rFonts w:ascii="Verdana" w:hAnsi="Verdana" w:eastAsia="Times New Roman" w:cs="Times New Roman"/>
          <w:sz w:val="18"/>
          <w:szCs w:val="18"/>
        </w:rPr>
        <w:t xml:space="preserve">de humanitaire landenfondsen van de VN steun aan </w:t>
      </w:r>
      <w:r w:rsidRPr="003C337C">
        <w:rPr>
          <w:rFonts w:ascii="Verdana" w:hAnsi="Verdana"/>
          <w:sz w:val="18"/>
          <w:szCs w:val="18"/>
        </w:rPr>
        <w:t>humanitaire crises waar de noden het hoogst zijn. De landenfondsen zijn toegankelijk voor internationale, nationale en lokale organisaties en spelen een belangrijke rol in de coördinatie en uitvoering van hulp in de meest complexe humanitaire contexten. In 2026 zal Nederland bijdragen aan de humanitaire landenfondsen voor de Palestijnse Gebieden, Soedan, Syrië, Afghanistan, Jemen, Zuid-Soedan, Democratische Republiek Congo, Ethiopië, Somalië</w:t>
      </w:r>
      <w:r w:rsidRPr="003C337C" w:rsidR="008775FA">
        <w:rPr>
          <w:rFonts w:ascii="Verdana" w:hAnsi="Verdana"/>
          <w:sz w:val="18"/>
          <w:szCs w:val="18"/>
        </w:rPr>
        <w:t xml:space="preserve">, </w:t>
      </w:r>
      <w:r w:rsidRPr="003C337C">
        <w:rPr>
          <w:rFonts w:ascii="Verdana" w:hAnsi="Verdana"/>
          <w:sz w:val="18"/>
          <w:szCs w:val="18"/>
        </w:rPr>
        <w:t>Tsjaad</w:t>
      </w:r>
      <w:r w:rsidRPr="003C337C" w:rsidR="008775FA">
        <w:rPr>
          <w:rFonts w:ascii="Verdana" w:hAnsi="Verdana"/>
          <w:sz w:val="18"/>
          <w:szCs w:val="18"/>
        </w:rPr>
        <w:t xml:space="preserve"> en Oekraïne</w:t>
      </w:r>
      <w:r w:rsidRPr="003C337C">
        <w:rPr>
          <w:rFonts w:ascii="Verdana" w:hAnsi="Verdana"/>
          <w:sz w:val="18"/>
          <w:szCs w:val="18"/>
        </w:rPr>
        <w:t>.</w:t>
      </w:r>
      <w:r w:rsidRPr="003C337C" w:rsidR="00FB5D19">
        <w:t xml:space="preserve"> </w:t>
      </w:r>
      <w:r w:rsidRPr="003C337C" w:rsidR="00D2089B">
        <w:rPr>
          <w:rFonts w:ascii="Verdana" w:hAnsi="Verdana"/>
          <w:sz w:val="18"/>
          <w:szCs w:val="18"/>
        </w:rPr>
        <w:t>De selectie van de betreffende landenfondsen en de hoogte van de Nederlandse bijdragen in 2026 zijn gebaseerd op een rangschikking met behulp van internationaal erkende data en indicatoren die weergeven per land hoeveel mensen in nood zijn, hoeveel financiering nodig is om die mensen van hulp te kunnen voorzien, en wat de financiële dekkingsgraad van een betreffend landenfonds is.</w:t>
      </w:r>
      <w:r w:rsidRPr="003C337C" w:rsidR="00FB5D19">
        <w:rPr>
          <w:rFonts w:ascii="Verdana" w:hAnsi="Verdana"/>
          <w:sz w:val="18"/>
          <w:szCs w:val="18"/>
        </w:rPr>
        <w:t xml:space="preserve"> </w:t>
      </w:r>
      <w:r w:rsidRPr="003C337C">
        <w:rPr>
          <w:rFonts w:ascii="Verdana" w:hAnsi="Verdana"/>
          <w:sz w:val="18"/>
          <w:szCs w:val="18"/>
        </w:rPr>
        <w:t xml:space="preserve"> </w:t>
      </w:r>
    </w:p>
    <w:p w:rsidRPr="003C337C" w:rsidR="00E66B68" w:rsidP="008E2C2A" w:rsidRDefault="00E66B68" w14:paraId="6AA3E76C" w14:textId="77777777">
      <w:pPr>
        <w:pStyle w:val="NoSpacing"/>
        <w:spacing w:line="276" w:lineRule="auto"/>
        <w:rPr>
          <w:rFonts w:ascii="Verdana" w:hAnsi="Verdana"/>
          <w:sz w:val="18"/>
          <w:szCs w:val="18"/>
        </w:rPr>
      </w:pPr>
    </w:p>
    <w:p w:rsidR="00E66B68" w:rsidP="008E2C2A" w:rsidRDefault="00E66B68" w14:paraId="2CF213C5" w14:textId="56041DC1">
      <w:pPr>
        <w:pStyle w:val="NoSpacing"/>
        <w:spacing w:line="276" w:lineRule="auto"/>
        <w:rPr>
          <w:rFonts w:ascii="Verdana" w:hAnsi="Verdana"/>
          <w:sz w:val="18"/>
          <w:szCs w:val="18"/>
        </w:rPr>
      </w:pPr>
      <w:r w:rsidRPr="003C337C">
        <w:rPr>
          <w:rFonts w:ascii="Verdana" w:hAnsi="Verdana"/>
          <w:sz w:val="18"/>
          <w:szCs w:val="18"/>
        </w:rPr>
        <w:t xml:space="preserve">Daarnaast houdt Nederland in 2026 </w:t>
      </w:r>
      <w:r w:rsidR="00B22A48">
        <w:rPr>
          <w:rFonts w:ascii="Verdana" w:hAnsi="Verdana"/>
          <w:sz w:val="18"/>
          <w:szCs w:val="18"/>
        </w:rPr>
        <w:t xml:space="preserve">zoals altijd </w:t>
      </w:r>
      <w:r w:rsidRPr="003C337C">
        <w:rPr>
          <w:rFonts w:ascii="Verdana" w:hAnsi="Verdana"/>
          <w:sz w:val="18"/>
          <w:szCs w:val="18"/>
        </w:rPr>
        <w:t>een financiële reserve aan</w:t>
      </w:r>
      <w:r w:rsidRPr="003C337C" w:rsidR="009C3380">
        <w:rPr>
          <w:rFonts w:ascii="Verdana" w:hAnsi="Verdana"/>
          <w:sz w:val="18"/>
          <w:szCs w:val="18"/>
        </w:rPr>
        <w:t>.</w:t>
      </w:r>
      <w:r w:rsidRPr="003C337C">
        <w:rPr>
          <w:rFonts w:ascii="Verdana" w:hAnsi="Verdana"/>
          <w:sz w:val="18"/>
          <w:szCs w:val="18"/>
        </w:rPr>
        <w:t xml:space="preserve"> </w:t>
      </w:r>
      <w:r w:rsidRPr="003C337C" w:rsidR="009C3380">
        <w:rPr>
          <w:rFonts w:ascii="Verdana" w:hAnsi="Verdana"/>
          <w:sz w:val="18"/>
          <w:szCs w:val="18"/>
        </w:rPr>
        <w:t>Met de reserve kan Nederland</w:t>
      </w:r>
      <w:r w:rsidRPr="003C337C" w:rsidR="00302D1C">
        <w:rPr>
          <w:rFonts w:ascii="Verdana" w:hAnsi="Verdana"/>
          <w:sz w:val="18"/>
          <w:szCs w:val="18"/>
        </w:rPr>
        <w:t xml:space="preserve"> </w:t>
      </w:r>
      <w:r w:rsidRPr="003C337C" w:rsidR="009C3380">
        <w:rPr>
          <w:rFonts w:ascii="Verdana" w:hAnsi="Verdana"/>
          <w:sz w:val="18"/>
          <w:szCs w:val="18"/>
        </w:rPr>
        <w:t xml:space="preserve">een extra bijdrage doen in noodsituaties gedurende het jaar, </w:t>
      </w:r>
      <w:r w:rsidRPr="003C337C" w:rsidR="00532666">
        <w:rPr>
          <w:rFonts w:ascii="Verdana" w:hAnsi="Verdana"/>
          <w:sz w:val="18"/>
          <w:szCs w:val="18"/>
        </w:rPr>
        <w:t>boven op</w:t>
      </w:r>
      <w:r w:rsidRPr="003C337C" w:rsidR="009C3380">
        <w:rPr>
          <w:rFonts w:ascii="Verdana" w:hAnsi="Verdana"/>
          <w:sz w:val="18"/>
          <w:szCs w:val="18"/>
        </w:rPr>
        <w:t xml:space="preserve"> de uitkeringen uit de noodfondsen van de VN en de Rode </w:t>
      </w:r>
      <w:r w:rsidRPr="003C337C" w:rsidR="003A7771">
        <w:rPr>
          <w:rFonts w:ascii="Verdana" w:hAnsi="Verdana"/>
          <w:sz w:val="18"/>
          <w:szCs w:val="18"/>
        </w:rPr>
        <w:t>K</w:t>
      </w:r>
      <w:r w:rsidRPr="003C337C" w:rsidR="009C3380">
        <w:rPr>
          <w:rFonts w:ascii="Verdana" w:hAnsi="Verdana"/>
          <w:sz w:val="18"/>
          <w:szCs w:val="18"/>
        </w:rPr>
        <w:t>ruis</w:t>
      </w:r>
      <w:r w:rsidRPr="003C337C" w:rsidR="003A7771">
        <w:rPr>
          <w:rFonts w:ascii="Verdana" w:hAnsi="Verdana"/>
          <w:sz w:val="18"/>
          <w:szCs w:val="18"/>
        </w:rPr>
        <w:t>verenigingen,</w:t>
      </w:r>
      <w:r w:rsidRPr="003C337C" w:rsidR="009C3380">
        <w:rPr>
          <w:rFonts w:ascii="Verdana" w:hAnsi="Verdana"/>
          <w:sz w:val="18"/>
          <w:szCs w:val="18"/>
        </w:rPr>
        <w:t xml:space="preserve"> en naast bijdrage</w:t>
      </w:r>
      <w:r w:rsidRPr="003C337C" w:rsidR="008775FA">
        <w:rPr>
          <w:rFonts w:ascii="Verdana" w:hAnsi="Verdana"/>
          <w:sz w:val="18"/>
          <w:szCs w:val="18"/>
        </w:rPr>
        <w:t>n</w:t>
      </w:r>
      <w:r w:rsidRPr="003C337C" w:rsidR="009C3380">
        <w:rPr>
          <w:rFonts w:ascii="Verdana" w:hAnsi="Verdana"/>
          <w:sz w:val="18"/>
          <w:szCs w:val="18"/>
        </w:rPr>
        <w:t xml:space="preserve"> die de organisaties zelf al doen per crisis.</w:t>
      </w:r>
      <w:r w:rsidRPr="003C337C">
        <w:rPr>
          <w:rFonts w:ascii="Verdana" w:hAnsi="Verdana"/>
          <w:sz w:val="18"/>
          <w:szCs w:val="18"/>
        </w:rPr>
        <w:t xml:space="preserve"> </w:t>
      </w:r>
    </w:p>
    <w:p w:rsidR="00DE094B" w:rsidP="008E2C2A" w:rsidRDefault="00DE094B" w14:paraId="7A39ADD5" w14:textId="77777777">
      <w:pPr>
        <w:pStyle w:val="NoSpacing"/>
        <w:spacing w:line="276" w:lineRule="auto"/>
        <w:rPr>
          <w:rFonts w:ascii="Verdana" w:hAnsi="Verdana"/>
          <w:sz w:val="18"/>
          <w:szCs w:val="18"/>
        </w:rPr>
      </w:pPr>
    </w:p>
    <w:p w:rsidRPr="003C337C" w:rsidR="00E66B68" w:rsidP="008E2C2A" w:rsidRDefault="00E66B68" w14:paraId="5DED37DE" w14:textId="77777777">
      <w:pPr>
        <w:spacing w:line="276" w:lineRule="auto"/>
      </w:pPr>
    </w:p>
    <w:tbl>
      <w:tblPr>
        <w:tblW w:w="7541" w:type="dxa"/>
        <w:tblCellMar>
          <w:left w:w="70" w:type="dxa"/>
          <w:right w:w="70" w:type="dxa"/>
        </w:tblCellMar>
        <w:tblLook w:val="04A0" w:firstRow="1" w:lastRow="0" w:firstColumn="1" w:lastColumn="0" w:noHBand="0" w:noVBand="1"/>
      </w:tblPr>
      <w:tblGrid>
        <w:gridCol w:w="6148"/>
        <w:gridCol w:w="1393"/>
      </w:tblGrid>
      <w:tr w:rsidRPr="003C337C" w:rsidR="0078008E" w:rsidTr="00363594" w14:paraId="1A4A60A6" w14:textId="77777777">
        <w:trPr>
          <w:trHeight w:val="300"/>
        </w:trPr>
        <w:tc>
          <w:tcPr>
            <w:tcW w:w="6148" w:type="dxa"/>
            <w:tcBorders>
              <w:top w:val="single" w:color="auto" w:sz="8" w:space="0"/>
              <w:left w:val="single" w:color="auto" w:sz="8" w:space="0"/>
              <w:bottom w:val="single" w:color="auto" w:sz="8" w:space="0"/>
              <w:right w:val="nil"/>
            </w:tcBorders>
            <w:shd w:val="clear" w:color="auto" w:fill="D9D9D9" w:themeFill="background1" w:themeFillShade="D9"/>
            <w:vAlign w:val="center"/>
          </w:tcPr>
          <w:p w:rsidRPr="0078008E" w:rsidR="0078008E" w:rsidP="0078008E" w:rsidRDefault="0078008E" w14:paraId="28CF36B0" w14:textId="6FCBF398">
            <w:pPr>
              <w:pStyle w:val="ListParagraph"/>
              <w:numPr>
                <w:ilvl w:val="0"/>
                <w:numId w:val="7"/>
              </w:numPr>
              <w:spacing w:line="276" w:lineRule="auto"/>
              <w:rPr>
                <w:rFonts w:eastAsia="Times New Roman" w:cstheme="minorHAnsi"/>
                <w:b/>
                <w:bCs/>
                <w:i/>
              </w:rPr>
            </w:pPr>
            <w:r w:rsidRPr="0078008E">
              <w:rPr>
                <w:b/>
                <w:bCs/>
                <w:i/>
                <w:iCs/>
              </w:rPr>
              <w:lastRenderedPageBreak/>
              <w:t>Subsidies voor de partnerschappen met de Dutch Relief Alliance en het Nederlandse Rode Kruis</w:t>
            </w:r>
          </w:p>
        </w:tc>
        <w:tc>
          <w:tcPr>
            <w:tcW w:w="139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3C337C" w:rsidR="0078008E" w:rsidP="00363594" w:rsidRDefault="0078008E" w14:paraId="3071D6CE" w14:textId="77777777">
            <w:pPr>
              <w:autoSpaceDN/>
              <w:spacing w:line="276" w:lineRule="auto"/>
              <w:jc w:val="center"/>
              <w:textAlignment w:val="auto"/>
              <w:rPr>
                <w:rFonts w:eastAsia="Times New Roman" w:cs="Times New Roman"/>
                <w:b/>
                <w:bCs/>
              </w:rPr>
            </w:pPr>
            <w:r w:rsidRPr="003C337C">
              <w:rPr>
                <w:rFonts w:eastAsia="Times New Roman" w:cs="Times New Roman"/>
                <w:b/>
                <w:bCs/>
              </w:rPr>
              <w:t>EUR mln.</w:t>
            </w:r>
          </w:p>
        </w:tc>
      </w:tr>
      <w:tr w:rsidRPr="003C337C" w:rsidR="0078008E" w:rsidTr="00363594" w14:paraId="5D038516" w14:textId="77777777">
        <w:trPr>
          <w:trHeight w:val="232"/>
        </w:trPr>
        <w:tc>
          <w:tcPr>
            <w:tcW w:w="6148" w:type="dxa"/>
            <w:tcBorders>
              <w:top w:val="nil"/>
              <w:left w:val="single" w:color="auto" w:sz="8" w:space="0"/>
              <w:bottom w:val="single" w:color="auto" w:sz="8" w:space="0"/>
              <w:right w:val="nil"/>
            </w:tcBorders>
            <w:vAlign w:val="center"/>
            <w:hideMark/>
          </w:tcPr>
          <w:p w:rsidRPr="0078008E" w:rsidR="0078008E" w:rsidP="0078008E" w:rsidRDefault="0078008E" w14:paraId="77771E13" w14:textId="5DCF4938">
            <w:pPr>
              <w:autoSpaceDN/>
              <w:spacing w:line="276" w:lineRule="auto"/>
              <w:textAlignment w:val="auto"/>
              <w:rPr>
                <w:rFonts w:eastAsia="Times New Roman" w:cs="Times New Roman"/>
              </w:rPr>
            </w:pPr>
            <w:r w:rsidRPr="0078008E">
              <w:rPr>
                <w:rFonts w:eastAsia="Times New Roman" w:cs="Times New Roman"/>
              </w:rPr>
              <w:t>Dutch Relief Alliance</w:t>
            </w:r>
          </w:p>
        </w:tc>
        <w:tc>
          <w:tcPr>
            <w:tcW w:w="1393" w:type="dxa"/>
            <w:tcBorders>
              <w:top w:val="nil"/>
              <w:left w:val="single" w:color="auto" w:sz="4" w:space="0"/>
              <w:bottom w:val="single" w:color="auto" w:sz="4" w:space="0"/>
              <w:right w:val="single" w:color="auto" w:sz="4" w:space="0"/>
            </w:tcBorders>
            <w:noWrap/>
            <w:vAlign w:val="bottom"/>
            <w:hideMark/>
          </w:tcPr>
          <w:p w:rsidRPr="003C337C" w:rsidR="0078008E" w:rsidP="0078008E" w:rsidRDefault="0078008E" w14:paraId="3E62527E" w14:textId="7438C1D5">
            <w:pPr>
              <w:autoSpaceDN/>
              <w:spacing w:line="276" w:lineRule="auto"/>
              <w:jc w:val="right"/>
              <w:textAlignment w:val="auto"/>
              <w:rPr>
                <w:rFonts w:eastAsia="Times New Roman" w:cs="Times New Roman"/>
              </w:rPr>
            </w:pPr>
            <w:r w:rsidRPr="003C337C">
              <w:rPr>
                <w:rFonts w:eastAsia="Times New Roman" w:cs="Times New Roman"/>
              </w:rPr>
              <w:t>67,8</w:t>
            </w:r>
          </w:p>
        </w:tc>
      </w:tr>
      <w:tr w:rsidRPr="003C337C" w:rsidR="0078008E" w:rsidTr="00363594" w14:paraId="4CF24E66" w14:textId="77777777">
        <w:trPr>
          <w:trHeight w:val="300"/>
        </w:trPr>
        <w:tc>
          <w:tcPr>
            <w:tcW w:w="6148" w:type="dxa"/>
            <w:tcBorders>
              <w:top w:val="nil"/>
              <w:left w:val="single" w:color="auto" w:sz="8" w:space="0"/>
              <w:bottom w:val="single" w:color="auto" w:sz="8" w:space="0"/>
              <w:right w:val="nil"/>
            </w:tcBorders>
            <w:vAlign w:val="center"/>
            <w:hideMark/>
          </w:tcPr>
          <w:p w:rsidRPr="00B24EA6" w:rsidR="0078008E" w:rsidP="00B276AD" w:rsidRDefault="0078008E" w14:paraId="6B158A9C" w14:textId="489D0DBE">
            <w:pPr>
              <w:pStyle w:val="ListParagraph"/>
              <w:ind w:left="0"/>
            </w:pPr>
            <w:r w:rsidRPr="003C337C">
              <w:rPr>
                <w:rFonts w:eastAsia="Times New Roman" w:cs="Times New Roman"/>
              </w:rPr>
              <w:t>Nederlandse Rode Kruis</w:t>
            </w:r>
          </w:p>
        </w:tc>
        <w:tc>
          <w:tcPr>
            <w:tcW w:w="1393" w:type="dxa"/>
            <w:tcBorders>
              <w:top w:val="nil"/>
              <w:left w:val="single" w:color="auto" w:sz="4" w:space="0"/>
              <w:bottom w:val="single" w:color="auto" w:sz="4" w:space="0"/>
              <w:right w:val="single" w:color="auto" w:sz="4" w:space="0"/>
            </w:tcBorders>
            <w:noWrap/>
            <w:vAlign w:val="bottom"/>
            <w:hideMark/>
          </w:tcPr>
          <w:p w:rsidRPr="003C337C" w:rsidR="0078008E" w:rsidP="0078008E" w:rsidRDefault="0078008E" w14:paraId="347378E9" w14:textId="47446C6D">
            <w:pPr>
              <w:autoSpaceDN/>
              <w:spacing w:line="276" w:lineRule="auto"/>
              <w:jc w:val="right"/>
              <w:textAlignment w:val="auto"/>
              <w:rPr>
                <w:rFonts w:eastAsia="Times New Roman" w:cs="Times New Roman"/>
              </w:rPr>
            </w:pPr>
            <w:r w:rsidRPr="003C337C">
              <w:rPr>
                <w:rFonts w:eastAsia="Times New Roman" w:cs="Times New Roman"/>
              </w:rPr>
              <w:t>14,2</w:t>
            </w:r>
          </w:p>
        </w:tc>
      </w:tr>
      <w:tr w:rsidRPr="003C337C" w:rsidR="0078008E" w:rsidTr="00363594" w14:paraId="4D5303E7" w14:textId="77777777">
        <w:trPr>
          <w:trHeight w:val="300"/>
        </w:trPr>
        <w:tc>
          <w:tcPr>
            <w:tcW w:w="6148" w:type="dxa"/>
            <w:tcBorders>
              <w:top w:val="nil"/>
              <w:left w:val="single" w:color="auto" w:sz="8" w:space="0"/>
              <w:bottom w:val="single" w:color="auto" w:sz="8" w:space="0"/>
              <w:right w:val="nil"/>
            </w:tcBorders>
            <w:vAlign w:val="center"/>
          </w:tcPr>
          <w:p w:rsidRPr="00EA50B7" w:rsidR="0078008E" w:rsidP="00363594" w:rsidRDefault="0078008E" w14:paraId="06B66B09" w14:textId="77777777">
            <w:pPr>
              <w:autoSpaceDN/>
              <w:spacing w:line="276" w:lineRule="auto"/>
              <w:textAlignment w:val="auto"/>
              <w:rPr>
                <w:rFonts w:eastAsia="Times New Roman" w:cs="Times New Roman"/>
              </w:rPr>
            </w:pPr>
            <w:proofErr w:type="spellStart"/>
            <w:r>
              <w:rPr>
                <w:rFonts w:eastAsia="Times New Roman" w:cs="Times New Roman"/>
                <w:b/>
                <w:bCs/>
                <w:lang w:val="en-US"/>
              </w:rPr>
              <w:t>Totaal</w:t>
            </w:r>
            <w:proofErr w:type="spellEnd"/>
          </w:p>
        </w:tc>
        <w:tc>
          <w:tcPr>
            <w:tcW w:w="1393" w:type="dxa"/>
            <w:tcBorders>
              <w:top w:val="nil"/>
              <w:left w:val="single" w:color="auto" w:sz="4" w:space="0"/>
              <w:bottom w:val="single" w:color="auto" w:sz="4" w:space="0"/>
              <w:right w:val="single" w:color="auto" w:sz="4" w:space="0"/>
            </w:tcBorders>
            <w:noWrap/>
            <w:vAlign w:val="bottom"/>
          </w:tcPr>
          <w:p w:rsidRPr="003C337C" w:rsidR="0078008E" w:rsidP="00363594" w:rsidRDefault="0078008E" w14:paraId="1F34F2CA" w14:textId="1E78FCF4">
            <w:pPr>
              <w:autoSpaceDN/>
              <w:spacing w:line="276" w:lineRule="auto"/>
              <w:jc w:val="right"/>
              <w:textAlignment w:val="auto"/>
              <w:rPr>
                <w:rFonts w:eastAsia="Times New Roman" w:cs="Times New Roman"/>
              </w:rPr>
            </w:pPr>
            <w:r>
              <w:rPr>
                <w:rFonts w:eastAsia="Times New Roman" w:cs="Times New Roman"/>
                <w:b/>
                <w:bCs/>
              </w:rPr>
              <w:t>82</w:t>
            </w:r>
          </w:p>
        </w:tc>
      </w:tr>
    </w:tbl>
    <w:p w:rsidRPr="0078008E" w:rsidR="0078008E" w:rsidP="0078008E" w:rsidRDefault="0078008E" w14:paraId="6F919AE3" w14:textId="77777777">
      <w:pPr>
        <w:spacing w:line="276" w:lineRule="auto"/>
        <w:rPr>
          <w:rFonts w:eastAsia="Times New Roman" w:cstheme="minorHAnsi"/>
          <w:i/>
        </w:rPr>
      </w:pPr>
    </w:p>
    <w:p w:rsidRPr="003C337C" w:rsidR="00E66B68" w:rsidP="008E2C2A" w:rsidRDefault="00E66B68" w14:paraId="40575DBE" w14:textId="6FB0B8AC">
      <w:pPr>
        <w:pStyle w:val="NoSpacing"/>
        <w:spacing w:line="276" w:lineRule="auto"/>
        <w:rPr>
          <w:rFonts w:ascii="Verdana" w:hAnsi="Verdana"/>
          <w:sz w:val="18"/>
          <w:szCs w:val="18"/>
        </w:rPr>
      </w:pPr>
      <w:r w:rsidRPr="003C337C">
        <w:rPr>
          <w:rFonts w:ascii="Verdana" w:hAnsi="Verdana"/>
          <w:sz w:val="18"/>
          <w:szCs w:val="18"/>
        </w:rPr>
        <w:t xml:space="preserve">Via de </w:t>
      </w:r>
      <w:r w:rsidRPr="003C337C">
        <w:rPr>
          <w:rFonts w:ascii="Verdana" w:hAnsi="Verdana"/>
          <w:i/>
          <w:iCs/>
          <w:sz w:val="18"/>
          <w:szCs w:val="18"/>
        </w:rPr>
        <w:t>Dutch Relief Alliance</w:t>
      </w:r>
      <w:r w:rsidRPr="003C337C">
        <w:rPr>
          <w:rFonts w:ascii="Verdana" w:hAnsi="Verdana"/>
          <w:sz w:val="18"/>
          <w:szCs w:val="18"/>
        </w:rPr>
        <w:t xml:space="preserve"> en het Nederlandse Rode Kruis investeert Nederland in </w:t>
      </w:r>
      <w:r w:rsidRPr="003C337C" w:rsidR="00966D83">
        <w:rPr>
          <w:rFonts w:ascii="Verdana" w:hAnsi="Verdana"/>
          <w:sz w:val="18"/>
          <w:szCs w:val="18"/>
        </w:rPr>
        <w:t xml:space="preserve">professionele en ervaren </w:t>
      </w:r>
      <w:r w:rsidRPr="003C337C" w:rsidR="007312BF">
        <w:rPr>
          <w:rFonts w:ascii="Verdana" w:hAnsi="Verdana"/>
          <w:sz w:val="18"/>
          <w:szCs w:val="18"/>
        </w:rPr>
        <w:t xml:space="preserve">organisaties die snel </w:t>
      </w:r>
      <w:r w:rsidRPr="003C337C">
        <w:rPr>
          <w:rFonts w:ascii="Verdana" w:hAnsi="Verdana"/>
          <w:sz w:val="18"/>
          <w:szCs w:val="18"/>
        </w:rPr>
        <w:t xml:space="preserve">kunnen opschalen, </w:t>
      </w:r>
      <w:r w:rsidR="00C62F25">
        <w:rPr>
          <w:rFonts w:ascii="Verdana" w:hAnsi="Verdana"/>
          <w:sz w:val="18"/>
          <w:szCs w:val="18"/>
        </w:rPr>
        <w:t xml:space="preserve">wereldwijd </w:t>
      </w:r>
      <w:r w:rsidRPr="003C337C">
        <w:rPr>
          <w:rFonts w:ascii="Verdana" w:hAnsi="Verdana"/>
          <w:sz w:val="18"/>
          <w:szCs w:val="18"/>
        </w:rPr>
        <w:t>flexibel</w:t>
      </w:r>
      <w:r w:rsidR="00C62F25">
        <w:rPr>
          <w:rFonts w:ascii="Verdana" w:hAnsi="Verdana"/>
          <w:sz w:val="18"/>
          <w:szCs w:val="18"/>
        </w:rPr>
        <w:t xml:space="preserve"> kunnen</w:t>
      </w:r>
      <w:r w:rsidRPr="003C337C">
        <w:rPr>
          <w:rFonts w:ascii="Verdana" w:hAnsi="Verdana"/>
          <w:sz w:val="18"/>
          <w:szCs w:val="18"/>
        </w:rPr>
        <w:t xml:space="preserve"> inspelen op </w:t>
      </w:r>
      <w:r w:rsidR="00C62F25">
        <w:rPr>
          <w:rFonts w:ascii="Verdana" w:hAnsi="Verdana"/>
          <w:sz w:val="18"/>
          <w:szCs w:val="18"/>
        </w:rPr>
        <w:t xml:space="preserve">acute en </w:t>
      </w:r>
      <w:r w:rsidRPr="003C337C">
        <w:rPr>
          <w:rFonts w:ascii="Verdana" w:hAnsi="Verdana"/>
          <w:sz w:val="18"/>
          <w:szCs w:val="18"/>
        </w:rPr>
        <w:t>veranderende noden</w:t>
      </w:r>
      <w:r w:rsidR="00C62F25">
        <w:rPr>
          <w:rFonts w:ascii="Verdana" w:hAnsi="Verdana"/>
          <w:sz w:val="18"/>
          <w:szCs w:val="18"/>
        </w:rPr>
        <w:t>,</w:t>
      </w:r>
      <w:r w:rsidRPr="003C337C">
        <w:rPr>
          <w:rFonts w:ascii="Verdana" w:hAnsi="Verdana"/>
          <w:sz w:val="18"/>
          <w:szCs w:val="18"/>
        </w:rPr>
        <w:t xml:space="preserve"> en </w:t>
      </w:r>
      <w:r w:rsidRPr="003C337C" w:rsidR="007312BF">
        <w:rPr>
          <w:rFonts w:ascii="Verdana" w:hAnsi="Verdana"/>
          <w:sz w:val="18"/>
          <w:szCs w:val="18"/>
        </w:rPr>
        <w:t xml:space="preserve">diep verankerd zijn in </w:t>
      </w:r>
      <w:r w:rsidRPr="003C337C">
        <w:rPr>
          <w:rFonts w:ascii="Verdana" w:hAnsi="Verdana"/>
          <w:sz w:val="18"/>
          <w:szCs w:val="18"/>
        </w:rPr>
        <w:t>de lokale context.</w:t>
      </w:r>
      <w:r w:rsidRPr="00C62F25" w:rsidR="00C62F25">
        <w:t xml:space="preserve"> </w:t>
      </w:r>
      <w:r w:rsidRPr="00C62F25" w:rsidR="00C62F25">
        <w:rPr>
          <w:rFonts w:ascii="Verdana" w:hAnsi="Verdana"/>
          <w:sz w:val="18"/>
          <w:szCs w:val="18"/>
        </w:rPr>
        <w:t>Daarbij is er expliciete aandacht voor de bescherming en ondersteuning van vrouwen, meisjes en andere kwetsbare groepen.</w:t>
      </w:r>
      <w:r w:rsidRPr="003C337C">
        <w:rPr>
          <w:rFonts w:ascii="Verdana" w:hAnsi="Verdana"/>
          <w:sz w:val="18"/>
          <w:szCs w:val="18"/>
        </w:rPr>
        <w:t xml:space="preserve"> </w:t>
      </w:r>
      <w:bookmarkStart w:name="_Hlk218438394" w:id="13"/>
      <w:r w:rsidRPr="003C337C">
        <w:rPr>
          <w:rFonts w:ascii="Verdana" w:hAnsi="Verdana"/>
          <w:i/>
          <w:iCs/>
          <w:sz w:val="18"/>
          <w:szCs w:val="18"/>
        </w:rPr>
        <w:t>De Dutch Relief Alliance</w:t>
      </w:r>
      <w:r w:rsidRPr="003C337C">
        <w:rPr>
          <w:rFonts w:ascii="Verdana" w:hAnsi="Verdana"/>
          <w:sz w:val="18"/>
          <w:szCs w:val="18"/>
        </w:rPr>
        <w:t xml:space="preserve"> bundelt daarbij de krachten van veertien Nederlandse hulporganisaties en werkt samen met meer dan </w:t>
      </w:r>
      <w:r w:rsidRPr="003C337C" w:rsidR="00E24193">
        <w:rPr>
          <w:rFonts w:ascii="Verdana" w:hAnsi="Verdana"/>
          <w:sz w:val="18"/>
          <w:szCs w:val="18"/>
        </w:rPr>
        <w:t>negentig</w:t>
      </w:r>
      <w:r w:rsidRPr="003C337C">
        <w:rPr>
          <w:rFonts w:ascii="Verdana" w:hAnsi="Verdana"/>
          <w:sz w:val="18"/>
          <w:szCs w:val="18"/>
        </w:rPr>
        <w:t xml:space="preserve"> lokale partners, ook in gebieden waar andere hulporganisaties niet altijd aanwezig zijn</w:t>
      </w:r>
      <w:bookmarkEnd w:id="13"/>
      <w:r w:rsidRPr="003C337C">
        <w:rPr>
          <w:rFonts w:ascii="Verdana" w:hAnsi="Verdana"/>
          <w:sz w:val="18"/>
          <w:szCs w:val="18"/>
        </w:rPr>
        <w:t xml:space="preserve">. </w:t>
      </w:r>
      <w:r w:rsidRPr="003C337C" w:rsidR="001203D6">
        <w:rPr>
          <w:rFonts w:ascii="Verdana" w:hAnsi="Verdana"/>
          <w:sz w:val="18"/>
          <w:szCs w:val="18"/>
        </w:rPr>
        <w:t>H</w:t>
      </w:r>
      <w:r w:rsidRPr="003C337C">
        <w:rPr>
          <w:rFonts w:ascii="Verdana" w:hAnsi="Verdana"/>
          <w:sz w:val="18"/>
          <w:szCs w:val="18"/>
        </w:rPr>
        <w:t>et Nederlandse Rode Kruis heeft de mogelijkheid te werken met 191 andere nationale verenigingen wereldwijd op het gebied van rampenrespons en het versterken van de weerbaarheid van gemeenschappen.</w:t>
      </w:r>
    </w:p>
    <w:p w:rsidRPr="003C337C" w:rsidR="00E66B68" w:rsidP="008E2C2A" w:rsidRDefault="00E66B68" w14:paraId="72B4145E" w14:textId="77777777">
      <w:pPr>
        <w:spacing w:line="276" w:lineRule="auto"/>
      </w:pPr>
    </w:p>
    <w:tbl>
      <w:tblPr>
        <w:tblW w:w="7541" w:type="dxa"/>
        <w:tblCellMar>
          <w:left w:w="70" w:type="dxa"/>
          <w:right w:w="70" w:type="dxa"/>
        </w:tblCellMar>
        <w:tblLook w:val="04A0" w:firstRow="1" w:lastRow="0" w:firstColumn="1" w:lastColumn="0" w:noHBand="0" w:noVBand="1"/>
      </w:tblPr>
      <w:tblGrid>
        <w:gridCol w:w="6148"/>
        <w:gridCol w:w="1393"/>
      </w:tblGrid>
      <w:tr w:rsidRPr="003C337C" w:rsidR="0078008E" w:rsidTr="00363594" w14:paraId="415A8368" w14:textId="77777777">
        <w:trPr>
          <w:trHeight w:val="300"/>
        </w:trPr>
        <w:tc>
          <w:tcPr>
            <w:tcW w:w="6148" w:type="dxa"/>
            <w:tcBorders>
              <w:top w:val="single" w:color="auto" w:sz="8" w:space="0"/>
              <w:left w:val="single" w:color="auto" w:sz="8" w:space="0"/>
              <w:bottom w:val="single" w:color="auto" w:sz="8" w:space="0"/>
              <w:right w:val="nil"/>
            </w:tcBorders>
            <w:shd w:val="clear" w:color="auto" w:fill="D9D9D9" w:themeFill="background1" w:themeFillShade="D9"/>
            <w:vAlign w:val="center"/>
          </w:tcPr>
          <w:p w:rsidRPr="0078008E" w:rsidR="0078008E" w:rsidP="0078008E" w:rsidRDefault="0078008E" w14:paraId="2E9EB9A1" w14:textId="61AD69DC">
            <w:pPr>
              <w:pStyle w:val="ListParagraph"/>
              <w:numPr>
                <w:ilvl w:val="0"/>
                <w:numId w:val="7"/>
              </w:numPr>
              <w:spacing w:line="276" w:lineRule="auto"/>
              <w:rPr>
                <w:b/>
                <w:bCs/>
                <w:i/>
                <w:iCs/>
              </w:rPr>
            </w:pPr>
            <w:r>
              <w:rPr>
                <w:rFonts w:eastAsia="Times New Roman" w:cstheme="minorHAnsi"/>
                <w:b/>
                <w:bCs/>
                <w:i/>
              </w:rPr>
              <w:t>B</w:t>
            </w:r>
            <w:r w:rsidRPr="0078008E">
              <w:rPr>
                <w:rFonts w:eastAsia="Times New Roman" w:cstheme="minorHAnsi"/>
                <w:b/>
                <w:bCs/>
                <w:i/>
              </w:rPr>
              <w:t>ijdragen voor diverse hulporganisaties die zich inzetten voor belangrijke humanitaire thema’s, zoals lokaal geleide hulp, de bescherming van hulpverleners, anticiperende hulp in conflictgebieden, geestelijke en psychosociale steun en water-gerelateerde rampen</w:t>
            </w:r>
          </w:p>
        </w:tc>
        <w:tc>
          <w:tcPr>
            <w:tcW w:w="139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3C337C" w:rsidR="0078008E" w:rsidP="0078008E" w:rsidRDefault="0078008E" w14:paraId="1A441807" w14:textId="79084A4E">
            <w:pPr>
              <w:autoSpaceDN/>
              <w:spacing w:line="276" w:lineRule="auto"/>
              <w:jc w:val="center"/>
              <w:textAlignment w:val="auto"/>
              <w:rPr>
                <w:rFonts w:eastAsia="Times New Roman" w:cs="Times New Roman"/>
                <w:b/>
                <w:bCs/>
              </w:rPr>
            </w:pPr>
            <w:r w:rsidRPr="003C337C">
              <w:rPr>
                <w:rFonts w:eastAsia="Times New Roman" w:cs="Times New Roman"/>
                <w:b/>
                <w:bCs/>
              </w:rPr>
              <w:t>EUR mln.</w:t>
            </w:r>
          </w:p>
        </w:tc>
      </w:tr>
      <w:tr w:rsidRPr="003C337C" w:rsidR="0078008E" w:rsidTr="00363594" w14:paraId="7A17E835" w14:textId="77777777">
        <w:trPr>
          <w:trHeight w:val="300"/>
        </w:trPr>
        <w:tc>
          <w:tcPr>
            <w:tcW w:w="6148" w:type="dxa"/>
            <w:tcBorders>
              <w:top w:val="nil"/>
              <w:left w:val="single" w:color="auto" w:sz="8" w:space="0"/>
              <w:bottom w:val="single" w:color="auto" w:sz="8" w:space="0"/>
              <w:right w:val="nil"/>
            </w:tcBorders>
            <w:vAlign w:val="center"/>
          </w:tcPr>
          <w:p w:rsidRPr="00EA50B7" w:rsidR="0078008E" w:rsidP="00363594" w:rsidRDefault="0078008E" w14:paraId="4C1A2DDE" w14:textId="77777777">
            <w:pPr>
              <w:autoSpaceDN/>
              <w:spacing w:line="276" w:lineRule="auto"/>
              <w:textAlignment w:val="auto"/>
              <w:rPr>
                <w:rFonts w:eastAsia="Times New Roman" w:cs="Times New Roman"/>
              </w:rPr>
            </w:pPr>
            <w:proofErr w:type="spellStart"/>
            <w:r>
              <w:rPr>
                <w:rFonts w:eastAsia="Times New Roman" w:cs="Times New Roman"/>
                <w:b/>
                <w:bCs/>
                <w:lang w:val="en-US"/>
              </w:rPr>
              <w:t>Totaal</w:t>
            </w:r>
            <w:proofErr w:type="spellEnd"/>
          </w:p>
        </w:tc>
        <w:tc>
          <w:tcPr>
            <w:tcW w:w="1393" w:type="dxa"/>
            <w:tcBorders>
              <w:top w:val="nil"/>
              <w:left w:val="single" w:color="auto" w:sz="4" w:space="0"/>
              <w:bottom w:val="single" w:color="auto" w:sz="4" w:space="0"/>
              <w:right w:val="single" w:color="auto" w:sz="4" w:space="0"/>
            </w:tcBorders>
            <w:noWrap/>
            <w:vAlign w:val="bottom"/>
          </w:tcPr>
          <w:p w:rsidRPr="003C337C" w:rsidR="0078008E" w:rsidP="00363594" w:rsidRDefault="0078008E" w14:paraId="235E776A" w14:textId="0F6C3CD3">
            <w:pPr>
              <w:autoSpaceDN/>
              <w:spacing w:line="276" w:lineRule="auto"/>
              <w:jc w:val="right"/>
              <w:textAlignment w:val="auto"/>
              <w:rPr>
                <w:rFonts w:eastAsia="Times New Roman" w:cs="Times New Roman"/>
              </w:rPr>
            </w:pPr>
            <w:r>
              <w:rPr>
                <w:rFonts w:eastAsia="Times New Roman" w:cs="Times New Roman"/>
                <w:b/>
                <w:bCs/>
              </w:rPr>
              <w:t>17,9</w:t>
            </w:r>
          </w:p>
        </w:tc>
      </w:tr>
    </w:tbl>
    <w:p w:rsidRPr="0078008E" w:rsidR="0078008E" w:rsidP="0078008E" w:rsidRDefault="0078008E" w14:paraId="2D026075" w14:textId="77777777">
      <w:pPr>
        <w:spacing w:line="276" w:lineRule="auto"/>
        <w:rPr>
          <w:i/>
          <w:iCs/>
        </w:rPr>
      </w:pPr>
    </w:p>
    <w:p w:rsidRPr="003C337C" w:rsidR="00E66B68" w:rsidP="008E2C2A" w:rsidRDefault="00E66B68" w14:paraId="6532397A" w14:textId="46661942">
      <w:pPr>
        <w:pStyle w:val="NoSpacing"/>
        <w:spacing w:line="276" w:lineRule="auto"/>
        <w:rPr>
          <w:rFonts w:ascii="Verdana" w:hAnsi="Verdana"/>
          <w:sz w:val="18"/>
          <w:szCs w:val="18"/>
        </w:rPr>
      </w:pPr>
      <w:r w:rsidRPr="003C337C">
        <w:rPr>
          <w:rFonts w:ascii="Verdana" w:hAnsi="Verdana"/>
          <w:sz w:val="18"/>
          <w:szCs w:val="18"/>
        </w:rPr>
        <w:t xml:space="preserve">Deze bijdragen worden ingezet voor </w:t>
      </w:r>
      <w:r w:rsidRPr="003C337C" w:rsidR="00FA2074">
        <w:rPr>
          <w:rFonts w:ascii="Verdana" w:hAnsi="Verdana"/>
          <w:sz w:val="18"/>
          <w:szCs w:val="18"/>
        </w:rPr>
        <w:t xml:space="preserve">het veiliger en nog effectiever maken van </w:t>
      </w:r>
      <w:r w:rsidRPr="003C337C">
        <w:rPr>
          <w:rFonts w:ascii="Verdana" w:hAnsi="Verdana"/>
          <w:sz w:val="18"/>
          <w:szCs w:val="18"/>
        </w:rPr>
        <w:t xml:space="preserve">humanitaire </w:t>
      </w:r>
      <w:r w:rsidRPr="003C337C" w:rsidR="00FA2074">
        <w:rPr>
          <w:rFonts w:ascii="Verdana" w:hAnsi="Verdana"/>
          <w:sz w:val="18"/>
          <w:szCs w:val="18"/>
        </w:rPr>
        <w:t>hulp,</w:t>
      </w:r>
      <w:r w:rsidRPr="003C337C">
        <w:rPr>
          <w:rFonts w:ascii="Verdana" w:hAnsi="Verdana"/>
          <w:sz w:val="18"/>
          <w:szCs w:val="18"/>
        </w:rPr>
        <w:t xml:space="preserve"> zoals lokaal geleide hulp, de bescherming van hulpverleners en anticiperende hulp in conflictgebieden. Een voorbeeld is</w:t>
      </w:r>
      <w:r w:rsidRPr="003C337C" w:rsidR="001B3D41">
        <w:rPr>
          <w:rFonts w:ascii="Verdana" w:hAnsi="Verdana"/>
          <w:sz w:val="18"/>
          <w:szCs w:val="18"/>
        </w:rPr>
        <w:t xml:space="preserve"> de bijdrage aan</w:t>
      </w:r>
      <w:r w:rsidRPr="003C337C">
        <w:rPr>
          <w:rFonts w:ascii="Verdana" w:hAnsi="Verdana"/>
          <w:sz w:val="18"/>
          <w:szCs w:val="18"/>
        </w:rPr>
        <w:t xml:space="preserve"> de </w:t>
      </w:r>
      <w:r w:rsidRPr="003C337C">
        <w:rPr>
          <w:rFonts w:ascii="Verdana" w:hAnsi="Verdana"/>
          <w:i/>
          <w:iCs/>
          <w:sz w:val="18"/>
          <w:szCs w:val="18"/>
        </w:rPr>
        <w:t xml:space="preserve">International NGO-Safety </w:t>
      </w:r>
      <w:proofErr w:type="spellStart"/>
      <w:r w:rsidRPr="003C337C">
        <w:rPr>
          <w:rFonts w:ascii="Verdana" w:hAnsi="Verdana"/>
          <w:i/>
          <w:iCs/>
          <w:sz w:val="18"/>
          <w:szCs w:val="18"/>
        </w:rPr>
        <w:t>Organisation</w:t>
      </w:r>
      <w:proofErr w:type="spellEnd"/>
      <w:r w:rsidRPr="003C337C" w:rsidR="00CD6F8C">
        <w:rPr>
          <w:rFonts w:ascii="Verdana" w:hAnsi="Verdana"/>
          <w:sz w:val="18"/>
          <w:szCs w:val="18"/>
        </w:rPr>
        <w:t>, die</w:t>
      </w:r>
      <w:r w:rsidRPr="003C337C">
        <w:rPr>
          <w:rFonts w:ascii="Verdana" w:hAnsi="Verdana"/>
          <w:sz w:val="18"/>
          <w:szCs w:val="18"/>
        </w:rPr>
        <w:t xml:space="preserve"> veiligheidstrainingen </w:t>
      </w:r>
      <w:r w:rsidRPr="003C337C" w:rsidR="00CD6F8C">
        <w:rPr>
          <w:rFonts w:ascii="Verdana" w:hAnsi="Verdana"/>
          <w:sz w:val="18"/>
          <w:szCs w:val="18"/>
        </w:rPr>
        <w:t xml:space="preserve">verzorgt </w:t>
      </w:r>
      <w:r w:rsidRPr="003C337C">
        <w:rPr>
          <w:rFonts w:ascii="Verdana" w:hAnsi="Verdana"/>
          <w:sz w:val="18"/>
          <w:szCs w:val="18"/>
        </w:rPr>
        <w:t xml:space="preserve">en </w:t>
      </w:r>
      <w:r w:rsidRPr="003C337C" w:rsidR="00E75092">
        <w:rPr>
          <w:rFonts w:ascii="Verdana" w:hAnsi="Verdana"/>
          <w:sz w:val="18"/>
          <w:szCs w:val="18"/>
        </w:rPr>
        <w:t>wereldwijd actuele informatie verzamelt en deelt</w:t>
      </w:r>
      <w:r w:rsidRPr="003C337C" w:rsidR="003A7771">
        <w:rPr>
          <w:rFonts w:ascii="Verdana" w:hAnsi="Verdana"/>
          <w:sz w:val="18"/>
          <w:szCs w:val="18"/>
        </w:rPr>
        <w:t xml:space="preserve"> ter</w:t>
      </w:r>
      <w:r w:rsidRPr="003C337C" w:rsidR="007312BF">
        <w:rPr>
          <w:rFonts w:ascii="Verdana" w:hAnsi="Verdana"/>
          <w:sz w:val="18"/>
          <w:szCs w:val="18"/>
        </w:rPr>
        <w:t xml:space="preserve"> </w:t>
      </w:r>
      <w:r w:rsidRPr="003C337C" w:rsidR="003A7771">
        <w:rPr>
          <w:rFonts w:ascii="Verdana" w:hAnsi="Verdana"/>
          <w:sz w:val="18"/>
          <w:szCs w:val="18"/>
        </w:rPr>
        <w:t xml:space="preserve">bescherming </w:t>
      </w:r>
      <w:r w:rsidRPr="003C337C" w:rsidR="00E64A61">
        <w:rPr>
          <w:rFonts w:ascii="Verdana" w:hAnsi="Verdana"/>
          <w:sz w:val="18"/>
          <w:szCs w:val="18"/>
        </w:rPr>
        <w:t>van hulpverleners</w:t>
      </w:r>
      <w:r w:rsidRPr="003C337C" w:rsidR="00E75092">
        <w:rPr>
          <w:rFonts w:ascii="Verdana" w:hAnsi="Verdana"/>
          <w:sz w:val="18"/>
          <w:szCs w:val="18"/>
        </w:rPr>
        <w:t xml:space="preserve">. </w:t>
      </w:r>
      <w:r w:rsidRPr="003C337C">
        <w:rPr>
          <w:rFonts w:ascii="Verdana" w:hAnsi="Verdana"/>
          <w:sz w:val="18"/>
          <w:szCs w:val="18"/>
        </w:rPr>
        <w:t xml:space="preserve">Daarnaast ondersteunt Nederland partners die zich richten op geestelijke en psychosociale </w:t>
      </w:r>
      <w:r w:rsidRPr="003C337C" w:rsidR="00926101">
        <w:rPr>
          <w:rFonts w:ascii="Verdana" w:hAnsi="Verdana"/>
          <w:sz w:val="18"/>
          <w:szCs w:val="18"/>
        </w:rPr>
        <w:t>hulp</w:t>
      </w:r>
      <w:r w:rsidRPr="003C337C">
        <w:rPr>
          <w:rFonts w:ascii="Verdana" w:hAnsi="Verdana"/>
          <w:sz w:val="18"/>
          <w:szCs w:val="18"/>
        </w:rPr>
        <w:t xml:space="preserve"> en expertise op het gebied van water-gerelateerde rampen, waar Nederland </w:t>
      </w:r>
      <w:r w:rsidRPr="003C337C" w:rsidR="005A18B7">
        <w:rPr>
          <w:rFonts w:ascii="Verdana" w:hAnsi="Verdana"/>
          <w:sz w:val="18"/>
          <w:szCs w:val="18"/>
        </w:rPr>
        <w:t>goed in is</w:t>
      </w:r>
      <w:r w:rsidRPr="003C337C">
        <w:rPr>
          <w:rFonts w:ascii="Verdana" w:hAnsi="Verdana"/>
          <w:sz w:val="18"/>
          <w:szCs w:val="18"/>
        </w:rPr>
        <w:t>. Tot slot is er</w:t>
      </w:r>
      <w:r w:rsidRPr="003C337C" w:rsidDel="00E75092">
        <w:rPr>
          <w:rFonts w:ascii="Verdana" w:hAnsi="Verdana"/>
          <w:sz w:val="18"/>
          <w:szCs w:val="18"/>
        </w:rPr>
        <w:t xml:space="preserve"> </w:t>
      </w:r>
      <w:r w:rsidRPr="003C337C">
        <w:rPr>
          <w:rFonts w:ascii="Verdana" w:hAnsi="Verdana"/>
          <w:sz w:val="18"/>
          <w:szCs w:val="18"/>
        </w:rPr>
        <w:t xml:space="preserve">budget voor </w:t>
      </w:r>
      <w:r w:rsidRPr="003C337C" w:rsidR="005A18B7">
        <w:rPr>
          <w:rFonts w:ascii="Verdana" w:hAnsi="Verdana"/>
          <w:sz w:val="18"/>
          <w:szCs w:val="18"/>
        </w:rPr>
        <w:t>trainingen, kennis</w:t>
      </w:r>
      <w:r w:rsidRPr="003C337C">
        <w:rPr>
          <w:rFonts w:ascii="Verdana" w:hAnsi="Verdana"/>
          <w:sz w:val="18"/>
          <w:szCs w:val="18"/>
        </w:rPr>
        <w:t xml:space="preserve">uitwisseling en </w:t>
      </w:r>
      <w:r w:rsidRPr="003C337C" w:rsidR="005A18B7">
        <w:rPr>
          <w:rFonts w:ascii="Verdana" w:hAnsi="Verdana"/>
          <w:sz w:val="18"/>
          <w:szCs w:val="18"/>
        </w:rPr>
        <w:t xml:space="preserve">daarmee </w:t>
      </w:r>
      <w:r w:rsidRPr="003C337C">
        <w:rPr>
          <w:rFonts w:ascii="Verdana" w:hAnsi="Verdana"/>
          <w:sz w:val="18"/>
          <w:szCs w:val="18"/>
        </w:rPr>
        <w:t xml:space="preserve">het versterken van </w:t>
      </w:r>
      <w:r w:rsidRPr="003C337C" w:rsidR="005A18B7">
        <w:rPr>
          <w:rFonts w:ascii="Verdana" w:hAnsi="Verdana"/>
          <w:sz w:val="18"/>
          <w:szCs w:val="18"/>
        </w:rPr>
        <w:t xml:space="preserve">de benodigde </w:t>
      </w:r>
      <w:r w:rsidRPr="003C337C" w:rsidR="00E75092">
        <w:rPr>
          <w:rFonts w:ascii="Verdana" w:hAnsi="Verdana"/>
          <w:sz w:val="18"/>
          <w:szCs w:val="18"/>
        </w:rPr>
        <w:t>diplomatie</w:t>
      </w:r>
      <w:r w:rsidRPr="003C337C" w:rsidR="005A18B7">
        <w:rPr>
          <w:rFonts w:ascii="Verdana" w:hAnsi="Verdana"/>
          <w:sz w:val="18"/>
          <w:szCs w:val="18"/>
        </w:rPr>
        <w:t xml:space="preserve">ke inzet om </w:t>
      </w:r>
      <w:r w:rsidR="00C62F25">
        <w:rPr>
          <w:rFonts w:ascii="Verdana" w:hAnsi="Verdana"/>
          <w:sz w:val="18"/>
          <w:szCs w:val="18"/>
        </w:rPr>
        <w:t>bijvoorbeeld</w:t>
      </w:r>
      <w:r w:rsidRPr="003C337C" w:rsidR="00C62F25">
        <w:rPr>
          <w:rFonts w:ascii="Verdana" w:hAnsi="Verdana"/>
          <w:sz w:val="18"/>
          <w:szCs w:val="18"/>
        </w:rPr>
        <w:t xml:space="preserve"> </w:t>
      </w:r>
      <w:r w:rsidRPr="003C337C" w:rsidR="005A18B7">
        <w:rPr>
          <w:rFonts w:ascii="Verdana" w:hAnsi="Verdana"/>
          <w:sz w:val="18"/>
          <w:szCs w:val="18"/>
        </w:rPr>
        <w:t>toegang te onderhandelen</w:t>
      </w:r>
      <w:r w:rsidRPr="003C337C" w:rsidR="00130213">
        <w:rPr>
          <w:rFonts w:ascii="Verdana" w:hAnsi="Verdana"/>
          <w:sz w:val="18"/>
          <w:szCs w:val="18"/>
        </w:rPr>
        <w:t>.</w:t>
      </w:r>
    </w:p>
    <w:tbl>
      <w:tblPr>
        <w:tblW w:w="7551" w:type="dxa"/>
        <w:tblCellMar>
          <w:left w:w="70" w:type="dxa"/>
          <w:right w:w="70" w:type="dxa"/>
        </w:tblCellMar>
        <w:tblLook w:val="04A0" w:firstRow="1" w:lastRow="0" w:firstColumn="1" w:lastColumn="0" w:noHBand="0" w:noVBand="1"/>
      </w:tblPr>
      <w:tblGrid>
        <w:gridCol w:w="10"/>
        <w:gridCol w:w="6138"/>
        <w:gridCol w:w="10"/>
        <w:gridCol w:w="1383"/>
        <w:gridCol w:w="10"/>
      </w:tblGrid>
      <w:tr w:rsidRPr="00626A41" w:rsidR="00081DE1" w:rsidTr="00081DE1" w14:paraId="4B608E38" w14:textId="77777777">
        <w:trPr>
          <w:gridAfter w:val="1"/>
          <w:wAfter w:w="10" w:type="dxa"/>
          <w:trHeight w:val="300"/>
        </w:trPr>
        <w:tc>
          <w:tcPr>
            <w:tcW w:w="6148" w:type="dxa"/>
            <w:gridSpan w:val="2"/>
            <w:vAlign w:val="center"/>
          </w:tcPr>
          <w:p w:rsidRPr="00626A41" w:rsidR="00081DE1" w:rsidP="00081DE1" w:rsidRDefault="00081DE1" w14:paraId="3E0448C3" w14:textId="78940130">
            <w:pPr>
              <w:spacing w:line="240" w:lineRule="auto"/>
              <w:rPr>
                <w:rFonts w:eastAsia="Times New Roman" w:cs="Times New Roman"/>
              </w:rPr>
            </w:pPr>
            <w:r>
              <w:rPr>
                <w:b/>
                <w:bCs/>
              </w:rPr>
              <w:br/>
            </w:r>
          </w:p>
        </w:tc>
        <w:tc>
          <w:tcPr>
            <w:tcW w:w="1393" w:type="dxa"/>
            <w:gridSpan w:val="2"/>
            <w:noWrap/>
            <w:vAlign w:val="bottom"/>
          </w:tcPr>
          <w:p w:rsidRPr="00626A41" w:rsidR="00081DE1" w:rsidP="004178E8" w:rsidRDefault="00081DE1" w14:paraId="45683FB3" w14:textId="76BA6BDD">
            <w:pPr>
              <w:autoSpaceDN/>
              <w:spacing w:line="276" w:lineRule="auto"/>
              <w:jc w:val="right"/>
              <w:textAlignment w:val="auto"/>
              <w:rPr>
                <w:rFonts w:eastAsia="Times New Roman" w:cs="Times New Roman"/>
                <w:b/>
                <w:bCs/>
              </w:rPr>
            </w:pPr>
          </w:p>
        </w:tc>
      </w:tr>
      <w:tr w:rsidRPr="003C337C" w:rsidR="00081DE1" w:rsidTr="00081DE1" w14:paraId="19EE7011" w14:textId="77777777">
        <w:trPr>
          <w:gridBefore w:val="1"/>
          <w:wBefore w:w="10" w:type="dxa"/>
          <w:trHeight w:val="300"/>
        </w:trPr>
        <w:tc>
          <w:tcPr>
            <w:tcW w:w="6148" w:type="dxa"/>
            <w:gridSpan w:val="2"/>
            <w:tcBorders>
              <w:top w:val="single" w:color="auto" w:sz="8" w:space="0"/>
              <w:left w:val="single" w:color="auto" w:sz="8" w:space="0"/>
              <w:bottom w:val="single" w:color="auto" w:sz="8" w:space="0"/>
              <w:right w:val="nil"/>
            </w:tcBorders>
            <w:shd w:val="clear" w:color="auto" w:fill="D9D9D9" w:themeFill="background1" w:themeFillShade="D9"/>
            <w:vAlign w:val="center"/>
          </w:tcPr>
          <w:p w:rsidRPr="00081DE1" w:rsidR="00081DE1" w:rsidP="00081DE1" w:rsidRDefault="00081DE1" w14:paraId="22A89235" w14:textId="30185540">
            <w:pPr>
              <w:spacing w:line="276" w:lineRule="auto"/>
              <w:rPr>
                <w:rFonts w:eastAsia="Times New Roman" w:cstheme="minorHAnsi"/>
                <w:b/>
                <w:bCs/>
                <w:i/>
              </w:rPr>
            </w:pPr>
            <w:r>
              <w:rPr>
                <w:b/>
                <w:bCs/>
              </w:rPr>
              <w:t xml:space="preserve">Nederlandse Humanitaire hulp aan Oekraïne </w:t>
            </w:r>
          </w:p>
        </w:tc>
        <w:tc>
          <w:tcPr>
            <w:tcW w:w="1393"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3C337C" w:rsidR="00081DE1" w:rsidP="004178E8" w:rsidRDefault="00081DE1" w14:paraId="37FDAD4F" w14:textId="77777777">
            <w:pPr>
              <w:autoSpaceDN/>
              <w:spacing w:line="276" w:lineRule="auto"/>
              <w:jc w:val="center"/>
              <w:textAlignment w:val="auto"/>
              <w:rPr>
                <w:rFonts w:eastAsia="Times New Roman" w:cs="Times New Roman"/>
                <w:b/>
                <w:bCs/>
              </w:rPr>
            </w:pPr>
            <w:r w:rsidRPr="003C337C">
              <w:rPr>
                <w:rFonts w:eastAsia="Times New Roman" w:cs="Times New Roman"/>
                <w:b/>
                <w:bCs/>
              </w:rPr>
              <w:t>EUR mln.</w:t>
            </w:r>
          </w:p>
        </w:tc>
      </w:tr>
      <w:tr w:rsidRPr="003C337C" w:rsidR="00081DE1" w:rsidTr="00081DE1" w14:paraId="26AD366F" w14:textId="77777777">
        <w:trPr>
          <w:gridBefore w:val="1"/>
          <w:wBefore w:w="10" w:type="dxa"/>
          <w:trHeight w:val="232"/>
        </w:trPr>
        <w:tc>
          <w:tcPr>
            <w:tcW w:w="6148" w:type="dxa"/>
            <w:gridSpan w:val="2"/>
            <w:tcBorders>
              <w:top w:val="nil"/>
              <w:left w:val="single" w:color="auto" w:sz="8" w:space="0"/>
              <w:bottom w:val="single" w:color="auto" w:sz="8" w:space="0"/>
              <w:right w:val="nil"/>
            </w:tcBorders>
          </w:tcPr>
          <w:p w:rsidRPr="0078008E" w:rsidR="00081DE1" w:rsidP="00081DE1" w:rsidRDefault="00081DE1" w14:paraId="6B4DF0C6" w14:textId="5FFDA47A">
            <w:pPr>
              <w:autoSpaceDN/>
              <w:spacing w:line="276" w:lineRule="auto"/>
              <w:textAlignment w:val="auto"/>
              <w:rPr>
                <w:rFonts w:eastAsia="Times New Roman" w:cs="Times New Roman"/>
              </w:rPr>
            </w:pPr>
            <w:r w:rsidRPr="001C7902">
              <w:rPr>
                <w:rFonts w:eastAsia="Times New Roman" w:cs="Times New Roman"/>
              </w:rPr>
              <w:t>Humanitair landenfonds van de VN</w:t>
            </w:r>
          </w:p>
        </w:tc>
        <w:tc>
          <w:tcPr>
            <w:tcW w:w="1393" w:type="dxa"/>
            <w:gridSpan w:val="2"/>
            <w:tcBorders>
              <w:top w:val="nil"/>
              <w:left w:val="single" w:color="auto" w:sz="4" w:space="0"/>
              <w:bottom w:val="single" w:color="auto" w:sz="4" w:space="0"/>
              <w:right w:val="single" w:color="auto" w:sz="4" w:space="0"/>
            </w:tcBorders>
            <w:noWrap/>
            <w:hideMark/>
          </w:tcPr>
          <w:p w:rsidRPr="003C337C" w:rsidR="00081DE1" w:rsidP="00081DE1" w:rsidRDefault="00081DE1" w14:paraId="281AC967" w14:textId="3F3DC4BE">
            <w:pPr>
              <w:autoSpaceDN/>
              <w:spacing w:line="276" w:lineRule="auto"/>
              <w:jc w:val="right"/>
              <w:textAlignment w:val="auto"/>
              <w:rPr>
                <w:rFonts w:eastAsia="Times New Roman" w:cs="Times New Roman"/>
              </w:rPr>
            </w:pPr>
            <w:r w:rsidRPr="00BA2867">
              <w:rPr>
                <w:rFonts w:eastAsia="Times New Roman" w:cs="Times New Roman"/>
              </w:rPr>
              <w:t>9</w:t>
            </w:r>
          </w:p>
        </w:tc>
      </w:tr>
      <w:tr w:rsidRPr="003C337C" w:rsidR="00081DE1" w:rsidTr="00081DE1" w14:paraId="7C4DB268" w14:textId="77777777">
        <w:trPr>
          <w:gridBefore w:val="1"/>
          <w:wBefore w:w="10" w:type="dxa"/>
          <w:trHeight w:val="300"/>
        </w:trPr>
        <w:tc>
          <w:tcPr>
            <w:tcW w:w="6148" w:type="dxa"/>
            <w:gridSpan w:val="2"/>
            <w:tcBorders>
              <w:top w:val="nil"/>
              <w:left w:val="single" w:color="auto" w:sz="8" w:space="0"/>
              <w:bottom w:val="single" w:color="auto" w:sz="8" w:space="0"/>
              <w:right w:val="nil"/>
            </w:tcBorders>
          </w:tcPr>
          <w:p w:rsidRPr="001F571C" w:rsidR="00081DE1" w:rsidP="00081DE1" w:rsidRDefault="00081DE1" w14:paraId="5E0DF4C6" w14:textId="209BD688">
            <w:pPr>
              <w:pStyle w:val="ListParagraph"/>
              <w:ind w:left="0"/>
              <w:rPr>
                <w:lang w:val="en-US"/>
              </w:rPr>
            </w:pPr>
            <w:r w:rsidRPr="001F571C">
              <w:rPr>
                <w:rFonts w:eastAsia="Times New Roman" w:cs="Times New Roman"/>
                <w:lang w:val="en-US"/>
              </w:rPr>
              <w:t>International Committee of the Red Cross (ICRC)</w:t>
            </w:r>
          </w:p>
        </w:tc>
        <w:tc>
          <w:tcPr>
            <w:tcW w:w="1393" w:type="dxa"/>
            <w:gridSpan w:val="2"/>
            <w:tcBorders>
              <w:top w:val="nil"/>
              <w:left w:val="single" w:color="auto" w:sz="4" w:space="0"/>
              <w:bottom w:val="single" w:color="auto" w:sz="4" w:space="0"/>
              <w:right w:val="single" w:color="auto" w:sz="4" w:space="0"/>
            </w:tcBorders>
            <w:noWrap/>
            <w:hideMark/>
          </w:tcPr>
          <w:p w:rsidRPr="003C337C" w:rsidR="00081DE1" w:rsidP="00081DE1" w:rsidRDefault="00081DE1" w14:paraId="58742F76" w14:textId="169B7476">
            <w:pPr>
              <w:autoSpaceDN/>
              <w:spacing w:line="276" w:lineRule="auto"/>
              <w:jc w:val="right"/>
              <w:textAlignment w:val="auto"/>
              <w:rPr>
                <w:rFonts w:eastAsia="Times New Roman" w:cs="Times New Roman"/>
              </w:rPr>
            </w:pPr>
            <w:r w:rsidRPr="00BA2867">
              <w:rPr>
                <w:rFonts w:eastAsia="Times New Roman" w:cs="Times New Roman"/>
              </w:rPr>
              <w:t>6</w:t>
            </w:r>
          </w:p>
        </w:tc>
      </w:tr>
      <w:tr w:rsidRPr="003C337C" w:rsidR="00081DE1" w:rsidTr="00081DE1" w14:paraId="78714165" w14:textId="77777777">
        <w:trPr>
          <w:gridBefore w:val="1"/>
          <w:wBefore w:w="10" w:type="dxa"/>
          <w:trHeight w:val="300"/>
        </w:trPr>
        <w:tc>
          <w:tcPr>
            <w:tcW w:w="6148" w:type="dxa"/>
            <w:gridSpan w:val="2"/>
            <w:tcBorders>
              <w:top w:val="nil"/>
              <w:left w:val="single" w:color="auto" w:sz="8" w:space="0"/>
              <w:bottom w:val="single" w:color="auto" w:sz="8" w:space="0"/>
              <w:right w:val="nil"/>
            </w:tcBorders>
          </w:tcPr>
          <w:p w:rsidRPr="00B24EA6" w:rsidR="00081DE1" w:rsidP="00081DE1" w:rsidRDefault="00081DE1" w14:paraId="751971E2" w14:textId="1581DCB3">
            <w:pPr>
              <w:pStyle w:val="ListParagraph"/>
              <w:ind w:left="0"/>
            </w:pPr>
            <w:r w:rsidRPr="001C7902">
              <w:rPr>
                <w:rFonts w:eastAsia="Times New Roman" w:cs="Times New Roman"/>
              </w:rPr>
              <w:t xml:space="preserve">World Health </w:t>
            </w:r>
            <w:proofErr w:type="spellStart"/>
            <w:r w:rsidRPr="001C7902">
              <w:rPr>
                <w:rFonts w:eastAsia="Times New Roman" w:cs="Times New Roman"/>
              </w:rPr>
              <w:t>Organisation</w:t>
            </w:r>
            <w:proofErr w:type="spellEnd"/>
            <w:r w:rsidRPr="001C7902">
              <w:rPr>
                <w:rFonts w:eastAsia="Times New Roman" w:cs="Times New Roman"/>
              </w:rPr>
              <w:t xml:space="preserve"> (WHO)</w:t>
            </w:r>
          </w:p>
        </w:tc>
        <w:tc>
          <w:tcPr>
            <w:tcW w:w="1393" w:type="dxa"/>
            <w:gridSpan w:val="2"/>
            <w:tcBorders>
              <w:top w:val="nil"/>
              <w:left w:val="single" w:color="auto" w:sz="4" w:space="0"/>
              <w:bottom w:val="single" w:color="auto" w:sz="4" w:space="0"/>
              <w:right w:val="single" w:color="auto" w:sz="4" w:space="0"/>
            </w:tcBorders>
            <w:noWrap/>
          </w:tcPr>
          <w:p w:rsidRPr="003C337C" w:rsidR="00081DE1" w:rsidP="00081DE1" w:rsidRDefault="00081DE1" w14:paraId="6C32EB14" w14:textId="64CFA06B">
            <w:pPr>
              <w:autoSpaceDN/>
              <w:spacing w:line="276" w:lineRule="auto"/>
              <w:jc w:val="right"/>
              <w:textAlignment w:val="auto"/>
              <w:rPr>
                <w:rFonts w:eastAsia="Times New Roman" w:cs="Times New Roman"/>
              </w:rPr>
            </w:pPr>
            <w:r w:rsidRPr="00BA2867">
              <w:rPr>
                <w:rFonts w:eastAsia="Times New Roman" w:cs="Times New Roman"/>
              </w:rPr>
              <w:t>3</w:t>
            </w:r>
          </w:p>
        </w:tc>
      </w:tr>
      <w:tr w:rsidRPr="003C337C" w:rsidR="00081DE1" w:rsidTr="00081DE1" w14:paraId="1EDB7B72" w14:textId="77777777">
        <w:trPr>
          <w:gridBefore w:val="1"/>
          <w:wBefore w:w="10" w:type="dxa"/>
          <w:trHeight w:val="300"/>
        </w:trPr>
        <w:tc>
          <w:tcPr>
            <w:tcW w:w="6148" w:type="dxa"/>
            <w:gridSpan w:val="2"/>
            <w:tcBorders>
              <w:top w:val="nil"/>
              <w:left w:val="single" w:color="auto" w:sz="8" w:space="0"/>
              <w:bottom w:val="single" w:color="auto" w:sz="8" w:space="0"/>
              <w:right w:val="nil"/>
            </w:tcBorders>
            <w:vAlign w:val="center"/>
          </w:tcPr>
          <w:p w:rsidRPr="00EA50B7" w:rsidR="00081DE1" w:rsidP="004178E8" w:rsidRDefault="00081DE1" w14:paraId="4BC2393D" w14:textId="77777777">
            <w:pPr>
              <w:autoSpaceDN/>
              <w:spacing w:line="276" w:lineRule="auto"/>
              <w:textAlignment w:val="auto"/>
              <w:rPr>
                <w:rFonts w:eastAsia="Times New Roman" w:cs="Times New Roman"/>
              </w:rPr>
            </w:pPr>
            <w:proofErr w:type="spellStart"/>
            <w:r>
              <w:rPr>
                <w:rFonts w:eastAsia="Times New Roman" w:cs="Times New Roman"/>
                <w:b/>
                <w:bCs/>
                <w:lang w:val="en-US"/>
              </w:rPr>
              <w:t>Totaal</w:t>
            </w:r>
            <w:proofErr w:type="spellEnd"/>
          </w:p>
        </w:tc>
        <w:tc>
          <w:tcPr>
            <w:tcW w:w="1393" w:type="dxa"/>
            <w:gridSpan w:val="2"/>
            <w:tcBorders>
              <w:top w:val="nil"/>
              <w:left w:val="single" w:color="auto" w:sz="4" w:space="0"/>
              <w:bottom w:val="single" w:color="auto" w:sz="4" w:space="0"/>
              <w:right w:val="single" w:color="auto" w:sz="4" w:space="0"/>
            </w:tcBorders>
            <w:noWrap/>
            <w:vAlign w:val="bottom"/>
          </w:tcPr>
          <w:p w:rsidRPr="003C337C" w:rsidR="00081DE1" w:rsidP="004178E8" w:rsidRDefault="00081DE1" w14:paraId="751AC3EE" w14:textId="4574A1E2">
            <w:pPr>
              <w:autoSpaceDN/>
              <w:spacing w:line="276" w:lineRule="auto"/>
              <w:jc w:val="right"/>
              <w:textAlignment w:val="auto"/>
              <w:rPr>
                <w:rFonts w:eastAsia="Times New Roman" w:cs="Times New Roman"/>
              </w:rPr>
            </w:pPr>
            <w:r>
              <w:rPr>
                <w:rFonts w:eastAsia="Times New Roman" w:cs="Times New Roman"/>
                <w:b/>
                <w:bCs/>
              </w:rPr>
              <w:t>18</w:t>
            </w:r>
          </w:p>
        </w:tc>
      </w:tr>
    </w:tbl>
    <w:p w:rsidR="00081DE1" w:rsidP="00AE1DE9" w:rsidRDefault="00081DE1" w14:paraId="7BFFEE25" w14:textId="77777777">
      <w:pPr>
        <w:pStyle w:val="NoSpacing"/>
        <w:spacing w:line="276" w:lineRule="auto"/>
        <w:rPr>
          <w:rFonts w:ascii="Verdana" w:hAnsi="Verdana"/>
          <w:sz w:val="18"/>
          <w:szCs w:val="18"/>
        </w:rPr>
      </w:pPr>
    </w:p>
    <w:p w:rsidRPr="00532666" w:rsidR="00AE1DE9" w:rsidP="00AE1DE9" w:rsidRDefault="000F1C6E" w14:paraId="30FA7589" w14:textId="0D006650">
      <w:pPr>
        <w:pStyle w:val="NoSpacing"/>
        <w:spacing w:line="276" w:lineRule="auto"/>
        <w:rPr>
          <w:rFonts w:ascii="Verdana" w:hAnsi="Verdana"/>
          <w:sz w:val="18"/>
          <w:szCs w:val="18"/>
        </w:rPr>
      </w:pPr>
      <w:r w:rsidRPr="000F1C6E">
        <w:rPr>
          <w:rFonts w:ascii="Verdana" w:hAnsi="Verdana"/>
          <w:sz w:val="18"/>
          <w:szCs w:val="18"/>
        </w:rPr>
        <w:t xml:space="preserve">Naast de middelen die via de vier bovenstaande kanalen uit artikel 4.1 van de BHO begroting worden ingezet, stelt Nederland voor Oekraïne extra middelen beschikbaar voor het lenigen van humanitaire noden, zoals aan uw Kamer gemeld in brief 36 045, nr. 239 d.d. 3 oktober 2025, Deze steun komt niet uit artikel 4.1., maar maakt onderdeel uit van het Nederlandse generaal gefinancierde pakket aan </w:t>
      </w:r>
      <w:r w:rsidRPr="000F1C6E">
        <w:rPr>
          <w:rFonts w:ascii="Verdana" w:hAnsi="Verdana"/>
          <w:sz w:val="18"/>
          <w:szCs w:val="18"/>
        </w:rPr>
        <w:lastRenderedPageBreak/>
        <w:t>niet-militaire steun voor Oekraïne in 2026 en is in de Memorie van Toelichting bij de Rijksbegroting van 2026 in brief 36 000 V, nr. 2 terug te vinden onder artikel 5.3. Deze middelen worden verdeeld tussen het humanitair landenfonds van de VN en het ICRC. Daarnaast wordt EUR 3 miljoen beschikbaar gesteld aan de Wereldgezondheidsorganisatie voor geestelijke en psychosociale steun</w:t>
      </w:r>
      <w:r>
        <w:rPr>
          <w:rFonts w:ascii="Verdana" w:hAnsi="Verdana"/>
          <w:sz w:val="18"/>
          <w:szCs w:val="18"/>
        </w:rPr>
        <w:t>.</w:t>
      </w:r>
    </w:p>
    <w:p w:rsidRPr="007A2BB0" w:rsidR="0078008E" w:rsidP="008E2C2A" w:rsidRDefault="0078008E" w14:paraId="3C378ED0" w14:textId="77777777">
      <w:pPr>
        <w:pStyle w:val="NoSpacing"/>
        <w:spacing w:line="276" w:lineRule="auto"/>
        <w:rPr>
          <w:rFonts w:ascii="Verdana" w:hAnsi="Verdana"/>
          <w:b/>
          <w:bCs/>
          <w:sz w:val="18"/>
          <w:szCs w:val="18"/>
        </w:rPr>
      </w:pPr>
    </w:p>
    <w:p w:rsidRPr="007A2BB0" w:rsidR="007A2BB0" w:rsidP="007A2BB0" w:rsidRDefault="007A2BB0" w14:paraId="0AEC82B4" w14:textId="6DB1A1FB">
      <w:pPr>
        <w:rPr>
          <w:b/>
          <w:bCs/>
        </w:rPr>
      </w:pPr>
      <w:r w:rsidRPr="007A2BB0">
        <w:rPr>
          <w:b/>
          <w:bCs/>
        </w:rPr>
        <w:t>NGO-Monitor rapport</w:t>
      </w:r>
    </w:p>
    <w:p w:rsidRPr="00FD2529" w:rsidR="007A2BB0" w:rsidP="007A2BB0" w:rsidRDefault="007A2BB0" w14:paraId="2E5EDCE7" w14:textId="712559A9">
      <w:r w:rsidRPr="00FD2529">
        <w:t>Het kabinet komt middels deze brief ook terug op het verzoek van de vaste commissie Buitenlandse Handel en Ontwikkelingshulp van 13 maart 2025 voor een aanvullende reactie op het NGO Monitor-rapport ‘</w:t>
      </w:r>
      <w:r w:rsidRPr="00FD2529">
        <w:rPr>
          <w:i/>
          <w:iCs/>
        </w:rPr>
        <w:t xml:space="preserve">A Strategic Approach </w:t>
      </w:r>
      <w:proofErr w:type="spellStart"/>
      <w:r w:rsidRPr="00FD2529">
        <w:rPr>
          <w:i/>
          <w:iCs/>
        </w:rPr>
        <w:t>to</w:t>
      </w:r>
      <w:proofErr w:type="spellEnd"/>
      <w:r w:rsidRPr="00FD2529">
        <w:rPr>
          <w:i/>
          <w:iCs/>
        </w:rPr>
        <w:t xml:space="preserve"> </w:t>
      </w:r>
      <w:proofErr w:type="spellStart"/>
      <w:r w:rsidRPr="00FD2529">
        <w:rPr>
          <w:i/>
          <w:iCs/>
        </w:rPr>
        <w:t>Deradicalization</w:t>
      </w:r>
      <w:proofErr w:type="spellEnd"/>
      <w:r w:rsidRPr="00FD2529">
        <w:rPr>
          <w:i/>
          <w:iCs/>
        </w:rPr>
        <w:t xml:space="preserve"> of </w:t>
      </w:r>
      <w:proofErr w:type="spellStart"/>
      <w:r w:rsidRPr="00FD2529">
        <w:rPr>
          <w:i/>
          <w:iCs/>
        </w:rPr>
        <w:t>Palestinian</w:t>
      </w:r>
      <w:proofErr w:type="spellEnd"/>
      <w:r w:rsidRPr="00FD2529">
        <w:rPr>
          <w:i/>
          <w:iCs/>
        </w:rPr>
        <w:t xml:space="preserve"> Society’,</w:t>
      </w:r>
      <w:r w:rsidRPr="00FD2529">
        <w:t xml:space="preserve"> gepubliceerd in juli 2024.</w:t>
      </w:r>
      <w:r>
        <w:rPr>
          <w:rStyle w:val="FootnoteReference"/>
        </w:rPr>
        <w:footnoteReference w:id="8"/>
      </w:r>
      <w:r w:rsidRPr="00FD2529">
        <w:t xml:space="preserve"> De kabinetsreactie op dit rapport werd door de voormalig minister voor Buitenlandse handel en ontwikkelingshulp als afdoende beschouwd.</w:t>
      </w:r>
      <w:r w:rsidRPr="00FD2529">
        <w:rPr>
          <w:rStyle w:val="FootnoteReference"/>
        </w:rPr>
        <w:footnoteReference w:id="9"/>
      </w:r>
      <w:r w:rsidRPr="00FD2529">
        <w:t xml:space="preserve"> In de procedurevergadering van de vaste Kamercommissie Buitenlandse Handel en Ontwikkelingshulp van 18 december 2025 is hier nogmaals om gevraagd. </w:t>
      </w:r>
    </w:p>
    <w:p w:rsidRPr="00FD2529" w:rsidR="007A2BB0" w:rsidP="007A2BB0" w:rsidRDefault="007A2BB0" w14:paraId="084D5586" w14:textId="77777777"/>
    <w:p w:rsidRPr="00FD2529" w:rsidR="007A2BB0" w:rsidP="007A2BB0" w:rsidRDefault="007A2BB0" w14:paraId="2885F5F9" w14:textId="5628FAC1">
      <w:r w:rsidRPr="00FD2529">
        <w:t xml:space="preserve">Het kabinet deelt de mening van NGO-monitor over het belang van goede </w:t>
      </w:r>
      <w:proofErr w:type="spellStart"/>
      <w:r w:rsidRPr="00FD2529">
        <w:rPr>
          <w:i/>
          <w:iCs/>
        </w:rPr>
        <w:t>due</w:t>
      </w:r>
      <w:proofErr w:type="spellEnd"/>
      <w:r w:rsidRPr="00FD2529">
        <w:rPr>
          <w:i/>
          <w:iCs/>
        </w:rPr>
        <w:t xml:space="preserve"> </w:t>
      </w:r>
      <w:proofErr w:type="spellStart"/>
      <w:r w:rsidRPr="00FD2529">
        <w:rPr>
          <w:i/>
          <w:iCs/>
        </w:rPr>
        <w:t>dilligence</w:t>
      </w:r>
      <w:proofErr w:type="spellEnd"/>
      <w:r w:rsidRPr="00FD2529">
        <w:t>. Direct na</w:t>
      </w:r>
      <w:r>
        <w:t xml:space="preserve"> </w:t>
      </w:r>
      <w:r w:rsidRPr="00FD2529">
        <w:t>7 oktober 2023 heeft een doorlichting van de Nederlandse en EU-ontwikkelingshulp voor de</w:t>
      </w:r>
      <w:r>
        <w:t xml:space="preserve"> </w:t>
      </w:r>
      <w:r w:rsidRPr="00FD2529">
        <w:t xml:space="preserve">Palestijnse gebieden plaatsgevonden. Hieruit is gebleken dat de </w:t>
      </w:r>
      <w:proofErr w:type="spellStart"/>
      <w:r w:rsidRPr="00FD2529">
        <w:t>due</w:t>
      </w:r>
      <w:proofErr w:type="spellEnd"/>
      <w:r w:rsidRPr="00FD2529">
        <w:t xml:space="preserve"> diligence processen die ervoor</w:t>
      </w:r>
      <w:r>
        <w:t xml:space="preserve"> </w:t>
      </w:r>
      <w:r w:rsidRPr="00FD2529">
        <w:t>waken dat geld niet (in)direct ten goede komt van terroristische organisaties, op orde zijn. Ook zijn er geen signalen naar voren gekomen dat Nederlands of Europees geld terecht is gekomen bij onbedoelde bestemmingen. Ik verwijs hierbij naar beantwoording van Kamervragen over dit onderwerp</w:t>
      </w:r>
      <w:r w:rsidRPr="00FD2529">
        <w:rPr>
          <w:rStyle w:val="FootnoteReference"/>
        </w:rPr>
        <w:footnoteReference w:id="10"/>
      </w:r>
      <w:r w:rsidRPr="00FD2529">
        <w:t>.</w:t>
      </w:r>
    </w:p>
    <w:p w:rsidRPr="00FD2529" w:rsidR="007A2BB0" w:rsidP="007A2BB0" w:rsidRDefault="007A2BB0" w14:paraId="363A1F62" w14:textId="77777777"/>
    <w:p w:rsidR="007A2BB0" w:rsidP="007A2BB0" w:rsidRDefault="007A2BB0" w14:paraId="276FE2EF" w14:textId="011FE3DA">
      <w:r w:rsidRPr="00FD2529">
        <w:t>Aanvullend onderstreept het kabinet nogmaals altijd zeer serieus om te gaan met signalen over misbruik van ontwikkelingshulpgelden of aantijgingen die wijzen op banden tussen hulporganisaties en terroristische organisaties, zo ook rapporten van NGO Monitor.</w:t>
      </w:r>
      <w:r>
        <w:t xml:space="preserve"> </w:t>
      </w:r>
      <w:r w:rsidRPr="00FD2529">
        <w:t>Gezien de ernst van de beschuldiging en de mogelijke gevolgen als iemand of een organisatie beschuldigd wordt van steun aan terrorisme, hecht het kabinet in elk afzonderlijk geval groot belang aan onderbouwing van een eventuele beschuldiging, met bewijs dat inzichtelijk is voor de beschuldigde en zijn of haar advocaten, en dat getoetst wordt door een rechter. Voor Nederland zijn de terrorisme sanctielijsten van de VN en de EU leidend bij het bepalen welke organisaties als terroristisch worden beschouwd.</w:t>
      </w:r>
      <w:r w:rsidRPr="00B32CBD">
        <w:t xml:space="preserve"> </w:t>
      </w:r>
    </w:p>
    <w:p w:rsidR="00AA4326" w:rsidP="008E2C2A" w:rsidRDefault="00AA4326" w14:paraId="39D54438" w14:textId="141E1E40">
      <w:pPr>
        <w:pStyle w:val="NoSpacing"/>
        <w:spacing w:line="276" w:lineRule="auto"/>
        <w:rPr>
          <w:rFonts w:ascii="Verdana" w:hAnsi="Verdana"/>
          <w:sz w:val="18"/>
          <w:szCs w:val="18"/>
        </w:rPr>
      </w:pPr>
    </w:p>
    <w:tbl>
      <w:tblPr>
        <w:tblStyle w:val="Tabelondertekening"/>
        <w:tblW w:w="7541" w:type="dxa"/>
        <w:tblInd w:w="0" w:type="dxa"/>
        <w:tblLayout w:type="fixed"/>
        <w:tblLook w:val="07E0" w:firstRow="1" w:lastRow="1" w:firstColumn="1" w:lastColumn="1" w:noHBand="1" w:noVBand="1"/>
      </w:tblPr>
      <w:tblGrid>
        <w:gridCol w:w="3620"/>
        <w:gridCol w:w="3921"/>
      </w:tblGrid>
      <w:tr w:rsidR="00CE062A" w14:paraId="655FF55F" w14:textId="77777777">
        <w:tc>
          <w:tcPr>
            <w:tcW w:w="3620" w:type="dxa"/>
          </w:tcPr>
          <w:p w:rsidR="00CE062A" w:rsidP="008E2C2A" w:rsidRDefault="00532666" w14:paraId="655FF55D" w14:textId="53564816">
            <w:pPr>
              <w:spacing w:line="276" w:lineRule="auto"/>
            </w:pPr>
            <w:r>
              <w:br/>
            </w:r>
            <w:r w:rsidRPr="003C337C" w:rsidR="00E66B68">
              <w:t>Staatssecretaris Buitenlandse Handel en Ontwikkelingshulp</w:t>
            </w:r>
            <w:r w:rsidRPr="003C337C" w:rsidR="00B333E8">
              <w:t>,</w:t>
            </w:r>
            <w:r w:rsidRPr="003C337C" w:rsidR="00E66B68">
              <w:br/>
            </w:r>
            <w:r w:rsidRPr="003C337C" w:rsidR="00E66B68">
              <w:br/>
            </w:r>
            <w:r w:rsidRPr="003C337C" w:rsidR="00E66B68">
              <w:br/>
            </w:r>
            <w:r w:rsidRPr="003C337C" w:rsidR="00E66B68">
              <w:br/>
            </w:r>
            <w:r w:rsidRPr="003C337C" w:rsidR="00E66B68">
              <w:br/>
            </w:r>
            <w:r w:rsidRPr="003C337C" w:rsidR="00E66B68">
              <w:br/>
              <w:t>Aukje de Vries</w:t>
            </w:r>
          </w:p>
        </w:tc>
        <w:tc>
          <w:tcPr>
            <w:tcW w:w="3921" w:type="dxa"/>
          </w:tcPr>
          <w:p w:rsidR="00CE062A" w:rsidP="008E2C2A" w:rsidRDefault="00CE062A" w14:paraId="655FF55E" w14:textId="77777777">
            <w:pPr>
              <w:spacing w:line="276" w:lineRule="auto"/>
            </w:pPr>
          </w:p>
        </w:tc>
      </w:tr>
    </w:tbl>
    <w:p w:rsidR="00CE062A" w:rsidP="008E2C2A" w:rsidRDefault="00CE062A" w14:paraId="655FF560" w14:textId="77777777">
      <w:pPr>
        <w:spacing w:line="276" w:lineRule="auto"/>
      </w:pPr>
    </w:p>
    <w:sectPr w:rsidR="00CE062A" w:rsidSect="00D508F6">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2B86" w14:textId="77777777" w:rsidR="005B67FF" w:rsidRDefault="005B67FF">
      <w:pPr>
        <w:spacing w:line="240" w:lineRule="auto"/>
      </w:pPr>
      <w:r>
        <w:separator/>
      </w:r>
    </w:p>
  </w:endnote>
  <w:endnote w:type="continuationSeparator" w:id="0">
    <w:p w14:paraId="5B5EAB47" w14:textId="77777777" w:rsidR="005B67FF" w:rsidRDefault="005B67FF">
      <w:pPr>
        <w:spacing w:line="240" w:lineRule="auto"/>
      </w:pPr>
      <w:r>
        <w:continuationSeparator/>
      </w:r>
    </w:p>
  </w:endnote>
  <w:endnote w:type="continuationNotice" w:id="1">
    <w:p w14:paraId="29441CB1" w14:textId="77777777" w:rsidR="005B67FF" w:rsidRDefault="005B67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3315" w14:textId="77777777" w:rsidR="000E71AA" w:rsidRDefault="000E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347441"/>
      <w:docPartObj>
        <w:docPartGallery w:val="Page Numbers (Bottom of Page)"/>
        <w:docPartUnique/>
      </w:docPartObj>
    </w:sdtPr>
    <w:sdtEndPr/>
    <w:sdtContent>
      <w:p w14:paraId="3F277B28" w14:textId="6371C005" w:rsidR="00FB0336" w:rsidRDefault="00FB0336">
        <w:pPr>
          <w:pStyle w:val="Footer"/>
          <w:jc w:val="center"/>
        </w:pPr>
        <w:r>
          <w:fldChar w:fldCharType="begin"/>
        </w:r>
        <w:r>
          <w:instrText>PAGE   \* MERGEFORMAT</w:instrText>
        </w:r>
        <w:r>
          <w:fldChar w:fldCharType="separate"/>
        </w:r>
        <w:r>
          <w:t>2</w:t>
        </w:r>
        <w:r>
          <w:fldChar w:fldCharType="end"/>
        </w:r>
      </w:p>
    </w:sdtContent>
  </w:sdt>
  <w:p w14:paraId="31B08C2C" w14:textId="77777777" w:rsidR="00FB0336" w:rsidRDefault="00FB0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476246"/>
      <w:docPartObj>
        <w:docPartGallery w:val="Page Numbers (Bottom of Page)"/>
        <w:docPartUnique/>
      </w:docPartObj>
    </w:sdtPr>
    <w:sdtEndPr/>
    <w:sdtContent>
      <w:p w14:paraId="12CEEACF" w14:textId="02E70FD8" w:rsidR="00B333E8" w:rsidRDefault="00B333E8">
        <w:pPr>
          <w:pStyle w:val="Footer"/>
          <w:jc w:val="center"/>
        </w:pPr>
        <w:r>
          <w:fldChar w:fldCharType="begin"/>
        </w:r>
        <w:r>
          <w:instrText>PAGE   \* MERGEFORMAT</w:instrText>
        </w:r>
        <w:r>
          <w:fldChar w:fldCharType="separate"/>
        </w:r>
        <w:r>
          <w:t>2</w:t>
        </w:r>
        <w:r>
          <w:fldChar w:fldCharType="end"/>
        </w:r>
      </w:p>
    </w:sdtContent>
  </w:sdt>
  <w:p w14:paraId="76721CFC" w14:textId="77777777" w:rsidR="00B333E8" w:rsidRDefault="00B33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3DEB" w14:textId="77777777" w:rsidR="005B67FF" w:rsidRDefault="005B67FF">
      <w:pPr>
        <w:spacing w:line="240" w:lineRule="auto"/>
      </w:pPr>
      <w:r>
        <w:separator/>
      </w:r>
    </w:p>
  </w:footnote>
  <w:footnote w:type="continuationSeparator" w:id="0">
    <w:p w14:paraId="02658342" w14:textId="77777777" w:rsidR="005B67FF" w:rsidRDefault="005B67FF">
      <w:pPr>
        <w:spacing w:line="240" w:lineRule="auto"/>
      </w:pPr>
      <w:r>
        <w:continuationSeparator/>
      </w:r>
    </w:p>
  </w:footnote>
  <w:footnote w:type="continuationNotice" w:id="1">
    <w:p w14:paraId="5EABF85B" w14:textId="77777777" w:rsidR="005B67FF" w:rsidRDefault="005B67FF">
      <w:pPr>
        <w:spacing w:line="240" w:lineRule="auto"/>
      </w:pPr>
    </w:p>
  </w:footnote>
  <w:footnote w:id="2">
    <w:p w14:paraId="484EB3E8" w14:textId="77777777" w:rsidR="00FF420F" w:rsidRPr="00B9073D" w:rsidRDefault="00FF420F" w:rsidP="00FF420F">
      <w:pPr>
        <w:rPr>
          <w:sz w:val="16"/>
          <w:szCs w:val="16"/>
          <w:lang w:val="es-ES"/>
        </w:rPr>
      </w:pPr>
      <w:r w:rsidRPr="00B9073D">
        <w:rPr>
          <w:rStyle w:val="FootnoteReference"/>
          <w:sz w:val="16"/>
          <w:szCs w:val="16"/>
        </w:rPr>
        <w:footnoteRef/>
      </w:r>
      <w:r w:rsidRPr="00B9073D">
        <w:rPr>
          <w:sz w:val="16"/>
          <w:szCs w:val="16"/>
          <w:lang w:val="es-ES"/>
        </w:rPr>
        <w:t xml:space="preserve"> UNOCHA GHO 2026</w:t>
      </w:r>
      <w:r>
        <w:rPr>
          <w:sz w:val="16"/>
          <w:szCs w:val="16"/>
          <w:lang w:val="es-ES"/>
        </w:rPr>
        <w:t>:</w:t>
      </w:r>
      <w:r w:rsidRPr="00B9073D">
        <w:rPr>
          <w:sz w:val="16"/>
          <w:szCs w:val="16"/>
          <w:lang w:val="es-ES"/>
        </w:rPr>
        <w:t xml:space="preserve"> https://humanitarianaction.info/document/global-humanitarian-overview-2026</w:t>
      </w:r>
    </w:p>
  </w:footnote>
  <w:footnote w:id="3">
    <w:p w14:paraId="6679283F" w14:textId="083DF055" w:rsidR="00652593" w:rsidRPr="00926101" w:rsidRDefault="00652593" w:rsidP="00652593">
      <w:pPr>
        <w:rPr>
          <w:sz w:val="16"/>
          <w:szCs w:val="16"/>
          <w:lang w:val="pt-PT"/>
        </w:rPr>
      </w:pPr>
      <w:r w:rsidRPr="00926101">
        <w:rPr>
          <w:rStyle w:val="FootnoteReference"/>
          <w:sz w:val="16"/>
          <w:szCs w:val="16"/>
        </w:rPr>
        <w:footnoteRef/>
      </w:r>
      <w:r w:rsidRPr="00926101">
        <w:rPr>
          <w:sz w:val="16"/>
          <w:szCs w:val="16"/>
          <w:lang w:val="pt-PT"/>
        </w:rPr>
        <w:t xml:space="preserve"> IASC: https://interagencystandingcommittee.org/humanitarian-reset</w:t>
      </w:r>
    </w:p>
  </w:footnote>
  <w:footnote w:id="4">
    <w:p w14:paraId="7745CA3F" w14:textId="77777777" w:rsidR="0021305E" w:rsidRPr="001F571C" w:rsidRDefault="0021305E" w:rsidP="0021305E">
      <w:pPr>
        <w:pStyle w:val="FootnoteText"/>
        <w:rPr>
          <w:lang w:val="pt-PT"/>
        </w:rPr>
      </w:pPr>
      <w:r w:rsidRPr="00B9073D">
        <w:rPr>
          <w:rStyle w:val="FootnoteReference"/>
          <w:rFonts w:ascii="Verdana" w:hAnsi="Verdana"/>
          <w:sz w:val="16"/>
          <w:szCs w:val="16"/>
        </w:rPr>
        <w:footnoteRef/>
      </w:r>
      <w:r w:rsidRPr="001F571C">
        <w:rPr>
          <w:rFonts w:ascii="Verdana" w:hAnsi="Verdana"/>
          <w:sz w:val="16"/>
          <w:szCs w:val="16"/>
          <w:lang w:val="pt-PT"/>
        </w:rPr>
        <w:t xml:space="preserve"> </w:t>
      </w:r>
      <w:proofErr w:type="spellStart"/>
      <w:r w:rsidRPr="001F571C">
        <w:rPr>
          <w:rFonts w:ascii="Verdana" w:hAnsi="Verdana"/>
          <w:sz w:val="16"/>
          <w:szCs w:val="16"/>
          <w:lang w:val="pt-PT"/>
        </w:rPr>
        <w:t>Humanitarian</w:t>
      </w:r>
      <w:proofErr w:type="spellEnd"/>
      <w:r w:rsidRPr="001F571C">
        <w:rPr>
          <w:rFonts w:ascii="Verdana" w:hAnsi="Verdana"/>
          <w:sz w:val="16"/>
          <w:szCs w:val="16"/>
          <w:lang w:val="pt-PT"/>
        </w:rPr>
        <w:t xml:space="preserve"> </w:t>
      </w:r>
      <w:proofErr w:type="spellStart"/>
      <w:r w:rsidRPr="001F571C">
        <w:rPr>
          <w:rFonts w:ascii="Verdana" w:hAnsi="Verdana"/>
          <w:sz w:val="16"/>
          <w:szCs w:val="16"/>
          <w:lang w:val="pt-PT"/>
        </w:rPr>
        <w:t>Outcomes</w:t>
      </w:r>
      <w:proofErr w:type="spellEnd"/>
      <w:r w:rsidRPr="001F571C">
        <w:rPr>
          <w:rFonts w:ascii="Verdana" w:hAnsi="Verdana"/>
          <w:sz w:val="16"/>
          <w:szCs w:val="16"/>
          <w:lang w:val="pt-PT"/>
        </w:rPr>
        <w:t>: https://www.aidworkersecurity.org/</w:t>
      </w:r>
    </w:p>
  </w:footnote>
  <w:footnote w:id="5">
    <w:p w14:paraId="09409602" w14:textId="77777777" w:rsidR="0022696C" w:rsidRPr="001F571C" w:rsidRDefault="0022696C" w:rsidP="0022696C">
      <w:pPr>
        <w:pStyle w:val="FootnoteText"/>
        <w:rPr>
          <w:rFonts w:ascii="Verdana" w:hAnsi="Verdana"/>
          <w:sz w:val="16"/>
          <w:szCs w:val="16"/>
          <w:lang w:val="pt-PT"/>
        </w:rPr>
      </w:pPr>
      <w:r w:rsidRPr="00926101">
        <w:rPr>
          <w:rStyle w:val="FootnoteReference"/>
          <w:rFonts w:ascii="Verdana" w:hAnsi="Verdana"/>
          <w:sz w:val="16"/>
          <w:szCs w:val="16"/>
        </w:rPr>
        <w:footnoteRef/>
      </w:r>
      <w:r w:rsidRPr="001F571C">
        <w:rPr>
          <w:rFonts w:ascii="Verdana" w:hAnsi="Verdana"/>
          <w:sz w:val="16"/>
          <w:szCs w:val="16"/>
          <w:lang w:val="pt-PT"/>
        </w:rPr>
        <w:t xml:space="preserve"> </w:t>
      </w:r>
      <w:proofErr w:type="spellStart"/>
      <w:r w:rsidRPr="001F571C">
        <w:rPr>
          <w:rFonts w:ascii="Verdana" w:hAnsi="Verdana"/>
          <w:sz w:val="16"/>
          <w:szCs w:val="16"/>
          <w:lang w:val="pt-PT"/>
        </w:rPr>
        <w:t>Australisch</w:t>
      </w:r>
      <w:proofErr w:type="spellEnd"/>
      <w:r w:rsidRPr="001F571C">
        <w:rPr>
          <w:rFonts w:ascii="Verdana" w:hAnsi="Verdana"/>
          <w:sz w:val="16"/>
          <w:szCs w:val="16"/>
          <w:lang w:val="pt-PT"/>
        </w:rPr>
        <w:t xml:space="preserve"> </w:t>
      </w:r>
      <w:proofErr w:type="spellStart"/>
      <w:r w:rsidRPr="001F571C">
        <w:rPr>
          <w:rFonts w:ascii="Verdana" w:hAnsi="Verdana"/>
          <w:sz w:val="16"/>
          <w:szCs w:val="16"/>
          <w:lang w:val="pt-PT"/>
        </w:rPr>
        <w:t>initiatief</w:t>
      </w:r>
      <w:proofErr w:type="spellEnd"/>
      <w:r w:rsidRPr="001F571C">
        <w:rPr>
          <w:rFonts w:ascii="Verdana" w:hAnsi="Verdana"/>
          <w:sz w:val="16"/>
          <w:szCs w:val="16"/>
          <w:lang w:val="pt-PT"/>
        </w:rPr>
        <w:t>: https://protect-humanitarian-personnel.org/about</w:t>
      </w:r>
    </w:p>
  </w:footnote>
  <w:footnote w:id="6">
    <w:p w14:paraId="0DC7937C" w14:textId="77777777" w:rsidR="0022696C" w:rsidRPr="001F571C" w:rsidRDefault="0022696C" w:rsidP="0022696C">
      <w:pPr>
        <w:pStyle w:val="FootnoteText"/>
        <w:rPr>
          <w:lang w:val="pt-PT"/>
        </w:rPr>
      </w:pPr>
      <w:r w:rsidRPr="00926101">
        <w:rPr>
          <w:rStyle w:val="FootnoteReference"/>
          <w:rFonts w:ascii="Verdana" w:hAnsi="Verdana"/>
          <w:sz w:val="16"/>
          <w:szCs w:val="16"/>
        </w:rPr>
        <w:footnoteRef/>
      </w:r>
      <w:r w:rsidRPr="001F571C">
        <w:rPr>
          <w:rFonts w:ascii="Verdana" w:hAnsi="Verdana"/>
          <w:sz w:val="16"/>
          <w:szCs w:val="16"/>
          <w:lang w:val="pt-PT"/>
        </w:rPr>
        <w:t xml:space="preserve"> Global </w:t>
      </w:r>
      <w:proofErr w:type="spellStart"/>
      <w:r w:rsidRPr="001F571C">
        <w:rPr>
          <w:rFonts w:ascii="Verdana" w:hAnsi="Verdana"/>
          <w:sz w:val="16"/>
          <w:szCs w:val="16"/>
          <w:lang w:val="pt-PT"/>
        </w:rPr>
        <w:t>Initiative</w:t>
      </w:r>
      <w:proofErr w:type="spellEnd"/>
      <w:r w:rsidRPr="001F571C">
        <w:rPr>
          <w:rFonts w:ascii="Verdana" w:hAnsi="Verdana"/>
          <w:sz w:val="16"/>
          <w:szCs w:val="16"/>
          <w:lang w:val="pt-PT"/>
        </w:rPr>
        <w:t xml:space="preserve"> ICRC: https://www.upholdhumanityinwar.org/</w:t>
      </w:r>
    </w:p>
  </w:footnote>
  <w:footnote w:id="7">
    <w:p w14:paraId="5685CB41" w14:textId="3992F2E5" w:rsidR="00343E34" w:rsidRPr="001F571C" w:rsidRDefault="00343E34" w:rsidP="00343E34">
      <w:pPr>
        <w:pStyle w:val="FootnoteText"/>
        <w:rPr>
          <w:lang w:val="pt-PT"/>
        </w:rPr>
      </w:pPr>
    </w:p>
  </w:footnote>
  <w:footnote w:id="8">
    <w:p w14:paraId="40EDA992" w14:textId="13842161" w:rsidR="007A2BB0" w:rsidRPr="007A2BB0" w:rsidRDefault="007A2BB0">
      <w:pPr>
        <w:pStyle w:val="FootnoteText"/>
        <w:rPr>
          <w:lang w:val="en-US"/>
        </w:rPr>
      </w:pPr>
      <w:r>
        <w:rPr>
          <w:rStyle w:val="FootnoteReference"/>
        </w:rPr>
        <w:footnoteRef/>
      </w:r>
      <w:r>
        <w:t xml:space="preserve"> </w:t>
      </w:r>
      <w:r w:rsidRPr="00933224">
        <w:rPr>
          <w:rFonts w:ascii="Verdana" w:hAnsi="Verdana"/>
          <w:sz w:val="16"/>
          <w:szCs w:val="16"/>
        </w:rPr>
        <w:t>23432-559/2025D11157</w:t>
      </w:r>
    </w:p>
  </w:footnote>
  <w:footnote w:id="9">
    <w:p w14:paraId="0A61A400" w14:textId="77777777" w:rsidR="007A2BB0" w:rsidRPr="007A2BB0" w:rsidRDefault="007A2BB0" w:rsidP="007A2BB0">
      <w:pPr>
        <w:pStyle w:val="FootnoteText"/>
        <w:rPr>
          <w:rFonts w:ascii="Verdana" w:hAnsi="Verdana"/>
          <w:sz w:val="16"/>
          <w:szCs w:val="16"/>
        </w:rPr>
      </w:pPr>
      <w:r w:rsidRPr="007A2BB0">
        <w:rPr>
          <w:rStyle w:val="FootnoteReference"/>
          <w:rFonts w:ascii="Verdana" w:hAnsi="Verdana"/>
          <w:sz w:val="16"/>
          <w:szCs w:val="16"/>
        </w:rPr>
        <w:footnoteRef/>
      </w:r>
      <w:r w:rsidRPr="007A2BB0">
        <w:rPr>
          <w:rFonts w:ascii="Verdana" w:hAnsi="Verdana"/>
          <w:sz w:val="16"/>
          <w:szCs w:val="16"/>
        </w:rPr>
        <w:t xml:space="preserve"> Kamerstuk 23 432, nr. 559</w:t>
      </w:r>
    </w:p>
  </w:footnote>
  <w:footnote w:id="10">
    <w:p w14:paraId="5EDD37D0" w14:textId="77777777" w:rsidR="007A2BB0" w:rsidRPr="00B32CBD" w:rsidRDefault="007A2BB0" w:rsidP="007A2BB0">
      <w:pPr>
        <w:pStyle w:val="FootnoteText"/>
        <w:rPr>
          <w:sz w:val="16"/>
          <w:szCs w:val="16"/>
        </w:rPr>
      </w:pPr>
      <w:r w:rsidRPr="007A2BB0">
        <w:rPr>
          <w:rStyle w:val="FootnoteReference"/>
          <w:rFonts w:ascii="Verdana" w:hAnsi="Verdana"/>
          <w:sz w:val="16"/>
          <w:szCs w:val="16"/>
        </w:rPr>
        <w:footnoteRef/>
      </w:r>
      <w:r w:rsidRPr="007A2BB0">
        <w:rPr>
          <w:rFonts w:ascii="Verdana" w:hAnsi="Verdana"/>
          <w:sz w:val="16"/>
          <w:szCs w:val="16"/>
        </w:rPr>
        <w:t xml:space="preserve"> Kamerstuk 2024Z09908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9084" w14:textId="77777777" w:rsidR="000E71AA" w:rsidRDefault="000E7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F561" w14:textId="77777777" w:rsidR="00CE062A" w:rsidRDefault="00E66B68">
    <w:r>
      <w:rPr>
        <w:noProof/>
      </w:rPr>
      <mc:AlternateContent>
        <mc:Choice Requires="wps">
          <w:drawing>
            <wp:anchor distT="0" distB="0" distL="0" distR="0" simplePos="0" relativeHeight="251658240" behindDoc="0" locked="1" layoutInCell="1" allowOverlap="1" wp14:anchorId="655FF565" wp14:editId="655FF566">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5FF590" w14:textId="77777777" w:rsidR="00CE062A" w:rsidRDefault="00E66B68">
                          <w:pPr>
                            <w:pStyle w:val="Referentiegegevensbold"/>
                          </w:pPr>
                          <w:r>
                            <w:t>Ministerie van Buitenlandse Zaken</w:t>
                          </w:r>
                        </w:p>
                        <w:p w14:paraId="6E4D59B3" w14:textId="77777777" w:rsidR="00E66B68" w:rsidRDefault="00E66B68" w:rsidP="00E66B68"/>
                        <w:p w14:paraId="1003D342" w14:textId="77777777" w:rsidR="00E66B68" w:rsidRPr="00E66B68" w:rsidRDefault="00E66B68" w:rsidP="00E66B68">
                          <w:pPr>
                            <w:rPr>
                              <w:b/>
                              <w:bCs/>
                              <w:sz w:val="13"/>
                              <w:szCs w:val="13"/>
                            </w:rPr>
                          </w:pPr>
                          <w:r w:rsidRPr="00E66B68">
                            <w:rPr>
                              <w:b/>
                              <w:bCs/>
                              <w:sz w:val="13"/>
                              <w:szCs w:val="13"/>
                            </w:rPr>
                            <w:t>Onze referentie</w:t>
                          </w:r>
                        </w:p>
                        <w:p w14:paraId="7D5DBC0A" w14:textId="47027C16" w:rsidR="00E66B68" w:rsidRPr="00E66B68" w:rsidRDefault="00E66B68" w:rsidP="00E66B68">
                          <w:pPr>
                            <w:rPr>
                              <w:sz w:val="13"/>
                              <w:szCs w:val="13"/>
                            </w:rPr>
                          </w:pPr>
                          <w:r w:rsidRPr="00E66B68">
                            <w:rPr>
                              <w:sz w:val="13"/>
                              <w:szCs w:val="13"/>
                            </w:rPr>
                            <w:t xml:space="preserve">BZ2523730 </w:t>
                          </w:r>
                        </w:p>
                      </w:txbxContent>
                    </wps:txbx>
                    <wps:bodyPr vert="horz" wrap="square" lIns="0" tIns="0" rIns="0" bIns="0" anchor="t" anchorCtr="0"/>
                  </wps:wsp>
                </a:graphicData>
              </a:graphic>
            </wp:anchor>
          </w:drawing>
        </mc:Choice>
        <mc:Fallback>
          <w:pict>
            <v:shapetype w14:anchorId="655FF56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55FF590" w14:textId="77777777" w:rsidR="00CE062A" w:rsidRDefault="00E66B68">
                    <w:pPr>
                      <w:pStyle w:val="Referentiegegevensbold"/>
                    </w:pPr>
                    <w:r>
                      <w:t>Ministerie van Buitenlandse Zaken</w:t>
                    </w:r>
                  </w:p>
                  <w:p w14:paraId="6E4D59B3" w14:textId="77777777" w:rsidR="00E66B68" w:rsidRDefault="00E66B68" w:rsidP="00E66B68"/>
                  <w:p w14:paraId="1003D342" w14:textId="77777777" w:rsidR="00E66B68" w:rsidRPr="00E66B68" w:rsidRDefault="00E66B68" w:rsidP="00E66B68">
                    <w:pPr>
                      <w:rPr>
                        <w:b/>
                        <w:bCs/>
                        <w:sz w:val="13"/>
                        <w:szCs w:val="13"/>
                      </w:rPr>
                    </w:pPr>
                    <w:r w:rsidRPr="00E66B68">
                      <w:rPr>
                        <w:b/>
                        <w:bCs/>
                        <w:sz w:val="13"/>
                        <w:szCs w:val="13"/>
                      </w:rPr>
                      <w:t>Onze referentie</w:t>
                    </w:r>
                  </w:p>
                  <w:p w14:paraId="7D5DBC0A" w14:textId="47027C16" w:rsidR="00E66B68" w:rsidRPr="00E66B68" w:rsidRDefault="00E66B68" w:rsidP="00E66B68">
                    <w:pPr>
                      <w:rPr>
                        <w:sz w:val="13"/>
                        <w:szCs w:val="13"/>
                      </w:rPr>
                    </w:pPr>
                    <w:r w:rsidRPr="00E66B68">
                      <w:rPr>
                        <w:sz w:val="13"/>
                        <w:szCs w:val="13"/>
                      </w:rPr>
                      <w:t xml:space="preserve">BZ2523730 </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55FF567" wp14:editId="655FF568">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55FF591" w14:textId="6841DD0F" w:rsidR="00CE062A" w:rsidRDefault="00CE062A">
                          <w:pPr>
                            <w:pStyle w:val="Rubricering"/>
                          </w:pPr>
                        </w:p>
                      </w:txbxContent>
                    </wps:txbx>
                    <wps:bodyPr vert="horz" wrap="square" lIns="0" tIns="0" rIns="0" bIns="0" anchor="t" anchorCtr="0"/>
                  </wps:wsp>
                </a:graphicData>
              </a:graphic>
            </wp:anchor>
          </w:drawing>
        </mc:Choice>
        <mc:Fallback>
          <w:pict>
            <v:shape w14:anchorId="655FF567"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55FF591" w14:textId="6841DD0F" w:rsidR="00CE062A" w:rsidRDefault="00CE062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55FF569" wp14:editId="655FF56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5FF59F" w14:textId="77777777" w:rsidR="00E66B68" w:rsidRDefault="00E66B68"/>
                      </w:txbxContent>
                    </wps:txbx>
                    <wps:bodyPr vert="horz" wrap="square" lIns="0" tIns="0" rIns="0" bIns="0" anchor="t" anchorCtr="0"/>
                  </wps:wsp>
                </a:graphicData>
              </a:graphic>
            </wp:anchor>
          </w:drawing>
        </mc:Choice>
        <mc:Fallback>
          <w:pict>
            <v:shape w14:anchorId="655FF569"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55FF59F" w14:textId="77777777" w:rsidR="00E66B68" w:rsidRDefault="00E66B6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F563" w14:textId="7C28B33E" w:rsidR="00CE062A" w:rsidRDefault="00E66B68">
    <w:pPr>
      <w:spacing w:after="7131" w:line="14" w:lineRule="exact"/>
    </w:pPr>
    <w:r>
      <w:rPr>
        <w:noProof/>
      </w:rPr>
      <mc:AlternateContent>
        <mc:Choice Requires="wps">
          <w:drawing>
            <wp:anchor distT="0" distB="0" distL="0" distR="0" simplePos="0" relativeHeight="251658243" behindDoc="0" locked="1" layoutInCell="1" allowOverlap="1" wp14:anchorId="655FF56B" wp14:editId="655FF56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55FF592" w14:textId="77777777" w:rsidR="00E66B68" w:rsidRDefault="00E66B68"/>
                      </w:txbxContent>
                    </wps:txbx>
                    <wps:bodyPr vert="horz" wrap="square" lIns="0" tIns="0" rIns="0" bIns="0" anchor="t" anchorCtr="0"/>
                  </wps:wsp>
                </a:graphicData>
              </a:graphic>
            </wp:anchor>
          </w:drawing>
        </mc:Choice>
        <mc:Fallback>
          <w:pict>
            <v:shapetype w14:anchorId="655FF56B"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55FF592" w14:textId="77777777" w:rsidR="00E66B68" w:rsidRDefault="00E66B6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55FF56D" wp14:editId="655FF56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5FF57C" w14:textId="3EEBC134" w:rsidR="00CE062A" w:rsidRDefault="00E66B68">
                          <w:r>
                            <w:t>Aan de Voorzitter van de</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55FF56D"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55FF57C" w14:textId="3EEBC134" w:rsidR="00CE062A" w:rsidRDefault="00E66B68">
                    <w:r>
                      <w:t>Aan de Voorzitter van de</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55FF56F" wp14:editId="1B62ECE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E062A" w14:paraId="655FF57F" w14:textId="77777777">
                            <w:tc>
                              <w:tcPr>
                                <w:tcW w:w="678" w:type="dxa"/>
                              </w:tcPr>
                              <w:p w14:paraId="655FF57D" w14:textId="7CBB19BD" w:rsidR="00CE062A" w:rsidRDefault="00E66B68">
                                <w:r>
                                  <w:t>Datum</w:t>
                                </w:r>
                              </w:p>
                            </w:tc>
                            <w:tc>
                              <w:tcPr>
                                <w:tcW w:w="6851" w:type="dxa"/>
                              </w:tcPr>
                              <w:p w14:paraId="655FF57E" w14:textId="5AA68C6D" w:rsidR="00CE062A" w:rsidRDefault="000E71AA">
                                <w:r>
                                  <w:t xml:space="preserve">12 </w:t>
                                </w:r>
                                <w:r w:rsidR="001F571C">
                                  <w:t>j</w:t>
                                </w:r>
                                <w:r w:rsidR="00532666">
                                  <w:t>anuari</w:t>
                                </w:r>
                                <w:r w:rsidR="00E66B68">
                                  <w:t xml:space="preserve"> 2026</w:t>
                                </w:r>
                              </w:p>
                            </w:tc>
                          </w:tr>
                          <w:tr w:rsidR="00CE062A" w14:paraId="655FF584" w14:textId="77777777">
                            <w:tc>
                              <w:tcPr>
                                <w:tcW w:w="678" w:type="dxa"/>
                              </w:tcPr>
                              <w:p w14:paraId="655FF580" w14:textId="77777777" w:rsidR="00CE062A" w:rsidRDefault="00E66B68">
                                <w:r>
                                  <w:t>Betreft</w:t>
                                </w:r>
                              </w:p>
                              <w:p w14:paraId="655FF581" w14:textId="77777777" w:rsidR="00CE062A" w:rsidRDefault="00CE062A"/>
                            </w:tc>
                            <w:tc>
                              <w:tcPr>
                                <w:tcW w:w="6851" w:type="dxa"/>
                              </w:tcPr>
                              <w:p w14:paraId="655FF582" w14:textId="7C5E9E20" w:rsidR="00CE062A" w:rsidRDefault="00E66B68">
                                <w:r>
                                  <w:t>Kamerbrief over de financiële invulling van humanitaire hulp in 2026</w:t>
                                </w:r>
                              </w:p>
                              <w:p w14:paraId="655FF583" w14:textId="77777777" w:rsidR="00CE062A" w:rsidRDefault="00CE062A"/>
                            </w:tc>
                          </w:tr>
                          <w:tr w:rsidR="00DF6B22" w14:paraId="201ECE9C" w14:textId="77777777">
                            <w:tc>
                              <w:tcPr>
                                <w:tcW w:w="678" w:type="dxa"/>
                              </w:tcPr>
                              <w:p w14:paraId="7AD9FA3C" w14:textId="58E8F490" w:rsidR="00DF6B22" w:rsidRDefault="00DF6B22">
                                <w:r>
                                  <w:t xml:space="preserve"> </w:t>
                                </w:r>
                              </w:p>
                            </w:tc>
                            <w:tc>
                              <w:tcPr>
                                <w:tcW w:w="6851" w:type="dxa"/>
                              </w:tcPr>
                              <w:p w14:paraId="1761DB17" w14:textId="77777777" w:rsidR="00DF6B22" w:rsidRDefault="00DF6B22"/>
                            </w:tc>
                          </w:tr>
                        </w:tbl>
                        <w:p w14:paraId="655FF585" w14:textId="77777777" w:rsidR="00CE062A" w:rsidRDefault="00CE062A"/>
                        <w:p w14:paraId="655FF586" w14:textId="77777777" w:rsidR="00CE062A" w:rsidRDefault="00CE062A"/>
                      </w:txbxContent>
                    </wps:txbx>
                    <wps:bodyPr vert="horz" wrap="square" lIns="0" tIns="0" rIns="0" bIns="0" anchor="t" anchorCtr="0"/>
                  </wps:wsp>
                </a:graphicData>
              </a:graphic>
              <wp14:sizeRelH relativeFrom="margin">
                <wp14:pctWidth>0</wp14:pctWidth>
              </wp14:sizeRelH>
            </wp:anchor>
          </w:drawing>
        </mc:Choice>
        <mc:Fallback>
          <w:pict>
            <v:shape w14:anchorId="655FF56F" id="41b10c7e-80a4-11ea-b356-6230a4311406" o:spid="_x0000_s1031" type="#_x0000_t202" style="position:absolute;margin-left:79.35pt;margin-top:296.5pt;width:376.45pt;height:47.95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E062A" w14:paraId="655FF57F" w14:textId="77777777">
                      <w:tc>
                        <w:tcPr>
                          <w:tcW w:w="678" w:type="dxa"/>
                        </w:tcPr>
                        <w:p w14:paraId="655FF57D" w14:textId="7CBB19BD" w:rsidR="00CE062A" w:rsidRDefault="00E66B68">
                          <w:r>
                            <w:t>Datum</w:t>
                          </w:r>
                        </w:p>
                      </w:tc>
                      <w:tc>
                        <w:tcPr>
                          <w:tcW w:w="6851" w:type="dxa"/>
                        </w:tcPr>
                        <w:p w14:paraId="655FF57E" w14:textId="5AA68C6D" w:rsidR="00CE062A" w:rsidRDefault="000E71AA">
                          <w:r>
                            <w:t xml:space="preserve">12 </w:t>
                          </w:r>
                          <w:r w:rsidR="001F571C">
                            <w:t>j</w:t>
                          </w:r>
                          <w:r w:rsidR="00532666">
                            <w:t>anuari</w:t>
                          </w:r>
                          <w:r w:rsidR="00E66B68">
                            <w:t xml:space="preserve"> 2026</w:t>
                          </w:r>
                        </w:p>
                      </w:tc>
                    </w:tr>
                    <w:tr w:rsidR="00CE062A" w14:paraId="655FF584" w14:textId="77777777">
                      <w:tc>
                        <w:tcPr>
                          <w:tcW w:w="678" w:type="dxa"/>
                        </w:tcPr>
                        <w:p w14:paraId="655FF580" w14:textId="77777777" w:rsidR="00CE062A" w:rsidRDefault="00E66B68">
                          <w:r>
                            <w:t>Betreft</w:t>
                          </w:r>
                        </w:p>
                        <w:p w14:paraId="655FF581" w14:textId="77777777" w:rsidR="00CE062A" w:rsidRDefault="00CE062A"/>
                      </w:tc>
                      <w:tc>
                        <w:tcPr>
                          <w:tcW w:w="6851" w:type="dxa"/>
                        </w:tcPr>
                        <w:p w14:paraId="655FF582" w14:textId="7C5E9E20" w:rsidR="00CE062A" w:rsidRDefault="00E66B68">
                          <w:r>
                            <w:t>Kamerbrief over de financiële invulling van humanitaire hulp in 2026</w:t>
                          </w:r>
                        </w:p>
                        <w:p w14:paraId="655FF583" w14:textId="77777777" w:rsidR="00CE062A" w:rsidRDefault="00CE062A"/>
                      </w:tc>
                    </w:tr>
                    <w:tr w:rsidR="00DF6B22" w14:paraId="201ECE9C" w14:textId="77777777">
                      <w:tc>
                        <w:tcPr>
                          <w:tcW w:w="678" w:type="dxa"/>
                        </w:tcPr>
                        <w:p w14:paraId="7AD9FA3C" w14:textId="58E8F490" w:rsidR="00DF6B22" w:rsidRDefault="00DF6B22">
                          <w:r>
                            <w:t xml:space="preserve"> </w:t>
                          </w:r>
                        </w:p>
                      </w:tc>
                      <w:tc>
                        <w:tcPr>
                          <w:tcW w:w="6851" w:type="dxa"/>
                        </w:tcPr>
                        <w:p w14:paraId="1761DB17" w14:textId="77777777" w:rsidR="00DF6B22" w:rsidRDefault="00DF6B22"/>
                      </w:tc>
                    </w:tr>
                  </w:tbl>
                  <w:p w14:paraId="655FF585" w14:textId="77777777" w:rsidR="00CE062A" w:rsidRDefault="00CE062A"/>
                  <w:p w14:paraId="655FF586" w14:textId="77777777" w:rsidR="00CE062A" w:rsidRDefault="00CE062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55FF571" wp14:editId="655FF572">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5FF587" w14:textId="77777777" w:rsidR="00CE062A" w:rsidRDefault="00E66B68">
                          <w:pPr>
                            <w:pStyle w:val="Referentiegegevensbold"/>
                          </w:pPr>
                          <w:r>
                            <w:t>Ministerie van Buitenlandse Zaken</w:t>
                          </w:r>
                        </w:p>
                        <w:p w14:paraId="3F2BA846" w14:textId="77777777" w:rsidR="00E66B68" w:rsidRPr="00E66B68" w:rsidRDefault="00E66B68" w:rsidP="00E66B68">
                          <w:pPr>
                            <w:rPr>
                              <w:sz w:val="13"/>
                              <w:szCs w:val="13"/>
                            </w:rPr>
                          </w:pPr>
                          <w:r w:rsidRPr="00E66B68">
                            <w:rPr>
                              <w:sz w:val="13"/>
                              <w:szCs w:val="13"/>
                            </w:rPr>
                            <w:t>Rijnstraat 8</w:t>
                          </w:r>
                        </w:p>
                        <w:p w14:paraId="2EAE595B" w14:textId="77777777" w:rsidR="00B333E8" w:rsidRDefault="00E66B68" w:rsidP="00E66B68">
                          <w:pPr>
                            <w:rPr>
                              <w:sz w:val="13"/>
                              <w:szCs w:val="13"/>
                            </w:rPr>
                          </w:pPr>
                          <w:r w:rsidRPr="00E66B68">
                            <w:rPr>
                              <w:sz w:val="13"/>
                              <w:szCs w:val="13"/>
                            </w:rPr>
                            <w:t xml:space="preserve">2515 XP Den Haag </w:t>
                          </w:r>
                        </w:p>
                        <w:p w14:paraId="28565BA7" w14:textId="77777777" w:rsidR="00B333E8" w:rsidRDefault="00E66B68" w:rsidP="00E66B68">
                          <w:pPr>
                            <w:rPr>
                              <w:sz w:val="13"/>
                              <w:szCs w:val="13"/>
                            </w:rPr>
                          </w:pPr>
                          <w:r w:rsidRPr="00E66B68">
                            <w:rPr>
                              <w:sz w:val="13"/>
                              <w:szCs w:val="13"/>
                            </w:rPr>
                            <w:t xml:space="preserve">Postbus 20061 </w:t>
                          </w:r>
                        </w:p>
                        <w:p w14:paraId="08E34E57" w14:textId="71A6D56B" w:rsidR="00E66B68" w:rsidRDefault="00E66B68" w:rsidP="00E66B68">
                          <w:pPr>
                            <w:rPr>
                              <w:sz w:val="13"/>
                              <w:szCs w:val="13"/>
                            </w:rPr>
                          </w:pPr>
                          <w:r w:rsidRPr="00E66B68">
                            <w:rPr>
                              <w:sz w:val="13"/>
                              <w:szCs w:val="13"/>
                            </w:rPr>
                            <w:t xml:space="preserve">Nederland </w:t>
                          </w:r>
                          <w:r w:rsidRPr="00BB0CCA">
                            <w:rPr>
                              <w:sz w:val="13"/>
                              <w:szCs w:val="13"/>
                            </w:rPr>
                            <w:t>www.minbuza.nl</w:t>
                          </w:r>
                        </w:p>
                        <w:p w14:paraId="671B44A2" w14:textId="77777777" w:rsidR="00E66B68" w:rsidRDefault="00E66B68" w:rsidP="00E66B68">
                          <w:pPr>
                            <w:rPr>
                              <w:sz w:val="13"/>
                              <w:szCs w:val="13"/>
                            </w:rPr>
                          </w:pPr>
                        </w:p>
                        <w:p w14:paraId="54E9CAA6" w14:textId="77777777" w:rsidR="00E66B68" w:rsidRPr="00E66B68" w:rsidRDefault="00E66B68" w:rsidP="00E66B68">
                          <w:pPr>
                            <w:rPr>
                              <w:b/>
                              <w:bCs/>
                              <w:sz w:val="13"/>
                              <w:szCs w:val="13"/>
                            </w:rPr>
                          </w:pPr>
                          <w:r w:rsidRPr="00E66B68">
                            <w:rPr>
                              <w:b/>
                              <w:bCs/>
                              <w:sz w:val="13"/>
                              <w:szCs w:val="13"/>
                            </w:rPr>
                            <w:t>Onze referentie</w:t>
                          </w:r>
                        </w:p>
                        <w:p w14:paraId="655FF588" w14:textId="66D5FA57" w:rsidR="00CE062A" w:rsidRPr="00E66B68" w:rsidRDefault="00E66B68" w:rsidP="00E66B68">
                          <w:pPr>
                            <w:rPr>
                              <w:sz w:val="13"/>
                              <w:szCs w:val="13"/>
                            </w:rPr>
                          </w:pPr>
                          <w:r w:rsidRPr="00E66B68">
                            <w:rPr>
                              <w:sz w:val="13"/>
                              <w:szCs w:val="13"/>
                            </w:rPr>
                            <w:t>BZ2</w:t>
                          </w:r>
                          <w:r w:rsidR="00D95A24">
                            <w:rPr>
                              <w:sz w:val="13"/>
                              <w:szCs w:val="13"/>
                            </w:rPr>
                            <w:t>623809</w:t>
                          </w:r>
                        </w:p>
                        <w:p w14:paraId="655FF589" w14:textId="77777777" w:rsidR="00CE062A" w:rsidRDefault="00E66B68">
                          <w:pPr>
                            <w:pStyle w:val="Referentiegegevens"/>
                          </w:pPr>
                          <w:r>
                            <w:t xml:space="preserve"> </w:t>
                          </w:r>
                        </w:p>
                        <w:p w14:paraId="655FF58C" w14:textId="77777777" w:rsidR="00CE062A" w:rsidRDefault="00E66B68">
                          <w:pPr>
                            <w:pStyle w:val="Referentiegegevensbold"/>
                          </w:pPr>
                          <w:r>
                            <w:t>Bijlage(n)</w:t>
                          </w:r>
                        </w:p>
                        <w:p w14:paraId="655FF58D" w14:textId="77777777" w:rsidR="00CE062A" w:rsidRDefault="00E66B68">
                          <w:pPr>
                            <w:pStyle w:val="Referentiegegevens"/>
                          </w:pPr>
                          <w:r>
                            <w:t>-</w:t>
                          </w:r>
                        </w:p>
                      </w:txbxContent>
                    </wps:txbx>
                    <wps:bodyPr vert="horz" wrap="square" lIns="0" tIns="0" rIns="0" bIns="0" anchor="t" anchorCtr="0"/>
                  </wps:wsp>
                </a:graphicData>
              </a:graphic>
            </wp:anchor>
          </w:drawing>
        </mc:Choice>
        <mc:Fallback>
          <w:pict>
            <v:shape w14:anchorId="655FF571"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655FF587" w14:textId="77777777" w:rsidR="00CE062A" w:rsidRDefault="00E66B68">
                    <w:pPr>
                      <w:pStyle w:val="Referentiegegevensbold"/>
                    </w:pPr>
                    <w:r>
                      <w:t>Ministerie van Buitenlandse Zaken</w:t>
                    </w:r>
                  </w:p>
                  <w:p w14:paraId="3F2BA846" w14:textId="77777777" w:rsidR="00E66B68" w:rsidRPr="00E66B68" w:rsidRDefault="00E66B68" w:rsidP="00E66B68">
                    <w:pPr>
                      <w:rPr>
                        <w:sz w:val="13"/>
                        <w:szCs w:val="13"/>
                      </w:rPr>
                    </w:pPr>
                    <w:r w:rsidRPr="00E66B68">
                      <w:rPr>
                        <w:sz w:val="13"/>
                        <w:szCs w:val="13"/>
                      </w:rPr>
                      <w:t>Rijnstraat 8</w:t>
                    </w:r>
                  </w:p>
                  <w:p w14:paraId="2EAE595B" w14:textId="77777777" w:rsidR="00B333E8" w:rsidRDefault="00E66B68" w:rsidP="00E66B68">
                    <w:pPr>
                      <w:rPr>
                        <w:sz w:val="13"/>
                        <w:szCs w:val="13"/>
                      </w:rPr>
                    </w:pPr>
                    <w:r w:rsidRPr="00E66B68">
                      <w:rPr>
                        <w:sz w:val="13"/>
                        <w:szCs w:val="13"/>
                      </w:rPr>
                      <w:t xml:space="preserve">2515 XP Den Haag </w:t>
                    </w:r>
                  </w:p>
                  <w:p w14:paraId="28565BA7" w14:textId="77777777" w:rsidR="00B333E8" w:rsidRDefault="00E66B68" w:rsidP="00E66B68">
                    <w:pPr>
                      <w:rPr>
                        <w:sz w:val="13"/>
                        <w:szCs w:val="13"/>
                      </w:rPr>
                    </w:pPr>
                    <w:r w:rsidRPr="00E66B68">
                      <w:rPr>
                        <w:sz w:val="13"/>
                        <w:szCs w:val="13"/>
                      </w:rPr>
                      <w:t xml:space="preserve">Postbus 20061 </w:t>
                    </w:r>
                  </w:p>
                  <w:p w14:paraId="08E34E57" w14:textId="71A6D56B" w:rsidR="00E66B68" w:rsidRDefault="00E66B68" w:rsidP="00E66B68">
                    <w:pPr>
                      <w:rPr>
                        <w:sz w:val="13"/>
                        <w:szCs w:val="13"/>
                      </w:rPr>
                    </w:pPr>
                    <w:r w:rsidRPr="00E66B68">
                      <w:rPr>
                        <w:sz w:val="13"/>
                        <w:szCs w:val="13"/>
                      </w:rPr>
                      <w:t xml:space="preserve">Nederland </w:t>
                    </w:r>
                    <w:r w:rsidRPr="00BB0CCA">
                      <w:rPr>
                        <w:sz w:val="13"/>
                        <w:szCs w:val="13"/>
                      </w:rPr>
                      <w:t>www.minbuza.nl</w:t>
                    </w:r>
                  </w:p>
                  <w:p w14:paraId="671B44A2" w14:textId="77777777" w:rsidR="00E66B68" w:rsidRDefault="00E66B68" w:rsidP="00E66B68">
                    <w:pPr>
                      <w:rPr>
                        <w:sz w:val="13"/>
                        <w:szCs w:val="13"/>
                      </w:rPr>
                    </w:pPr>
                  </w:p>
                  <w:p w14:paraId="54E9CAA6" w14:textId="77777777" w:rsidR="00E66B68" w:rsidRPr="00E66B68" w:rsidRDefault="00E66B68" w:rsidP="00E66B68">
                    <w:pPr>
                      <w:rPr>
                        <w:b/>
                        <w:bCs/>
                        <w:sz w:val="13"/>
                        <w:szCs w:val="13"/>
                      </w:rPr>
                    </w:pPr>
                    <w:r w:rsidRPr="00E66B68">
                      <w:rPr>
                        <w:b/>
                        <w:bCs/>
                        <w:sz w:val="13"/>
                        <w:szCs w:val="13"/>
                      </w:rPr>
                      <w:t>Onze referentie</w:t>
                    </w:r>
                  </w:p>
                  <w:p w14:paraId="655FF588" w14:textId="66D5FA57" w:rsidR="00CE062A" w:rsidRPr="00E66B68" w:rsidRDefault="00E66B68" w:rsidP="00E66B68">
                    <w:pPr>
                      <w:rPr>
                        <w:sz w:val="13"/>
                        <w:szCs w:val="13"/>
                      </w:rPr>
                    </w:pPr>
                    <w:r w:rsidRPr="00E66B68">
                      <w:rPr>
                        <w:sz w:val="13"/>
                        <w:szCs w:val="13"/>
                      </w:rPr>
                      <w:t>BZ2</w:t>
                    </w:r>
                    <w:r w:rsidR="00D95A24">
                      <w:rPr>
                        <w:sz w:val="13"/>
                        <w:szCs w:val="13"/>
                      </w:rPr>
                      <w:t>623809</w:t>
                    </w:r>
                  </w:p>
                  <w:p w14:paraId="655FF589" w14:textId="77777777" w:rsidR="00CE062A" w:rsidRDefault="00E66B68">
                    <w:pPr>
                      <w:pStyle w:val="Referentiegegevens"/>
                    </w:pPr>
                    <w:r>
                      <w:t xml:space="preserve"> </w:t>
                    </w:r>
                  </w:p>
                  <w:p w14:paraId="655FF58C" w14:textId="77777777" w:rsidR="00CE062A" w:rsidRDefault="00E66B68">
                    <w:pPr>
                      <w:pStyle w:val="Referentiegegevensbold"/>
                    </w:pPr>
                    <w:r>
                      <w:t>Bijlage(n)</w:t>
                    </w:r>
                  </w:p>
                  <w:p w14:paraId="655FF58D" w14:textId="77777777" w:rsidR="00CE062A" w:rsidRDefault="00E66B6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55FF575" wp14:editId="4071483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5FF598" w14:textId="77777777" w:rsidR="00E66B68" w:rsidRDefault="00E66B68"/>
                      </w:txbxContent>
                    </wps:txbx>
                    <wps:bodyPr vert="horz" wrap="square" lIns="0" tIns="0" rIns="0" bIns="0" anchor="t" anchorCtr="0"/>
                  </wps:wsp>
                </a:graphicData>
              </a:graphic>
            </wp:anchor>
          </w:drawing>
        </mc:Choice>
        <mc:Fallback>
          <w:pict>
            <v:shape w14:anchorId="655FF575" id="41b10d73-80a4-11ea-b356-6230a4311406" o:spid="_x0000_s1033"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655FF598" w14:textId="77777777" w:rsidR="00E66B68" w:rsidRDefault="00E66B68"/>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55FF577" wp14:editId="655FF57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5FF59A" w14:textId="77777777" w:rsidR="00E66B68" w:rsidRDefault="00E66B68"/>
                      </w:txbxContent>
                    </wps:txbx>
                    <wps:bodyPr vert="horz" wrap="square" lIns="0" tIns="0" rIns="0" bIns="0" anchor="t" anchorCtr="0"/>
                  </wps:wsp>
                </a:graphicData>
              </a:graphic>
            </wp:anchor>
          </w:drawing>
        </mc:Choice>
        <mc:Fallback>
          <w:pict>
            <v:shape w14:anchorId="655FF577" id="41b10dc3-80a4-11ea-b356-6230a4311406"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55FF59A" w14:textId="77777777" w:rsidR="00E66B68" w:rsidRDefault="00E66B6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55FF579" wp14:editId="655FF57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5FF58F" w14:textId="77777777" w:rsidR="00CE062A" w:rsidRDefault="00E66B68">
                          <w:pPr>
                            <w:spacing w:line="240" w:lineRule="auto"/>
                          </w:pPr>
                          <w:r>
                            <w:rPr>
                              <w:noProof/>
                            </w:rPr>
                            <w:drawing>
                              <wp:inline distT="0" distB="0" distL="0" distR="0" wp14:anchorId="655FF592" wp14:editId="655FF59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5FF579" id="41b10edc-80a4-11ea-b356-6230a4311406"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55FF58F" w14:textId="77777777" w:rsidR="00CE062A" w:rsidRDefault="00E66B68">
                    <w:pPr>
                      <w:spacing w:line="240" w:lineRule="auto"/>
                    </w:pPr>
                    <w:r>
                      <w:rPr>
                        <w:noProof/>
                      </w:rPr>
                      <w:drawing>
                        <wp:inline distT="0" distB="0" distL="0" distR="0" wp14:anchorId="655FF592" wp14:editId="655FF59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C82053"/>
    <w:multiLevelType w:val="multilevel"/>
    <w:tmpl w:val="6EB06D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E5563CA"/>
    <w:multiLevelType w:val="multilevel"/>
    <w:tmpl w:val="75E6D41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CE8DFE"/>
    <w:multiLevelType w:val="multilevel"/>
    <w:tmpl w:val="E5273AB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BA8434D"/>
    <w:multiLevelType w:val="multilevel"/>
    <w:tmpl w:val="3AB5BF8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E66EC03"/>
    <w:multiLevelType w:val="multilevel"/>
    <w:tmpl w:val="F18D56C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3E6B61F5"/>
    <w:multiLevelType w:val="hybridMultilevel"/>
    <w:tmpl w:val="AC2E041E"/>
    <w:lvl w:ilvl="0" w:tplc="2CB8EBA4">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2E21A0B"/>
    <w:multiLevelType w:val="hybridMultilevel"/>
    <w:tmpl w:val="90F23C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EE56AAC"/>
    <w:multiLevelType w:val="hybridMultilevel"/>
    <w:tmpl w:val="8228D118"/>
    <w:lvl w:ilvl="0" w:tplc="A7C4BDE4">
      <w:start w:val="1"/>
      <w:numFmt w:val="decimal"/>
      <w:lvlText w:val="%1."/>
      <w:lvlJc w:val="left"/>
      <w:pPr>
        <w:ind w:left="1083" w:hanging="360"/>
      </w:pPr>
      <w:rPr>
        <w:rFonts w:cstheme="minorHAnsi" w:hint="default"/>
      </w:rPr>
    </w:lvl>
    <w:lvl w:ilvl="1" w:tplc="04130019" w:tentative="1">
      <w:start w:val="1"/>
      <w:numFmt w:val="lowerLetter"/>
      <w:lvlText w:val="%2."/>
      <w:lvlJc w:val="left"/>
      <w:pPr>
        <w:ind w:left="1803" w:hanging="360"/>
      </w:pPr>
    </w:lvl>
    <w:lvl w:ilvl="2" w:tplc="0413001B" w:tentative="1">
      <w:start w:val="1"/>
      <w:numFmt w:val="lowerRoman"/>
      <w:lvlText w:val="%3."/>
      <w:lvlJc w:val="right"/>
      <w:pPr>
        <w:ind w:left="2523" w:hanging="180"/>
      </w:pPr>
    </w:lvl>
    <w:lvl w:ilvl="3" w:tplc="0413000F" w:tentative="1">
      <w:start w:val="1"/>
      <w:numFmt w:val="decimal"/>
      <w:lvlText w:val="%4."/>
      <w:lvlJc w:val="left"/>
      <w:pPr>
        <w:ind w:left="3243" w:hanging="360"/>
      </w:pPr>
    </w:lvl>
    <w:lvl w:ilvl="4" w:tplc="04130019" w:tentative="1">
      <w:start w:val="1"/>
      <w:numFmt w:val="lowerLetter"/>
      <w:lvlText w:val="%5."/>
      <w:lvlJc w:val="left"/>
      <w:pPr>
        <w:ind w:left="3963" w:hanging="360"/>
      </w:pPr>
    </w:lvl>
    <w:lvl w:ilvl="5" w:tplc="0413001B" w:tentative="1">
      <w:start w:val="1"/>
      <w:numFmt w:val="lowerRoman"/>
      <w:lvlText w:val="%6."/>
      <w:lvlJc w:val="right"/>
      <w:pPr>
        <w:ind w:left="4683" w:hanging="180"/>
      </w:pPr>
    </w:lvl>
    <w:lvl w:ilvl="6" w:tplc="0413000F" w:tentative="1">
      <w:start w:val="1"/>
      <w:numFmt w:val="decimal"/>
      <w:lvlText w:val="%7."/>
      <w:lvlJc w:val="left"/>
      <w:pPr>
        <w:ind w:left="5403" w:hanging="360"/>
      </w:pPr>
    </w:lvl>
    <w:lvl w:ilvl="7" w:tplc="04130019" w:tentative="1">
      <w:start w:val="1"/>
      <w:numFmt w:val="lowerLetter"/>
      <w:lvlText w:val="%8."/>
      <w:lvlJc w:val="left"/>
      <w:pPr>
        <w:ind w:left="6123" w:hanging="360"/>
      </w:pPr>
    </w:lvl>
    <w:lvl w:ilvl="8" w:tplc="0413001B" w:tentative="1">
      <w:start w:val="1"/>
      <w:numFmt w:val="lowerRoman"/>
      <w:lvlText w:val="%9."/>
      <w:lvlJc w:val="right"/>
      <w:pPr>
        <w:ind w:left="6843" w:hanging="180"/>
      </w:pPr>
    </w:lvl>
  </w:abstractNum>
  <w:abstractNum w:abstractNumId="8" w15:restartNumberingAfterBreak="0">
    <w:nsid w:val="544B17C4"/>
    <w:multiLevelType w:val="hybridMultilevel"/>
    <w:tmpl w:val="22C2D1EA"/>
    <w:lvl w:ilvl="0" w:tplc="0526FE22">
      <w:start w:val="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5CC153B"/>
    <w:multiLevelType w:val="hybridMultilevel"/>
    <w:tmpl w:val="A89ACD20"/>
    <w:lvl w:ilvl="0" w:tplc="6E509214">
      <w:start w:val="1"/>
      <w:numFmt w:val="decimal"/>
      <w:lvlText w:val="%1."/>
      <w:lvlJc w:val="left"/>
      <w:pPr>
        <w:ind w:left="360" w:hanging="360"/>
      </w:pPr>
      <w:rPr>
        <w:rFonts w:cstheme="minorHAns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23732157">
    <w:abstractNumId w:val="4"/>
  </w:num>
  <w:num w:numId="2" w16cid:durableId="865364156">
    <w:abstractNumId w:val="3"/>
  </w:num>
  <w:num w:numId="3" w16cid:durableId="847061172">
    <w:abstractNumId w:val="0"/>
  </w:num>
  <w:num w:numId="4" w16cid:durableId="313225481">
    <w:abstractNumId w:val="2"/>
  </w:num>
  <w:num w:numId="5" w16cid:durableId="366949324">
    <w:abstractNumId w:val="1"/>
  </w:num>
  <w:num w:numId="6" w16cid:durableId="2077897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1577460">
    <w:abstractNumId w:val="9"/>
  </w:num>
  <w:num w:numId="8" w16cid:durableId="362175063">
    <w:abstractNumId w:val="5"/>
  </w:num>
  <w:num w:numId="9" w16cid:durableId="862287399">
    <w:abstractNumId w:val="8"/>
  </w:num>
  <w:num w:numId="10" w16cid:durableId="207962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62A"/>
    <w:rsid w:val="000030F7"/>
    <w:rsid w:val="0000637A"/>
    <w:rsid w:val="0001155E"/>
    <w:rsid w:val="00012FED"/>
    <w:rsid w:val="00013BF9"/>
    <w:rsid w:val="00013E21"/>
    <w:rsid w:val="00015B4C"/>
    <w:rsid w:val="00022116"/>
    <w:rsid w:val="00025B6E"/>
    <w:rsid w:val="00027328"/>
    <w:rsid w:val="000352D0"/>
    <w:rsid w:val="00040B05"/>
    <w:rsid w:val="00045403"/>
    <w:rsid w:val="000519C5"/>
    <w:rsid w:val="00052A35"/>
    <w:rsid w:val="0005528A"/>
    <w:rsid w:val="0006150A"/>
    <w:rsid w:val="00066CD5"/>
    <w:rsid w:val="00070C40"/>
    <w:rsid w:val="0008190C"/>
    <w:rsid w:val="00081DE1"/>
    <w:rsid w:val="000833A7"/>
    <w:rsid w:val="00083AAA"/>
    <w:rsid w:val="000A510F"/>
    <w:rsid w:val="000A6CAA"/>
    <w:rsid w:val="000B5C1B"/>
    <w:rsid w:val="000C01AD"/>
    <w:rsid w:val="000C03B9"/>
    <w:rsid w:val="000C1D65"/>
    <w:rsid w:val="000C5A8E"/>
    <w:rsid w:val="000C7058"/>
    <w:rsid w:val="000D0671"/>
    <w:rsid w:val="000D117A"/>
    <w:rsid w:val="000D5343"/>
    <w:rsid w:val="000E37EC"/>
    <w:rsid w:val="000E41D6"/>
    <w:rsid w:val="000E4A5F"/>
    <w:rsid w:val="000E5384"/>
    <w:rsid w:val="000E71AA"/>
    <w:rsid w:val="000F1C6E"/>
    <w:rsid w:val="000F64D0"/>
    <w:rsid w:val="00112F05"/>
    <w:rsid w:val="00113131"/>
    <w:rsid w:val="001203D6"/>
    <w:rsid w:val="00127AAD"/>
    <w:rsid w:val="00130213"/>
    <w:rsid w:val="0013658E"/>
    <w:rsid w:val="001369D0"/>
    <w:rsid w:val="00137E1A"/>
    <w:rsid w:val="001411C6"/>
    <w:rsid w:val="001456C1"/>
    <w:rsid w:val="001532F1"/>
    <w:rsid w:val="001534AC"/>
    <w:rsid w:val="001548FF"/>
    <w:rsid w:val="0016215F"/>
    <w:rsid w:val="001656A0"/>
    <w:rsid w:val="001829E3"/>
    <w:rsid w:val="0018602A"/>
    <w:rsid w:val="00191AF5"/>
    <w:rsid w:val="00192325"/>
    <w:rsid w:val="00195009"/>
    <w:rsid w:val="001A294B"/>
    <w:rsid w:val="001B146F"/>
    <w:rsid w:val="001B3D41"/>
    <w:rsid w:val="001B4001"/>
    <w:rsid w:val="001B651E"/>
    <w:rsid w:val="001C2399"/>
    <w:rsid w:val="001C44C4"/>
    <w:rsid w:val="001C5908"/>
    <w:rsid w:val="001E2F69"/>
    <w:rsid w:val="001E4C2A"/>
    <w:rsid w:val="001E665A"/>
    <w:rsid w:val="001F2746"/>
    <w:rsid w:val="001F2DAF"/>
    <w:rsid w:val="001F571C"/>
    <w:rsid w:val="001F7B32"/>
    <w:rsid w:val="00204432"/>
    <w:rsid w:val="00207165"/>
    <w:rsid w:val="0021305E"/>
    <w:rsid w:val="00213204"/>
    <w:rsid w:val="00216030"/>
    <w:rsid w:val="002169AB"/>
    <w:rsid w:val="0021718B"/>
    <w:rsid w:val="00220A0A"/>
    <w:rsid w:val="0022354C"/>
    <w:rsid w:val="0022696C"/>
    <w:rsid w:val="002423AF"/>
    <w:rsid w:val="002452CB"/>
    <w:rsid w:val="00251149"/>
    <w:rsid w:val="0027080F"/>
    <w:rsid w:val="0027350D"/>
    <w:rsid w:val="00275342"/>
    <w:rsid w:val="00281699"/>
    <w:rsid w:val="0028558B"/>
    <w:rsid w:val="0028791E"/>
    <w:rsid w:val="0029351C"/>
    <w:rsid w:val="00297668"/>
    <w:rsid w:val="002A0243"/>
    <w:rsid w:val="002A465A"/>
    <w:rsid w:val="002B29EB"/>
    <w:rsid w:val="002C71E1"/>
    <w:rsid w:val="002D0D3A"/>
    <w:rsid w:val="002D4F15"/>
    <w:rsid w:val="002D60F6"/>
    <w:rsid w:val="002D6A15"/>
    <w:rsid w:val="002E0499"/>
    <w:rsid w:val="002E1B49"/>
    <w:rsid w:val="002E3DB3"/>
    <w:rsid w:val="002E6F55"/>
    <w:rsid w:val="002E7979"/>
    <w:rsid w:val="002F35C2"/>
    <w:rsid w:val="002F4DE9"/>
    <w:rsid w:val="00302D1C"/>
    <w:rsid w:val="00304FFA"/>
    <w:rsid w:val="00307A4C"/>
    <w:rsid w:val="00327097"/>
    <w:rsid w:val="0033597D"/>
    <w:rsid w:val="003406DF"/>
    <w:rsid w:val="003412B0"/>
    <w:rsid w:val="00343E34"/>
    <w:rsid w:val="00347F87"/>
    <w:rsid w:val="00350F48"/>
    <w:rsid w:val="003518F3"/>
    <w:rsid w:val="003522D7"/>
    <w:rsid w:val="00352CBB"/>
    <w:rsid w:val="00353E20"/>
    <w:rsid w:val="003542F0"/>
    <w:rsid w:val="00355D01"/>
    <w:rsid w:val="00365F2B"/>
    <w:rsid w:val="00374B18"/>
    <w:rsid w:val="00375300"/>
    <w:rsid w:val="003774B1"/>
    <w:rsid w:val="00377553"/>
    <w:rsid w:val="00380D3D"/>
    <w:rsid w:val="00385516"/>
    <w:rsid w:val="003930B3"/>
    <w:rsid w:val="00394312"/>
    <w:rsid w:val="003A39B4"/>
    <w:rsid w:val="003A7771"/>
    <w:rsid w:val="003B0C0C"/>
    <w:rsid w:val="003B266B"/>
    <w:rsid w:val="003B2710"/>
    <w:rsid w:val="003B47C7"/>
    <w:rsid w:val="003C0CDE"/>
    <w:rsid w:val="003C128E"/>
    <w:rsid w:val="003C2882"/>
    <w:rsid w:val="003C337C"/>
    <w:rsid w:val="003C4C5E"/>
    <w:rsid w:val="003C6C4F"/>
    <w:rsid w:val="003D00A8"/>
    <w:rsid w:val="003D5802"/>
    <w:rsid w:val="003E15EE"/>
    <w:rsid w:val="003E32A1"/>
    <w:rsid w:val="003E4EF7"/>
    <w:rsid w:val="003E522E"/>
    <w:rsid w:val="003E62FA"/>
    <w:rsid w:val="003F22B2"/>
    <w:rsid w:val="0040039E"/>
    <w:rsid w:val="00400C4A"/>
    <w:rsid w:val="004047CB"/>
    <w:rsid w:val="00410A15"/>
    <w:rsid w:val="004136AE"/>
    <w:rsid w:val="00421CF5"/>
    <w:rsid w:val="00426496"/>
    <w:rsid w:val="00427914"/>
    <w:rsid w:val="0043120E"/>
    <w:rsid w:val="0043138B"/>
    <w:rsid w:val="00434B4F"/>
    <w:rsid w:val="00436D9A"/>
    <w:rsid w:val="00441146"/>
    <w:rsid w:val="00443687"/>
    <w:rsid w:val="00444025"/>
    <w:rsid w:val="004470DB"/>
    <w:rsid w:val="00450C3E"/>
    <w:rsid w:val="00463DFE"/>
    <w:rsid w:val="00474902"/>
    <w:rsid w:val="00474BAC"/>
    <w:rsid w:val="00491FF2"/>
    <w:rsid w:val="004B07EA"/>
    <w:rsid w:val="004B3E23"/>
    <w:rsid w:val="004B7BA3"/>
    <w:rsid w:val="004C6B49"/>
    <w:rsid w:val="004D1478"/>
    <w:rsid w:val="004D2F23"/>
    <w:rsid w:val="004E29FF"/>
    <w:rsid w:val="004E37AC"/>
    <w:rsid w:val="004E6D74"/>
    <w:rsid w:val="004F625E"/>
    <w:rsid w:val="0050060D"/>
    <w:rsid w:val="0050668E"/>
    <w:rsid w:val="0050725D"/>
    <w:rsid w:val="00510DF3"/>
    <w:rsid w:val="00511EDE"/>
    <w:rsid w:val="005202F7"/>
    <w:rsid w:val="00521A02"/>
    <w:rsid w:val="005267BF"/>
    <w:rsid w:val="00532666"/>
    <w:rsid w:val="00534135"/>
    <w:rsid w:val="0053662D"/>
    <w:rsid w:val="00536A06"/>
    <w:rsid w:val="00542E74"/>
    <w:rsid w:val="005460B4"/>
    <w:rsid w:val="00565E90"/>
    <w:rsid w:val="00571966"/>
    <w:rsid w:val="00571BA7"/>
    <w:rsid w:val="00585633"/>
    <w:rsid w:val="005864F7"/>
    <w:rsid w:val="0059063D"/>
    <w:rsid w:val="00590C62"/>
    <w:rsid w:val="0059428D"/>
    <w:rsid w:val="00594C94"/>
    <w:rsid w:val="005953C8"/>
    <w:rsid w:val="005A18B7"/>
    <w:rsid w:val="005A4975"/>
    <w:rsid w:val="005B67FF"/>
    <w:rsid w:val="005C14A2"/>
    <w:rsid w:val="005C1B76"/>
    <w:rsid w:val="005C2D2F"/>
    <w:rsid w:val="005D45CB"/>
    <w:rsid w:val="005E1461"/>
    <w:rsid w:val="005E235D"/>
    <w:rsid w:val="005E28DF"/>
    <w:rsid w:val="005E6D14"/>
    <w:rsid w:val="005E7AA9"/>
    <w:rsid w:val="005F2DA1"/>
    <w:rsid w:val="00600D88"/>
    <w:rsid w:val="00605060"/>
    <w:rsid w:val="00606BC1"/>
    <w:rsid w:val="00610F08"/>
    <w:rsid w:val="00626A41"/>
    <w:rsid w:val="00627652"/>
    <w:rsid w:val="006403D3"/>
    <w:rsid w:val="0065021C"/>
    <w:rsid w:val="00651131"/>
    <w:rsid w:val="00651829"/>
    <w:rsid w:val="00652593"/>
    <w:rsid w:val="00657CCD"/>
    <w:rsid w:val="0066125F"/>
    <w:rsid w:val="006656FB"/>
    <w:rsid w:val="00671D6B"/>
    <w:rsid w:val="0067406A"/>
    <w:rsid w:val="00675223"/>
    <w:rsid w:val="00682182"/>
    <w:rsid w:val="0068779F"/>
    <w:rsid w:val="00696841"/>
    <w:rsid w:val="006B10EA"/>
    <w:rsid w:val="006B7044"/>
    <w:rsid w:val="006C00D5"/>
    <w:rsid w:val="006C33C7"/>
    <w:rsid w:val="006C3E1F"/>
    <w:rsid w:val="006C4D53"/>
    <w:rsid w:val="006D6C9F"/>
    <w:rsid w:val="006D6F72"/>
    <w:rsid w:val="006E0F66"/>
    <w:rsid w:val="006E2413"/>
    <w:rsid w:val="006F3898"/>
    <w:rsid w:val="006F7C24"/>
    <w:rsid w:val="00700320"/>
    <w:rsid w:val="00704B7B"/>
    <w:rsid w:val="00714C58"/>
    <w:rsid w:val="00721480"/>
    <w:rsid w:val="00724535"/>
    <w:rsid w:val="00724F50"/>
    <w:rsid w:val="007260A8"/>
    <w:rsid w:val="00731032"/>
    <w:rsid w:val="007312BF"/>
    <w:rsid w:val="00734305"/>
    <w:rsid w:val="00737AAA"/>
    <w:rsid w:val="00742F40"/>
    <w:rsid w:val="00746047"/>
    <w:rsid w:val="0074647A"/>
    <w:rsid w:val="00746E53"/>
    <w:rsid w:val="00757CBC"/>
    <w:rsid w:val="0076026C"/>
    <w:rsid w:val="00761B06"/>
    <w:rsid w:val="007656E0"/>
    <w:rsid w:val="00767CC7"/>
    <w:rsid w:val="00775457"/>
    <w:rsid w:val="0078008E"/>
    <w:rsid w:val="0078348B"/>
    <w:rsid w:val="00787568"/>
    <w:rsid w:val="0079263D"/>
    <w:rsid w:val="007A0E43"/>
    <w:rsid w:val="007A140B"/>
    <w:rsid w:val="007A2BB0"/>
    <w:rsid w:val="007A53B7"/>
    <w:rsid w:val="007B067B"/>
    <w:rsid w:val="007B12EB"/>
    <w:rsid w:val="007C2B19"/>
    <w:rsid w:val="007C4BB3"/>
    <w:rsid w:val="007C6D11"/>
    <w:rsid w:val="007D0AD3"/>
    <w:rsid w:val="007D28A1"/>
    <w:rsid w:val="007D4481"/>
    <w:rsid w:val="007D4A84"/>
    <w:rsid w:val="007E68CC"/>
    <w:rsid w:val="0080004A"/>
    <w:rsid w:val="00804B7A"/>
    <w:rsid w:val="00805463"/>
    <w:rsid w:val="00805C6C"/>
    <w:rsid w:val="00820FDF"/>
    <w:rsid w:val="008251F7"/>
    <w:rsid w:val="0083221C"/>
    <w:rsid w:val="00834DAE"/>
    <w:rsid w:val="008375B6"/>
    <w:rsid w:val="00840C07"/>
    <w:rsid w:val="00845735"/>
    <w:rsid w:val="00845C8F"/>
    <w:rsid w:val="00846A24"/>
    <w:rsid w:val="0085249D"/>
    <w:rsid w:val="008609A6"/>
    <w:rsid w:val="008613C6"/>
    <w:rsid w:val="00864857"/>
    <w:rsid w:val="00865A36"/>
    <w:rsid w:val="008734EE"/>
    <w:rsid w:val="008775FA"/>
    <w:rsid w:val="00894239"/>
    <w:rsid w:val="008961DB"/>
    <w:rsid w:val="008A003C"/>
    <w:rsid w:val="008B0100"/>
    <w:rsid w:val="008B3830"/>
    <w:rsid w:val="008E1CBB"/>
    <w:rsid w:val="008E2C2A"/>
    <w:rsid w:val="008E5FB6"/>
    <w:rsid w:val="008F32E8"/>
    <w:rsid w:val="008F434C"/>
    <w:rsid w:val="008F561F"/>
    <w:rsid w:val="008F74A1"/>
    <w:rsid w:val="009026CA"/>
    <w:rsid w:val="00902FEE"/>
    <w:rsid w:val="00905B43"/>
    <w:rsid w:val="00905E3E"/>
    <w:rsid w:val="009135E1"/>
    <w:rsid w:val="00913805"/>
    <w:rsid w:val="0091573F"/>
    <w:rsid w:val="009175B6"/>
    <w:rsid w:val="00917801"/>
    <w:rsid w:val="00920E97"/>
    <w:rsid w:val="00924498"/>
    <w:rsid w:val="009247B4"/>
    <w:rsid w:val="00926101"/>
    <w:rsid w:val="00933224"/>
    <w:rsid w:val="00933699"/>
    <w:rsid w:val="00933A97"/>
    <w:rsid w:val="00941C42"/>
    <w:rsid w:val="00942AC0"/>
    <w:rsid w:val="0094503B"/>
    <w:rsid w:val="00952B6D"/>
    <w:rsid w:val="009540E7"/>
    <w:rsid w:val="00956EAB"/>
    <w:rsid w:val="00956EE2"/>
    <w:rsid w:val="0095762E"/>
    <w:rsid w:val="00966485"/>
    <w:rsid w:val="00966D83"/>
    <w:rsid w:val="00976F17"/>
    <w:rsid w:val="00980A46"/>
    <w:rsid w:val="0098114C"/>
    <w:rsid w:val="00996BF9"/>
    <w:rsid w:val="009A2063"/>
    <w:rsid w:val="009A3264"/>
    <w:rsid w:val="009B35A4"/>
    <w:rsid w:val="009B6A5D"/>
    <w:rsid w:val="009C171D"/>
    <w:rsid w:val="009C2EB7"/>
    <w:rsid w:val="009C3380"/>
    <w:rsid w:val="009C4BFF"/>
    <w:rsid w:val="009D4158"/>
    <w:rsid w:val="009E1D1E"/>
    <w:rsid w:val="009E3FA3"/>
    <w:rsid w:val="009E5644"/>
    <w:rsid w:val="009F2493"/>
    <w:rsid w:val="009F3FEF"/>
    <w:rsid w:val="00A0183E"/>
    <w:rsid w:val="00A025D5"/>
    <w:rsid w:val="00A048E6"/>
    <w:rsid w:val="00A170B2"/>
    <w:rsid w:val="00A21653"/>
    <w:rsid w:val="00A22A53"/>
    <w:rsid w:val="00A23395"/>
    <w:rsid w:val="00A27507"/>
    <w:rsid w:val="00A318F3"/>
    <w:rsid w:val="00A44CE9"/>
    <w:rsid w:val="00A525DA"/>
    <w:rsid w:val="00A528EF"/>
    <w:rsid w:val="00A60313"/>
    <w:rsid w:val="00A60D0B"/>
    <w:rsid w:val="00A64F3A"/>
    <w:rsid w:val="00A65C73"/>
    <w:rsid w:val="00A72D47"/>
    <w:rsid w:val="00A76EC3"/>
    <w:rsid w:val="00A90E40"/>
    <w:rsid w:val="00A96E05"/>
    <w:rsid w:val="00AA4326"/>
    <w:rsid w:val="00AC0FAF"/>
    <w:rsid w:val="00AC3044"/>
    <w:rsid w:val="00AE1DE9"/>
    <w:rsid w:val="00AF4655"/>
    <w:rsid w:val="00AF7109"/>
    <w:rsid w:val="00AF7B30"/>
    <w:rsid w:val="00B01F28"/>
    <w:rsid w:val="00B037A9"/>
    <w:rsid w:val="00B04F8D"/>
    <w:rsid w:val="00B13E8E"/>
    <w:rsid w:val="00B21890"/>
    <w:rsid w:val="00B2207F"/>
    <w:rsid w:val="00B22A48"/>
    <w:rsid w:val="00B24389"/>
    <w:rsid w:val="00B24EA6"/>
    <w:rsid w:val="00B276AD"/>
    <w:rsid w:val="00B30017"/>
    <w:rsid w:val="00B333E8"/>
    <w:rsid w:val="00B35E7C"/>
    <w:rsid w:val="00B37FC5"/>
    <w:rsid w:val="00B46C5D"/>
    <w:rsid w:val="00B50165"/>
    <w:rsid w:val="00B5554A"/>
    <w:rsid w:val="00B558A9"/>
    <w:rsid w:val="00B64A5E"/>
    <w:rsid w:val="00B70C26"/>
    <w:rsid w:val="00B741B0"/>
    <w:rsid w:val="00B84150"/>
    <w:rsid w:val="00B84152"/>
    <w:rsid w:val="00B94593"/>
    <w:rsid w:val="00B96EAA"/>
    <w:rsid w:val="00BA2C40"/>
    <w:rsid w:val="00BA384F"/>
    <w:rsid w:val="00BA6A6B"/>
    <w:rsid w:val="00BB0CCA"/>
    <w:rsid w:val="00BB31CB"/>
    <w:rsid w:val="00BC2CFE"/>
    <w:rsid w:val="00BD3A84"/>
    <w:rsid w:val="00BE1679"/>
    <w:rsid w:val="00BE5A32"/>
    <w:rsid w:val="00BE5DC2"/>
    <w:rsid w:val="00BF0E58"/>
    <w:rsid w:val="00BF5583"/>
    <w:rsid w:val="00C021C1"/>
    <w:rsid w:val="00C10FD9"/>
    <w:rsid w:val="00C13CE9"/>
    <w:rsid w:val="00C14DEB"/>
    <w:rsid w:val="00C30419"/>
    <w:rsid w:val="00C320EA"/>
    <w:rsid w:val="00C42017"/>
    <w:rsid w:val="00C42330"/>
    <w:rsid w:val="00C42E98"/>
    <w:rsid w:val="00C46E46"/>
    <w:rsid w:val="00C53D67"/>
    <w:rsid w:val="00C600C3"/>
    <w:rsid w:val="00C60B02"/>
    <w:rsid w:val="00C60F09"/>
    <w:rsid w:val="00C62F25"/>
    <w:rsid w:val="00C667E9"/>
    <w:rsid w:val="00C66D06"/>
    <w:rsid w:val="00C66E57"/>
    <w:rsid w:val="00C76F3C"/>
    <w:rsid w:val="00C80F37"/>
    <w:rsid w:val="00C83897"/>
    <w:rsid w:val="00CA3A19"/>
    <w:rsid w:val="00CA58CF"/>
    <w:rsid w:val="00CB6A34"/>
    <w:rsid w:val="00CC1094"/>
    <w:rsid w:val="00CC5023"/>
    <w:rsid w:val="00CC59E9"/>
    <w:rsid w:val="00CC7FFE"/>
    <w:rsid w:val="00CD586A"/>
    <w:rsid w:val="00CD6F8C"/>
    <w:rsid w:val="00CE062A"/>
    <w:rsid w:val="00CE5DAB"/>
    <w:rsid w:val="00CF128E"/>
    <w:rsid w:val="00CF5F41"/>
    <w:rsid w:val="00D0380A"/>
    <w:rsid w:val="00D051B4"/>
    <w:rsid w:val="00D0640E"/>
    <w:rsid w:val="00D152CB"/>
    <w:rsid w:val="00D17A90"/>
    <w:rsid w:val="00D205C3"/>
    <w:rsid w:val="00D2089B"/>
    <w:rsid w:val="00D20BD8"/>
    <w:rsid w:val="00D23C9C"/>
    <w:rsid w:val="00D24A04"/>
    <w:rsid w:val="00D24A82"/>
    <w:rsid w:val="00D25774"/>
    <w:rsid w:val="00D26745"/>
    <w:rsid w:val="00D43897"/>
    <w:rsid w:val="00D46E86"/>
    <w:rsid w:val="00D508F6"/>
    <w:rsid w:val="00D52BE7"/>
    <w:rsid w:val="00D53402"/>
    <w:rsid w:val="00D55491"/>
    <w:rsid w:val="00D612DA"/>
    <w:rsid w:val="00D65465"/>
    <w:rsid w:val="00D70EFF"/>
    <w:rsid w:val="00D7453E"/>
    <w:rsid w:val="00D75C90"/>
    <w:rsid w:val="00D76781"/>
    <w:rsid w:val="00D95606"/>
    <w:rsid w:val="00D95A24"/>
    <w:rsid w:val="00D96EAC"/>
    <w:rsid w:val="00DA13B6"/>
    <w:rsid w:val="00DB5B5A"/>
    <w:rsid w:val="00DB7E2B"/>
    <w:rsid w:val="00DC13BB"/>
    <w:rsid w:val="00DC37C6"/>
    <w:rsid w:val="00DC42E4"/>
    <w:rsid w:val="00DC6DA1"/>
    <w:rsid w:val="00DD78C2"/>
    <w:rsid w:val="00DE094B"/>
    <w:rsid w:val="00DE5E97"/>
    <w:rsid w:val="00DF1AE4"/>
    <w:rsid w:val="00DF6B22"/>
    <w:rsid w:val="00E00279"/>
    <w:rsid w:val="00E11F68"/>
    <w:rsid w:val="00E1223D"/>
    <w:rsid w:val="00E24193"/>
    <w:rsid w:val="00E2529F"/>
    <w:rsid w:val="00E26313"/>
    <w:rsid w:val="00E2767A"/>
    <w:rsid w:val="00E43AAE"/>
    <w:rsid w:val="00E4666E"/>
    <w:rsid w:val="00E46922"/>
    <w:rsid w:val="00E57036"/>
    <w:rsid w:val="00E61A27"/>
    <w:rsid w:val="00E64A61"/>
    <w:rsid w:val="00E66B68"/>
    <w:rsid w:val="00E675FC"/>
    <w:rsid w:val="00E75092"/>
    <w:rsid w:val="00E92524"/>
    <w:rsid w:val="00E932D3"/>
    <w:rsid w:val="00E93D77"/>
    <w:rsid w:val="00E950AA"/>
    <w:rsid w:val="00E951DE"/>
    <w:rsid w:val="00E9761C"/>
    <w:rsid w:val="00EA50B7"/>
    <w:rsid w:val="00EA6897"/>
    <w:rsid w:val="00EB211D"/>
    <w:rsid w:val="00EB531C"/>
    <w:rsid w:val="00EB68BE"/>
    <w:rsid w:val="00EC07A8"/>
    <w:rsid w:val="00EC09D2"/>
    <w:rsid w:val="00EC60F6"/>
    <w:rsid w:val="00ED1CDF"/>
    <w:rsid w:val="00ED6732"/>
    <w:rsid w:val="00ED74E3"/>
    <w:rsid w:val="00EE3513"/>
    <w:rsid w:val="00EE3A46"/>
    <w:rsid w:val="00EE4C0C"/>
    <w:rsid w:val="00EE6ECA"/>
    <w:rsid w:val="00EF393C"/>
    <w:rsid w:val="00F03CE4"/>
    <w:rsid w:val="00F111B0"/>
    <w:rsid w:val="00F17C5A"/>
    <w:rsid w:val="00F21E9D"/>
    <w:rsid w:val="00F33820"/>
    <w:rsid w:val="00F44D31"/>
    <w:rsid w:val="00F44FBB"/>
    <w:rsid w:val="00F5187F"/>
    <w:rsid w:val="00F65CED"/>
    <w:rsid w:val="00F6623B"/>
    <w:rsid w:val="00F745B4"/>
    <w:rsid w:val="00F74939"/>
    <w:rsid w:val="00F814E2"/>
    <w:rsid w:val="00F824FA"/>
    <w:rsid w:val="00F8262D"/>
    <w:rsid w:val="00F853AB"/>
    <w:rsid w:val="00F8649B"/>
    <w:rsid w:val="00F920FB"/>
    <w:rsid w:val="00F93ADC"/>
    <w:rsid w:val="00F96636"/>
    <w:rsid w:val="00F97850"/>
    <w:rsid w:val="00FA2074"/>
    <w:rsid w:val="00FA423E"/>
    <w:rsid w:val="00FA5AB0"/>
    <w:rsid w:val="00FB0336"/>
    <w:rsid w:val="00FB37A3"/>
    <w:rsid w:val="00FB3BAF"/>
    <w:rsid w:val="00FB40FA"/>
    <w:rsid w:val="00FB5D19"/>
    <w:rsid w:val="00FC29A2"/>
    <w:rsid w:val="00FC4144"/>
    <w:rsid w:val="00FC490C"/>
    <w:rsid w:val="00FC58C9"/>
    <w:rsid w:val="00FD1629"/>
    <w:rsid w:val="00FD1DBC"/>
    <w:rsid w:val="00FD3041"/>
    <w:rsid w:val="00FD4C20"/>
    <w:rsid w:val="00FE1394"/>
    <w:rsid w:val="00FE6800"/>
    <w:rsid w:val="00FE75CA"/>
    <w:rsid w:val="00FF420F"/>
    <w:rsid w:val="00FF5988"/>
    <w:rsid w:val="00FF6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FF559"/>
  <w15:docId w15:val="{893E10A3-1AC5-4CAB-9EA9-3D020DA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66B68"/>
    <w:pPr>
      <w:tabs>
        <w:tab w:val="center" w:pos="4513"/>
        <w:tab w:val="right" w:pos="9026"/>
      </w:tabs>
      <w:spacing w:line="240" w:lineRule="auto"/>
    </w:pPr>
  </w:style>
  <w:style w:type="character" w:customStyle="1" w:styleId="HeaderChar">
    <w:name w:val="Header Char"/>
    <w:basedOn w:val="DefaultParagraphFont"/>
    <w:link w:val="Header"/>
    <w:uiPriority w:val="99"/>
    <w:rsid w:val="00E66B68"/>
    <w:rPr>
      <w:rFonts w:ascii="Verdana" w:hAnsi="Verdana"/>
      <w:color w:val="000000"/>
      <w:sz w:val="18"/>
      <w:szCs w:val="18"/>
    </w:rPr>
  </w:style>
  <w:style w:type="paragraph" w:styleId="Footer">
    <w:name w:val="footer"/>
    <w:basedOn w:val="Normal"/>
    <w:link w:val="FooterChar"/>
    <w:uiPriority w:val="99"/>
    <w:unhideWhenUsed/>
    <w:rsid w:val="00E66B68"/>
    <w:pPr>
      <w:tabs>
        <w:tab w:val="center" w:pos="4513"/>
        <w:tab w:val="right" w:pos="9026"/>
      </w:tabs>
      <w:spacing w:line="240" w:lineRule="auto"/>
    </w:pPr>
  </w:style>
  <w:style w:type="character" w:customStyle="1" w:styleId="FooterChar">
    <w:name w:val="Footer Char"/>
    <w:basedOn w:val="DefaultParagraphFont"/>
    <w:link w:val="Footer"/>
    <w:uiPriority w:val="99"/>
    <w:rsid w:val="00E66B68"/>
    <w:rPr>
      <w:rFonts w:ascii="Verdana" w:hAnsi="Verdana"/>
      <w:color w:val="000000"/>
      <w:sz w:val="18"/>
      <w:szCs w:val="18"/>
    </w:rPr>
  </w:style>
  <w:style w:type="character" w:styleId="UnresolvedMention">
    <w:name w:val="Unresolved Mention"/>
    <w:basedOn w:val="DefaultParagraphFont"/>
    <w:uiPriority w:val="99"/>
    <w:semiHidden/>
    <w:unhideWhenUsed/>
    <w:rsid w:val="00E66B68"/>
    <w:rPr>
      <w:color w:val="605E5C"/>
      <w:shd w:val="clear" w:color="auto" w:fill="E1DFDD"/>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E66B68"/>
    <w:pPr>
      <w:ind w:left="720"/>
      <w:contextualSpacing/>
    </w:pPr>
  </w:style>
  <w:style w:type="paragraph" w:styleId="FootnoteText">
    <w:name w:val="footnote text"/>
    <w:basedOn w:val="Normal"/>
    <w:link w:val="FootnoteTextChar"/>
    <w:uiPriority w:val="99"/>
    <w:semiHidden/>
    <w:unhideWhenUsed/>
    <w:rsid w:val="00E66B68"/>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E66B68"/>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E66B68"/>
    <w:rPr>
      <w:vertAlign w:val="superscript"/>
    </w:rPr>
  </w:style>
  <w:style w:type="table" w:styleId="TableGrid">
    <w:name w:val="Table Grid"/>
    <w:basedOn w:val="TableNormal"/>
    <w:uiPriority w:val="39"/>
    <w:rsid w:val="00E66B68"/>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E66B68"/>
    <w:rPr>
      <w:rFonts w:ascii="Verdana" w:hAnsi="Verdana"/>
      <w:color w:val="000000"/>
      <w:sz w:val="18"/>
      <w:szCs w:val="18"/>
    </w:rPr>
  </w:style>
  <w:style w:type="character" w:styleId="CommentReference">
    <w:name w:val="annotation reference"/>
    <w:basedOn w:val="DefaultParagraphFont"/>
    <w:uiPriority w:val="99"/>
    <w:semiHidden/>
    <w:unhideWhenUsed/>
    <w:rsid w:val="00E66B68"/>
    <w:rPr>
      <w:sz w:val="16"/>
      <w:szCs w:val="16"/>
    </w:rPr>
  </w:style>
  <w:style w:type="paragraph" w:styleId="CommentText">
    <w:name w:val="annotation text"/>
    <w:basedOn w:val="Normal"/>
    <w:link w:val="CommentTextChar"/>
    <w:uiPriority w:val="99"/>
    <w:unhideWhenUsed/>
    <w:rsid w:val="00E66B68"/>
    <w:pPr>
      <w:spacing w:line="240" w:lineRule="auto"/>
    </w:pPr>
    <w:rPr>
      <w:sz w:val="20"/>
      <w:szCs w:val="20"/>
    </w:rPr>
  </w:style>
  <w:style w:type="character" w:customStyle="1" w:styleId="CommentTextChar">
    <w:name w:val="Comment Text Char"/>
    <w:basedOn w:val="DefaultParagraphFont"/>
    <w:link w:val="CommentText"/>
    <w:uiPriority w:val="99"/>
    <w:rsid w:val="00E66B68"/>
    <w:rPr>
      <w:rFonts w:ascii="Verdana" w:hAnsi="Verdana"/>
      <w:color w:val="000000"/>
    </w:rPr>
  </w:style>
  <w:style w:type="paragraph" w:styleId="NoSpacing">
    <w:name w:val="No Spacing"/>
    <w:uiPriority w:val="1"/>
    <w:qFormat/>
    <w:rsid w:val="00E66B68"/>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Caption">
    <w:name w:val="caption"/>
    <w:basedOn w:val="Normal"/>
    <w:next w:val="Normal"/>
    <w:uiPriority w:val="35"/>
    <w:unhideWhenUsed/>
    <w:qFormat/>
    <w:rsid w:val="00E66B68"/>
    <w:pPr>
      <w:spacing w:after="200" w:line="240" w:lineRule="auto"/>
    </w:pPr>
    <w:rPr>
      <w:i/>
      <w:iCs/>
      <w:color w:val="0E2841" w:themeColor="text2"/>
    </w:rPr>
  </w:style>
  <w:style w:type="paragraph" w:styleId="CommentSubject">
    <w:name w:val="annotation subject"/>
    <w:basedOn w:val="CommentText"/>
    <w:next w:val="CommentText"/>
    <w:link w:val="CommentSubjectChar"/>
    <w:uiPriority w:val="99"/>
    <w:semiHidden/>
    <w:unhideWhenUsed/>
    <w:rsid w:val="006C33C7"/>
    <w:rPr>
      <w:b/>
      <w:bCs/>
    </w:rPr>
  </w:style>
  <w:style w:type="character" w:customStyle="1" w:styleId="CommentSubjectChar">
    <w:name w:val="Comment Subject Char"/>
    <w:basedOn w:val="CommentTextChar"/>
    <w:link w:val="CommentSubject"/>
    <w:uiPriority w:val="99"/>
    <w:semiHidden/>
    <w:rsid w:val="006C33C7"/>
    <w:rPr>
      <w:rFonts w:ascii="Verdana" w:hAnsi="Verdana"/>
      <w:b/>
      <w:bCs/>
      <w:color w:val="000000"/>
    </w:rPr>
  </w:style>
  <w:style w:type="paragraph" w:styleId="Revision">
    <w:name w:val="Revision"/>
    <w:hidden/>
    <w:uiPriority w:val="99"/>
    <w:semiHidden/>
    <w:rsid w:val="0062765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047">
      <w:bodyDiv w:val="1"/>
      <w:marLeft w:val="0"/>
      <w:marRight w:val="0"/>
      <w:marTop w:val="0"/>
      <w:marBottom w:val="0"/>
      <w:divBdr>
        <w:top w:val="none" w:sz="0" w:space="0" w:color="auto"/>
        <w:left w:val="none" w:sz="0" w:space="0" w:color="auto"/>
        <w:bottom w:val="none" w:sz="0" w:space="0" w:color="auto"/>
        <w:right w:val="none" w:sz="0" w:space="0" w:color="auto"/>
      </w:divBdr>
    </w:div>
    <w:div w:id="110170779">
      <w:bodyDiv w:val="1"/>
      <w:marLeft w:val="0"/>
      <w:marRight w:val="0"/>
      <w:marTop w:val="0"/>
      <w:marBottom w:val="0"/>
      <w:divBdr>
        <w:top w:val="none" w:sz="0" w:space="0" w:color="auto"/>
        <w:left w:val="none" w:sz="0" w:space="0" w:color="auto"/>
        <w:bottom w:val="none" w:sz="0" w:space="0" w:color="auto"/>
        <w:right w:val="none" w:sz="0" w:space="0" w:color="auto"/>
      </w:divBdr>
    </w:div>
    <w:div w:id="157498452">
      <w:bodyDiv w:val="1"/>
      <w:marLeft w:val="0"/>
      <w:marRight w:val="0"/>
      <w:marTop w:val="0"/>
      <w:marBottom w:val="0"/>
      <w:divBdr>
        <w:top w:val="none" w:sz="0" w:space="0" w:color="auto"/>
        <w:left w:val="none" w:sz="0" w:space="0" w:color="auto"/>
        <w:bottom w:val="none" w:sz="0" w:space="0" w:color="auto"/>
        <w:right w:val="none" w:sz="0" w:space="0" w:color="auto"/>
      </w:divBdr>
    </w:div>
    <w:div w:id="171725972">
      <w:bodyDiv w:val="1"/>
      <w:marLeft w:val="0"/>
      <w:marRight w:val="0"/>
      <w:marTop w:val="0"/>
      <w:marBottom w:val="0"/>
      <w:divBdr>
        <w:top w:val="none" w:sz="0" w:space="0" w:color="auto"/>
        <w:left w:val="none" w:sz="0" w:space="0" w:color="auto"/>
        <w:bottom w:val="none" w:sz="0" w:space="0" w:color="auto"/>
        <w:right w:val="none" w:sz="0" w:space="0" w:color="auto"/>
      </w:divBdr>
    </w:div>
    <w:div w:id="349260974">
      <w:bodyDiv w:val="1"/>
      <w:marLeft w:val="0"/>
      <w:marRight w:val="0"/>
      <w:marTop w:val="0"/>
      <w:marBottom w:val="0"/>
      <w:divBdr>
        <w:top w:val="none" w:sz="0" w:space="0" w:color="auto"/>
        <w:left w:val="none" w:sz="0" w:space="0" w:color="auto"/>
        <w:bottom w:val="none" w:sz="0" w:space="0" w:color="auto"/>
        <w:right w:val="none" w:sz="0" w:space="0" w:color="auto"/>
      </w:divBdr>
    </w:div>
    <w:div w:id="461315473">
      <w:bodyDiv w:val="1"/>
      <w:marLeft w:val="0"/>
      <w:marRight w:val="0"/>
      <w:marTop w:val="0"/>
      <w:marBottom w:val="0"/>
      <w:divBdr>
        <w:top w:val="none" w:sz="0" w:space="0" w:color="auto"/>
        <w:left w:val="none" w:sz="0" w:space="0" w:color="auto"/>
        <w:bottom w:val="none" w:sz="0" w:space="0" w:color="auto"/>
        <w:right w:val="none" w:sz="0" w:space="0" w:color="auto"/>
      </w:divBdr>
    </w:div>
    <w:div w:id="647906948">
      <w:bodyDiv w:val="1"/>
      <w:marLeft w:val="0"/>
      <w:marRight w:val="0"/>
      <w:marTop w:val="0"/>
      <w:marBottom w:val="0"/>
      <w:divBdr>
        <w:top w:val="none" w:sz="0" w:space="0" w:color="auto"/>
        <w:left w:val="none" w:sz="0" w:space="0" w:color="auto"/>
        <w:bottom w:val="none" w:sz="0" w:space="0" w:color="auto"/>
        <w:right w:val="none" w:sz="0" w:space="0" w:color="auto"/>
      </w:divBdr>
    </w:div>
    <w:div w:id="1418672332">
      <w:bodyDiv w:val="1"/>
      <w:marLeft w:val="0"/>
      <w:marRight w:val="0"/>
      <w:marTop w:val="0"/>
      <w:marBottom w:val="0"/>
      <w:divBdr>
        <w:top w:val="none" w:sz="0" w:space="0" w:color="auto"/>
        <w:left w:val="none" w:sz="0" w:space="0" w:color="auto"/>
        <w:bottom w:val="none" w:sz="0" w:space="0" w:color="auto"/>
        <w:right w:val="none" w:sz="0" w:space="0" w:color="auto"/>
      </w:divBdr>
    </w:div>
    <w:div w:id="1725060531">
      <w:bodyDiv w:val="1"/>
      <w:marLeft w:val="0"/>
      <w:marRight w:val="0"/>
      <w:marTop w:val="0"/>
      <w:marBottom w:val="0"/>
      <w:divBdr>
        <w:top w:val="none" w:sz="0" w:space="0" w:color="auto"/>
        <w:left w:val="none" w:sz="0" w:space="0" w:color="auto"/>
        <w:bottom w:val="none" w:sz="0" w:space="0" w:color="auto"/>
        <w:right w:val="none" w:sz="0" w:space="0" w:color="auto"/>
      </w:divBdr>
    </w:div>
    <w:div w:id="1883134407">
      <w:bodyDiv w:val="1"/>
      <w:marLeft w:val="0"/>
      <w:marRight w:val="0"/>
      <w:marTop w:val="0"/>
      <w:marBottom w:val="0"/>
      <w:divBdr>
        <w:top w:val="none" w:sz="0" w:space="0" w:color="auto"/>
        <w:left w:val="none" w:sz="0" w:space="0" w:color="auto"/>
        <w:bottom w:val="none" w:sz="0" w:space="0" w:color="auto"/>
        <w:right w:val="none" w:sz="0" w:space="0" w:color="auto"/>
      </w:divBdr>
    </w:div>
    <w:div w:id="1884828800">
      <w:bodyDiv w:val="1"/>
      <w:marLeft w:val="0"/>
      <w:marRight w:val="0"/>
      <w:marTop w:val="0"/>
      <w:marBottom w:val="0"/>
      <w:divBdr>
        <w:top w:val="none" w:sz="0" w:space="0" w:color="auto"/>
        <w:left w:val="none" w:sz="0" w:space="0" w:color="auto"/>
        <w:bottom w:val="none" w:sz="0" w:space="0" w:color="auto"/>
        <w:right w:val="none" w:sz="0" w:space="0" w:color="auto"/>
      </w:divBdr>
    </w:div>
    <w:div w:id="1961103716">
      <w:bodyDiv w:val="1"/>
      <w:marLeft w:val="0"/>
      <w:marRight w:val="0"/>
      <w:marTop w:val="0"/>
      <w:marBottom w:val="0"/>
      <w:divBdr>
        <w:top w:val="none" w:sz="0" w:space="0" w:color="auto"/>
        <w:left w:val="none" w:sz="0" w:space="0" w:color="auto"/>
        <w:bottom w:val="none" w:sz="0" w:space="0" w:color="auto"/>
        <w:right w:val="none" w:sz="0" w:space="0" w:color="auto"/>
      </w:divBdr>
    </w:div>
    <w:div w:id="2110468665">
      <w:bodyDiv w:val="1"/>
      <w:marLeft w:val="0"/>
      <w:marRight w:val="0"/>
      <w:marTop w:val="0"/>
      <w:marBottom w:val="0"/>
      <w:divBdr>
        <w:top w:val="none" w:sz="0" w:space="0" w:color="auto"/>
        <w:left w:val="none" w:sz="0" w:space="0" w:color="auto"/>
        <w:bottom w:val="none" w:sz="0" w:space="0" w:color="auto"/>
        <w:right w:val="none" w:sz="0" w:space="0" w:color="auto"/>
      </w:divBdr>
    </w:div>
    <w:div w:id="2137286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2317</ap:Words>
  <ap:Characters>12745</ap:Characters>
  <ap:DocSecurity>0</ap:DocSecurity>
  <ap:Lines>106</ap:Lines>
  <ap:Paragraphs>30</ap:Paragraphs>
  <ap:ScaleCrop>false</ap:ScaleCrop>
  <ap:HeadingPairs>
    <vt:vector baseType="variant" size="2">
      <vt:variant>
        <vt:lpstr>Title</vt:lpstr>
      </vt:variant>
      <vt:variant>
        <vt:i4>1</vt:i4>
      </vt:variant>
    </vt:vector>
  </ap:HeadingPairs>
  <ap:TitlesOfParts>
    <vt:vector baseType="lpstr" size="1">
      <vt:lpstr>Kamerbrief over de nadere financiële invulling van humanitaire hulp in 2026</vt:lpstr>
    </vt:vector>
  </ap:TitlesOfParts>
  <ap:LinksUpToDate>false</ap:LinksUpToDate>
  <ap:CharactersWithSpaces>15032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2026-01-12T14:30:00.0000000Z</lastPrinted>
  <dcterms:created xsi:type="dcterms:W3CDTF">2026-01-12T16:29:00.0000000Z</dcterms:created>
  <dcterms:modified xsi:type="dcterms:W3CDTF">2026-01-12T16:29:00.0000000Z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ga509c7afcac4f5cb939db754ffece25">
    <vt:lpwstr>NO MARKING|879e64ec-6597-483b-94db-f5f70afd7299</vt:lpwstr>
  </property>
  <property fmtid="{D5CDD505-2E9C-101B-9397-08002B2CF9AE}" pid="4" name="TaxCatchAll">
    <vt:lpwstr>-1;#NO MARKING</vt:lpwstr>
  </property>
  <property fmtid="{D5CDD505-2E9C-101B-9397-08002B2CF9AE}" pid="5" name="BZForumOrganisation">
    <vt:lpwstr>2;#Not applicable|0049e722-bfb1-4a3f-9d08-af7366a9af40</vt:lpwstr>
  </property>
  <property fmtid="{D5CDD505-2E9C-101B-9397-08002B2CF9AE}" pid="6" name="gc2efd3bfea04f7f8169be07009f5536">
    <vt:lpwstr/>
  </property>
  <property fmtid="{D5CDD505-2E9C-101B-9397-08002B2CF9AE}" pid="7" name="BZDossierBudgetManager">
    <vt:lpwstr/>
  </property>
  <property fmtid="{D5CDD505-2E9C-101B-9397-08002B2CF9AE}" pid="8" name="BZ_Classification">
    <vt:lpwstr>8;#NO MARKING|879e64ec-6597-483b-94db-f5f70afd7299</vt:lpwstr>
  </property>
  <property fmtid="{D5CDD505-2E9C-101B-9397-08002B2CF9AE}" pid="9" name="BZTheme">
    <vt:lpwstr>150;#Organization and management general|0de1cc90-a8d1-4553-a3b7-516b6498b343</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ProcessLocation">
    <vt:lpwstr/>
  </property>
  <property fmtid="{D5CDD505-2E9C-101B-9397-08002B2CF9AE}" pid="14" name="BZDossierGovernmentOfficial">
    <vt:lpwstr/>
  </property>
  <property fmtid="{D5CDD505-2E9C-101B-9397-08002B2CF9AE}" pid="15" name="BZMarking">
    <vt:lpwstr>5;#NO MARKING|0a4eb9ae-69eb-4d9e-b573-43ab99ef8592</vt:lpwstr>
  </property>
  <property fmtid="{D5CDD505-2E9C-101B-9397-08002B2CF9AE}" pid="16" name="f2fb2a8e39404f1ab554e4e4a49d2918">
    <vt:lpwstr/>
  </property>
  <property fmtid="{D5CDD505-2E9C-101B-9397-08002B2CF9AE}" pid="17" name="BZDossierPublishingWOOCategory">
    <vt:lpwstr/>
  </property>
  <property fmtid="{D5CDD505-2E9C-101B-9397-08002B2CF9AE}" pid="18" name="i42ef48d5fa942a0ad0d60e44f201751">
    <vt:lpwstr/>
  </property>
  <property fmtid="{D5CDD505-2E9C-101B-9397-08002B2CF9AE}" pid="19" name="BZClassification">
    <vt:lpwstr>4;#UNCLASSIFIED (U)|284e6a62-15ab-4017-be27-a1e965f4e940</vt:lpwstr>
  </property>
  <property fmtid="{D5CDD505-2E9C-101B-9397-08002B2CF9AE}" pid="20" name="f8e003236e1c4ac2ab9051d5d8789bbb">
    <vt:lpwstr/>
  </property>
  <property fmtid="{D5CDD505-2E9C-101B-9397-08002B2CF9AE}" pid="21" name="p29721a54a5c4bbe9786e930fc91e270">
    <vt:lpwstr/>
  </property>
  <property fmtid="{D5CDD505-2E9C-101B-9397-08002B2CF9AE}" pid="22" name="ed9282a3f18446ec8c17c7829edf82dd">
    <vt:lpwstr/>
  </property>
  <property fmtid="{D5CDD505-2E9C-101B-9397-08002B2CF9AE}" pid="23" name="e256f556a7b748329ab47889947c7d40">
    <vt:lpwstr/>
  </property>
  <property fmtid="{D5CDD505-2E9C-101B-9397-08002B2CF9AE}" pid="24" name="BZDossierProcessType">
    <vt:lpwstr/>
  </property>
  <property fmtid="{D5CDD505-2E9C-101B-9397-08002B2CF9AE}" pid="25" name="_docset_NoMedatataSyncRequired">
    <vt:lpwstr>False</vt:lpwstr>
  </property>
  <property fmtid="{D5CDD505-2E9C-101B-9397-08002B2CF9AE}" pid="26" name="_dlc_DocIdItemGuid">
    <vt:lpwstr>f161aa12-ef61-4801-8343-e3b06d587830</vt:lpwstr>
  </property>
</Properties>
</file>