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D2A" w:rsidP="00735D2A" w:rsidRDefault="00735D2A" w14:paraId="0BBA2A7F" w14:textId="10830B56">
      <w:pPr>
        <w:spacing w:after="0" w:line="240" w:lineRule="auto"/>
        <w:rPr>
          <w:rFonts w:ascii="Verdana" w:hAnsi="Verdana"/>
          <w:color w:val="000000" w:themeColor="text1"/>
          <w:sz w:val="18"/>
          <w:szCs w:val="18"/>
        </w:rPr>
      </w:pPr>
      <w:r>
        <w:rPr>
          <w:rFonts w:ascii="Verdana" w:hAnsi="Verdana"/>
          <w:color w:val="000000" w:themeColor="text1"/>
          <w:sz w:val="18"/>
          <w:szCs w:val="18"/>
        </w:rPr>
        <w:t>AH 861</w:t>
      </w:r>
    </w:p>
    <w:p w:rsidR="00735D2A" w:rsidP="00735D2A" w:rsidRDefault="00735D2A" w14:paraId="1AA54ADE" w14:textId="77777777">
      <w:pPr>
        <w:spacing w:after="0" w:line="240" w:lineRule="auto"/>
        <w:rPr>
          <w:rFonts w:ascii="Verdana" w:hAnsi="Verdana"/>
          <w:color w:val="000000" w:themeColor="text1"/>
          <w:sz w:val="18"/>
          <w:szCs w:val="18"/>
        </w:rPr>
      </w:pPr>
    </w:p>
    <w:p w:rsidR="00735D2A" w:rsidP="00735D2A" w:rsidRDefault="00735D2A" w14:paraId="4C7A2975" w14:textId="0485FDAB">
      <w:pPr>
        <w:spacing w:after="0" w:line="240" w:lineRule="auto"/>
        <w:rPr>
          <w:rFonts w:ascii="Verdana" w:hAnsi="Verdana"/>
          <w:color w:val="000000" w:themeColor="text1"/>
          <w:sz w:val="18"/>
          <w:szCs w:val="18"/>
        </w:rPr>
      </w:pPr>
      <w:r>
        <w:rPr>
          <w:rFonts w:ascii="Verdana" w:hAnsi="Verdana"/>
          <w:color w:val="000000" w:themeColor="text1"/>
          <w:sz w:val="18"/>
          <w:szCs w:val="18"/>
        </w:rPr>
        <w:t>2025Z20267</w:t>
      </w:r>
    </w:p>
    <w:p w:rsidR="00735D2A" w:rsidP="00735D2A" w:rsidRDefault="00735D2A" w14:paraId="630E3A62" w14:textId="77777777">
      <w:pPr>
        <w:spacing w:after="0" w:line="240" w:lineRule="auto"/>
        <w:rPr>
          <w:rFonts w:ascii="Verdana" w:hAnsi="Verdana"/>
          <w:color w:val="000000" w:themeColor="text1"/>
          <w:sz w:val="18"/>
          <w:szCs w:val="18"/>
        </w:rPr>
      </w:pPr>
    </w:p>
    <w:p w:rsidRPr="00735D2A" w:rsidR="00735D2A" w:rsidP="00735D2A" w:rsidRDefault="00735D2A" w14:paraId="28F459F3" w14:textId="6B6E6EDE">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13 januari 2026)</w:t>
      </w:r>
    </w:p>
    <w:p w:rsidR="00735D2A" w:rsidP="00735D2A" w:rsidRDefault="00735D2A" w14:paraId="15F6E47F" w14:textId="77777777">
      <w:pPr>
        <w:spacing w:after="0" w:line="240" w:lineRule="auto"/>
        <w:rPr>
          <w:rFonts w:ascii="Verdana" w:hAnsi="Verdana"/>
          <w:color w:val="000000" w:themeColor="text1"/>
          <w:sz w:val="18"/>
          <w:szCs w:val="18"/>
        </w:rPr>
      </w:pPr>
    </w:p>
    <w:p w:rsidRPr="00735D2A" w:rsidR="00735D2A" w:rsidP="00735D2A" w:rsidRDefault="00735D2A" w14:paraId="4EB0F3A7" w14:textId="2802F0B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653</w:t>
      </w:r>
    </w:p>
    <w:p w:rsidRPr="0006797C" w:rsidR="00735D2A" w:rsidP="00735D2A" w:rsidRDefault="00735D2A" w14:paraId="5083F761" w14:textId="77777777">
      <w:pPr>
        <w:spacing w:after="0" w:line="240" w:lineRule="auto"/>
        <w:rPr>
          <w:rFonts w:ascii="Verdana" w:hAnsi="Verdana"/>
          <w:color w:val="000000" w:themeColor="text1"/>
          <w:sz w:val="18"/>
          <w:szCs w:val="18"/>
        </w:rPr>
      </w:pPr>
    </w:p>
    <w:p w:rsidRPr="0006797C" w:rsidR="00735D2A" w:rsidP="00735D2A" w:rsidRDefault="00735D2A" w14:paraId="7FFD0FAB"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1</w:t>
      </w:r>
    </w:p>
    <w:p w:rsidRPr="0006797C" w:rsidR="00735D2A" w:rsidP="00735D2A" w:rsidRDefault="00735D2A" w14:paraId="2A4F028B"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Bent u bekend met het Zembla-artikel waaruit blijkt dat de 200% verhoging van de strafeis bij geweldsdelicten tegen NS-medewerkers, en anderen met een publieke taak, nauwelijks wordt uitgevoerd in de praktijk?</w:t>
      </w:r>
      <w:r w:rsidRPr="0006797C">
        <w:rPr>
          <w:rStyle w:val="Voetnootmarkering"/>
          <w:rFonts w:ascii="Verdana" w:hAnsi="Verdana"/>
          <w:b/>
          <w:bCs/>
          <w:color w:val="000000" w:themeColor="text1"/>
          <w:sz w:val="18"/>
          <w:szCs w:val="18"/>
        </w:rPr>
        <w:footnoteReference w:id="1"/>
      </w:r>
    </w:p>
    <w:p w:rsidRPr="0006797C" w:rsidR="00735D2A" w:rsidP="00735D2A" w:rsidRDefault="00735D2A" w14:paraId="342145DF" w14:textId="77777777">
      <w:pPr>
        <w:spacing w:after="0" w:line="240" w:lineRule="auto"/>
        <w:rPr>
          <w:rFonts w:ascii="Verdana" w:hAnsi="Verdana"/>
          <w:b/>
          <w:bCs/>
          <w:color w:val="000000" w:themeColor="text1"/>
          <w:sz w:val="18"/>
          <w:szCs w:val="18"/>
        </w:rPr>
      </w:pPr>
    </w:p>
    <w:p w:rsidRPr="0006797C" w:rsidR="00735D2A" w:rsidP="00735D2A" w:rsidRDefault="00735D2A" w14:paraId="7B823867"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1</w:t>
      </w:r>
    </w:p>
    <w:p w:rsidRPr="0006797C" w:rsidR="00735D2A" w:rsidP="00735D2A" w:rsidRDefault="00735D2A" w14:paraId="4DBAB0B1"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Ja.</w:t>
      </w:r>
    </w:p>
    <w:p w:rsidRPr="0006797C" w:rsidR="00735D2A" w:rsidP="00735D2A" w:rsidRDefault="00735D2A" w14:paraId="0E195816" w14:textId="77777777">
      <w:pPr>
        <w:spacing w:after="0" w:line="240" w:lineRule="auto"/>
        <w:rPr>
          <w:rFonts w:ascii="Verdana" w:hAnsi="Verdana"/>
          <w:color w:val="000000" w:themeColor="text1"/>
          <w:sz w:val="18"/>
          <w:szCs w:val="18"/>
        </w:rPr>
      </w:pPr>
    </w:p>
    <w:p w:rsidRPr="0006797C" w:rsidR="00735D2A" w:rsidP="00735D2A" w:rsidRDefault="00735D2A" w14:paraId="7D54F90A" w14:textId="77777777">
      <w:pPr>
        <w:spacing w:after="0" w:line="240" w:lineRule="auto"/>
        <w:rPr>
          <w:rFonts w:ascii="Verdana" w:hAnsi="Verdana"/>
          <w:color w:val="000000" w:themeColor="text1"/>
          <w:sz w:val="18"/>
          <w:szCs w:val="18"/>
        </w:rPr>
      </w:pPr>
      <w:r w:rsidRPr="0006797C">
        <w:rPr>
          <w:rFonts w:ascii="Verdana" w:hAnsi="Verdana"/>
          <w:b/>
          <w:bCs/>
          <w:color w:val="000000" w:themeColor="text1"/>
          <w:sz w:val="18"/>
          <w:szCs w:val="18"/>
        </w:rPr>
        <w:t>Vraag 2</w:t>
      </w:r>
    </w:p>
    <w:p w:rsidRPr="0006797C" w:rsidR="00735D2A" w:rsidP="00735D2A" w:rsidRDefault="00735D2A" w14:paraId="3FE2E58D"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Bent u ervan op de hoogte dat het Openbaar Ministerie als uitgangspunt hanteert dat bij geweldsdelicten tegen hulpverleners een 200% hogere strafeis kan worden geëist, maar dat dit uitgangspunt in de praktijk nauwelijks terug is te zien?</w:t>
      </w:r>
    </w:p>
    <w:p w:rsidRPr="0006797C" w:rsidR="00735D2A" w:rsidP="00735D2A" w:rsidRDefault="00735D2A" w14:paraId="7E8D21DE" w14:textId="77777777">
      <w:pPr>
        <w:spacing w:after="0" w:line="240" w:lineRule="auto"/>
        <w:rPr>
          <w:rFonts w:ascii="Verdana" w:hAnsi="Verdana"/>
          <w:b/>
          <w:bCs/>
          <w:color w:val="000000" w:themeColor="text1"/>
          <w:sz w:val="18"/>
          <w:szCs w:val="18"/>
        </w:rPr>
      </w:pPr>
    </w:p>
    <w:p w:rsidRPr="0006797C" w:rsidR="00735D2A" w:rsidP="00735D2A" w:rsidRDefault="00735D2A" w14:paraId="07594514"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2</w:t>
      </w:r>
    </w:p>
    <w:p w:rsidRPr="0006797C" w:rsidR="00735D2A" w:rsidP="00735D2A" w:rsidRDefault="00735D2A" w14:paraId="06BBB476"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Ik ben uiteraard bekend met het uitgangspunt dat het Openbaar Ministerie hanteert. Met dit uitgangspunt houdt de officier van justitie rekening in de strafeis. In de antwoorden hierna zal ik verder ingaan in uitwerking hiervan in de praktijk.</w:t>
      </w:r>
    </w:p>
    <w:p w:rsidRPr="0006797C" w:rsidR="00735D2A" w:rsidP="00735D2A" w:rsidRDefault="00735D2A" w14:paraId="6A06BC13" w14:textId="77777777">
      <w:pPr>
        <w:spacing w:after="0" w:line="240" w:lineRule="auto"/>
        <w:rPr>
          <w:rFonts w:ascii="Verdana" w:hAnsi="Verdana"/>
          <w:color w:val="000000" w:themeColor="text1"/>
          <w:sz w:val="18"/>
          <w:szCs w:val="18"/>
        </w:rPr>
      </w:pPr>
    </w:p>
    <w:p w:rsidRPr="0006797C" w:rsidR="00735D2A" w:rsidP="00735D2A" w:rsidRDefault="00735D2A" w14:paraId="1F6A215C"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3</w:t>
      </w:r>
    </w:p>
    <w:p w:rsidRPr="0006797C" w:rsidR="00735D2A" w:rsidP="00735D2A" w:rsidRDefault="00735D2A" w14:paraId="458E94F2"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Kunt u begrijpen dat medewerkers met een publieke taak - die zich iedere dag inzetten voor onze samenleving en op steun van de overheid rekenen - zich in de steek gelaten voelen doordat de 200% verhoging van de strafeis nauwelijks wordt toegepast in de praktijk?</w:t>
      </w:r>
    </w:p>
    <w:p w:rsidRPr="0006797C" w:rsidR="00735D2A" w:rsidP="00735D2A" w:rsidRDefault="00735D2A" w14:paraId="09F4EF8B" w14:textId="77777777">
      <w:pPr>
        <w:spacing w:after="0" w:line="240" w:lineRule="auto"/>
        <w:rPr>
          <w:rFonts w:ascii="Verdana" w:hAnsi="Verdana"/>
          <w:b/>
          <w:bCs/>
          <w:color w:val="000000" w:themeColor="text1"/>
          <w:sz w:val="18"/>
          <w:szCs w:val="18"/>
        </w:rPr>
      </w:pPr>
    </w:p>
    <w:p w:rsidRPr="0006797C" w:rsidR="00735D2A" w:rsidP="00735D2A" w:rsidRDefault="00735D2A" w14:paraId="149662FE"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3</w:t>
      </w:r>
    </w:p>
    <w:p w:rsidRPr="0006797C" w:rsidR="00735D2A" w:rsidP="00735D2A" w:rsidRDefault="00735D2A" w14:paraId="6860664A"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Vooropgesteld veroordeel ik al het geweld tegen medewerkers met een publieke taak in de sterkst mogelijke woorden. Rond de jaarwisseling hebben we helaas weer vreselijke incidenten gezien. Ik kan mij goed de beleving van medewerkers met een publieke taak voorstellen dat zij – omdat zij andere verwachtingen hebben – zich soms in de steek gelaten voelen. </w:t>
      </w:r>
    </w:p>
    <w:p w:rsidRPr="0006797C" w:rsidR="00735D2A" w:rsidP="00735D2A" w:rsidRDefault="00735D2A" w14:paraId="554111AD" w14:textId="77777777">
      <w:pPr>
        <w:spacing w:after="0" w:line="240" w:lineRule="auto"/>
        <w:rPr>
          <w:rFonts w:ascii="Verdana" w:hAnsi="Verdana"/>
          <w:color w:val="000000" w:themeColor="text1"/>
          <w:sz w:val="18"/>
          <w:szCs w:val="18"/>
        </w:rPr>
      </w:pPr>
    </w:p>
    <w:p w:rsidRPr="0006797C" w:rsidR="00735D2A" w:rsidP="00735D2A" w:rsidRDefault="00735D2A" w14:paraId="3C501029"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Het uitgangspunt van 200% betekent niet dat iedere verdachte ook een driedubbele straf opgelegd krijgt. De 200% hogere strafeis is het uitgangspunt, waarna de officier volgens de geldende richtlijnen ook moet kijken naar de context waarin het feit is gepleegd en omstandigheden rondom de dader en de effectiviteit van de te eisen straf. De officier van justitie dient dit toe te lichten in zijn requisitoir. </w:t>
      </w:r>
    </w:p>
    <w:p w:rsidRPr="0006797C" w:rsidR="00735D2A" w:rsidP="00735D2A" w:rsidRDefault="00735D2A" w14:paraId="6688C777" w14:textId="77777777">
      <w:pPr>
        <w:spacing w:after="0" w:line="240" w:lineRule="auto"/>
        <w:rPr>
          <w:rFonts w:ascii="Verdana" w:hAnsi="Verdana"/>
          <w:color w:val="000000" w:themeColor="text1"/>
          <w:sz w:val="18"/>
          <w:szCs w:val="18"/>
        </w:rPr>
      </w:pPr>
    </w:p>
    <w:p w:rsidR="00735D2A" w:rsidP="00735D2A" w:rsidRDefault="00735D2A" w14:paraId="28590084" w14:textId="77777777">
      <w:pPr>
        <w:spacing w:after="0" w:line="240" w:lineRule="auto"/>
        <w:rPr>
          <w:rFonts w:ascii="Verdana" w:hAnsi="Verdana"/>
          <w:color w:val="000000" w:themeColor="text1"/>
          <w:sz w:val="18"/>
          <w:szCs w:val="18"/>
        </w:rPr>
      </w:pPr>
    </w:p>
    <w:p w:rsidR="00735D2A" w:rsidP="00735D2A" w:rsidRDefault="00735D2A" w14:paraId="79758B16" w14:textId="77777777">
      <w:pPr>
        <w:spacing w:after="0" w:line="240" w:lineRule="auto"/>
        <w:rPr>
          <w:rFonts w:ascii="Verdana" w:hAnsi="Verdana"/>
          <w:color w:val="000000" w:themeColor="text1"/>
          <w:sz w:val="18"/>
          <w:szCs w:val="18"/>
        </w:rPr>
      </w:pPr>
    </w:p>
    <w:p w:rsidR="00735D2A" w:rsidP="00735D2A" w:rsidRDefault="00735D2A" w14:paraId="2D65C19B" w14:textId="77777777">
      <w:pPr>
        <w:spacing w:after="0" w:line="240" w:lineRule="auto"/>
        <w:rPr>
          <w:rFonts w:ascii="Verdana" w:hAnsi="Verdana"/>
          <w:color w:val="000000" w:themeColor="text1"/>
          <w:sz w:val="18"/>
          <w:szCs w:val="18"/>
        </w:rPr>
      </w:pPr>
    </w:p>
    <w:p w:rsidR="00735D2A" w:rsidP="00735D2A" w:rsidRDefault="00735D2A" w14:paraId="33C11F77" w14:textId="77777777">
      <w:pPr>
        <w:spacing w:after="0" w:line="240" w:lineRule="auto"/>
        <w:rPr>
          <w:rFonts w:ascii="Verdana" w:hAnsi="Verdana"/>
          <w:color w:val="000000" w:themeColor="text1"/>
          <w:sz w:val="18"/>
          <w:szCs w:val="18"/>
        </w:rPr>
      </w:pPr>
    </w:p>
    <w:p w:rsidR="00735D2A" w:rsidP="00735D2A" w:rsidRDefault="00735D2A" w14:paraId="12E0EF00" w14:textId="77777777">
      <w:pPr>
        <w:spacing w:after="0" w:line="240" w:lineRule="auto"/>
        <w:rPr>
          <w:rFonts w:ascii="Verdana" w:hAnsi="Verdana"/>
          <w:color w:val="000000" w:themeColor="text1"/>
          <w:sz w:val="18"/>
          <w:szCs w:val="18"/>
        </w:rPr>
      </w:pPr>
    </w:p>
    <w:p w:rsidR="00735D2A" w:rsidP="00735D2A" w:rsidRDefault="00735D2A" w14:paraId="5A3D9383"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De strafeis is slechts één van de maatregelen om agressie en geweld een halt toe te roepen. Voor de werknemers betekent dit dat naast het opsporen en vervolgen van daders de overheid ook inzet op andere maatregelen, zoals bijvoorbeeld preventieprogramma’s om agressie en geweld te voorkomen, het verstrekken aan werkgevers van handvatten voor een veilige(re) werkomgeving en door wetenschappelijk onderzoek te laten doen naar thema’s als agressie en geweld tegen hulpverleners.</w:t>
      </w:r>
    </w:p>
    <w:p w:rsidRPr="0006797C" w:rsidR="00735D2A" w:rsidP="00735D2A" w:rsidRDefault="00735D2A" w14:paraId="0750F17E" w14:textId="77777777">
      <w:pPr>
        <w:spacing w:after="0" w:line="240" w:lineRule="auto"/>
        <w:rPr>
          <w:rFonts w:ascii="Verdana" w:hAnsi="Verdana"/>
          <w:color w:val="000000" w:themeColor="text1"/>
          <w:sz w:val="18"/>
          <w:szCs w:val="18"/>
        </w:rPr>
      </w:pPr>
    </w:p>
    <w:p w:rsidRPr="0006797C" w:rsidR="00735D2A" w:rsidP="00735D2A" w:rsidRDefault="00735D2A" w14:paraId="474D2DA3"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4</w:t>
      </w:r>
    </w:p>
    <w:p w:rsidRPr="0006797C" w:rsidR="00735D2A" w:rsidP="00735D2A" w:rsidRDefault="00735D2A" w14:paraId="76DCAF43"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Kunt u exact aangeven hoeveel zaken met geweld tegen medewerkers met een publieke taak hebben plaatsgevonden, hoeveel daarvan tot vervolging hebben geleid, in hoeveel gevallen de 200%-strafeis is geëist en in hoeveel gevallen de rechter deze strafeis heeft gevolgd?</w:t>
      </w:r>
    </w:p>
    <w:p w:rsidRPr="0006797C" w:rsidR="00735D2A" w:rsidP="00735D2A" w:rsidRDefault="00735D2A" w14:paraId="0B3C9082" w14:textId="77777777">
      <w:pPr>
        <w:spacing w:after="0" w:line="240" w:lineRule="auto"/>
        <w:rPr>
          <w:rFonts w:ascii="Verdana" w:hAnsi="Verdana"/>
          <w:b/>
          <w:bCs/>
          <w:color w:val="000000" w:themeColor="text1"/>
          <w:sz w:val="18"/>
          <w:szCs w:val="18"/>
        </w:rPr>
      </w:pPr>
    </w:p>
    <w:p w:rsidRPr="0006797C" w:rsidR="00735D2A" w:rsidP="00735D2A" w:rsidRDefault="00735D2A" w14:paraId="2D8085BF"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4</w:t>
      </w:r>
    </w:p>
    <w:p w:rsidRPr="0006797C" w:rsidR="00735D2A" w:rsidP="00735D2A" w:rsidRDefault="00735D2A" w14:paraId="3697C4E8"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In de beleidsreactie van mijn ambtsvoorganger aan de Kamer naar aanleiding van het onderzoek van de DSP groep naar straftoemeting bij VPT-delicten in 2024 is reeds bericht dat het overgrote deel van de geïnterviewde officieren van justitie enige mate van strafverhoging toepast, maar dat de 200% strafverhoging uit de OM-richtlijn slechts zelden wordt toegepast.</w:t>
      </w:r>
      <w:r w:rsidRPr="0006797C">
        <w:rPr>
          <w:rStyle w:val="Voetnootmarkering"/>
          <w:rFonts w:ascii="Verdana" w:hAnsi="Verdana"/>
          <w:color w:val="000000" w:themeColor="text1"/>
          <w:sz w:val="18"/>
          <w:szCs w:val="18"/>
        </w:rPr>
        <w:footnoteReference w:id="2"/>
      </w:r>
      <w:r w:rsidRPr="0006797C">
        <w:rPr>
          <w:rFonts w:ascii="Verdana" w:hAnsi="Verdana"/>
          <w:color w:val="000000" w:themeColor="text1"/>
          <w:sz w:val="18"/>
          <w:szCs w:val="18"/>
        </w:rPr>
        <w:t xml:space="preserve"> Mijn ambtsvoorganger heeft hier met het Openbaar Ministerie het gesprek over gevoerd. Het OM heeft mij naar aanleiding van dit gesprek laten weten dat dit inmiddels opnieuw bij de officieren van justitie met het taakaccent veilige publieke taak (VPT) onder de aandacht is gebracht. </w:t>
      </w:r>
      <w:bookmarkStart w:name="_Hlk194649699" w:id="0"/>
      <w:bookmarkStart w:name="_Hlk194670606" w:id="1"/>
      <w:r w:rsidRPr="0006797C">
        <w:rPr>
          <w:rFonts w:ascii="Verdana" w:hAnsi="Verdana"/>
          <w:color w:val="000000" w:themeColor="text1"/>
          <w:sz w:val="18"/>
          <w:szCs w:val="18"/>
        </w:rPr>
        <w:t xml:space="preserve">Daarnaast zal het OM blijvend aandacht schenken aan de vraag of de strafvorderingsrichtlijn voldoende bekend is binnen het OM en of het genoemde strafeisverhogingspercentage als uitgangspunt wordt gebruikt. </w:t>
      </w:r>
      <w:bookmarkEnd w:id="0"/>
      <w:bookmarkEnd w:id="1"/>
      <w:r w:rsidRPr="0006797C">
        <w:rPr>
          <w:rFonts w:ascii="Verdana" w:hAnsi="Verdana"/>
          <w:color w:val="000000" w:themeColor="text1"/>
          <w:sz w:val="18"/>
          <w:szCs w:val="18"/>
        </w:rPr>
        <w:t xml:space="preserve">Ook wordt in het onderzoeksrapport van DSP geconcludeerd dat het bij de rechters als een strafverzwarende omstandigheid wordt aangemerkt als het slachtoffer een publieke taak uitoefende. </w:t>
      </w:r>
    </w:p>
    <w:p w:rsidRPr="0006797C" w:rsidR="00735D2A" w:rsidP="00735D2A" w:rsidRDefault="00735D2A" w14:paraId="7769CDEC" w14:textId="77777777">
      <w:pPr>
        <w:spacing w:after="0" w:line="240" w:lineRule="auto"/>
        <w:rPr>
          <w:rFonts w:ascii="Verdana" w:hAnsi="Verdana"/>
          <w:color w:val="000000" w:themeColor="text1"/>
          <w:sz w:val="18"/>
          <w:szCs w:val="18"/>
        </w:rPr>
      </w:pPr>
    </w:p>
    <w:p w:rsidRPr="0006797C" w:rsidR="00735D2A" w:rsidP="00735D2A" w:rsidRDefault="00735D2A" w14:paraId="310DC82D"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Uit de jaarrapportage van het Openbaar Ministerie volgt dat van alle VPT-zaken die bij het Openbaar Ministerie binnenkomen 60% aan de rechter wordt voorgelegd en dat is meer dan gemiddeld. De overige 40% wordt door het OM zelf afgedaan. Exacte cijfers over hoe vaak een 200% hogere strafeis wordt geëist en hoe vaak dit wordt opgelegd zijn niet betrouwbaar uit de managementinformatiesystemen van de Rechtspraak en het Openbaar Ministerie te halen.</w:t>
      </w:r>
    </w:p>
    <w:p w:rsidRPr="0006797C" w:rsidR="00735D2A" w:rsidP="00735D2A" w:rsidRDefault="00735D2A" w14:paraId="78C5407C" w14:textId="77777777">
      <w:pPr>
        <w:spacing w:after="0" w:line="240" w:lineRule="auto"/>
        <w:rPr>
          <w:rFonts w:ascii="Verdana" w:hAnsi="Verdana"/>
          <w:color w:val="000000" w:themeColor="text1"/>
          <w:sz w:val="18"/>
          <w:szCs w:val="18"/>
        </w:rPr>
      </w:pPr>
    </w:p>
    <w:p w:rsidRPr="0006797C" w:rsidR="00735D2A" w:rsidP="00735D2A" w:rsidRDefault="00735D2A" w14:paraId="4247C298"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5</w:t>
      </w:r>
    </w:p>
    <w:p w:rsidRPr="0006797C" w:rsidR="00735D2A" w:rsidP="00735D2A" w:rsidRDefault="00735D2A" w14:paraId="56010A46"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 xml:space="preserve">Kunt u toelichten waarom zijn eigen instructie om de strafeis met 200% te verhogen in de praktijk nauwelijks terug te zien is in de strafeis van de officier van justitie? </w:t>
      </w:r>
    </w:p>
    <w:p w:rsidRPr="0006797C" w:rsidR="00735D2A" w:rsidP="00735D2A" w:rsidRDefault="00735D2A" w14:paraId="00F3FD18" w14:textId="77777777">
      <w:pPr>
        <w:spacing w:after="0" w:line="240" w:lineRule="auto"/>
        <w:rPr>
          <w:rFonts w:ascii="Verdana" w:hAnsi="Verdana"/>
          <w:b/>
          <w:bCs/>
          <w:color w:val="000000" w:themeColor="text1"/>
          <w:sz w:val="18"/>
          <w:szCs w:val="18"/>
        </w:rPr>
      </w:pPr>
    </w:p>
    <w:p w:rsidRPr="0006797C" w:rsidR="00735D2A" w:rsidP="00735D2A" w:rsidRDefault="00735D2A" w14:paraId="2B413725"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5</w:t>
      </w:r>
    </w:p>
    <w:p w:rsidRPr="0006797C" w:rsidR="00735D2A" w:rsidP="00735D2A" w:rsidRDefault="00735D2A" w14:paraId="7FED4D79"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De verhoging van de strafeis met 200% is een uitgangspunt waarmee de officier van justitie bij het formuleren van de strafeis rekening houdt. Door het wegen van alle relevante factoren van het geval, komt de officier van justitie tot een op maat gesneden (betekenisvolle) sanctie of strafeis.</w:t>
      </w:r>
    </w:p>
    <w:p w:rsidRPr="0006797C" w:rsidR="00735D2A" w:rsidP="00735D2A" w:rsidRDefault="00735D2A" w14:paraId="4DC207CA" w14:textId="77777777">
      <w:pPr>
        <w:spacing w:after="0" w:line="240" w:lineRule="auto"/>
        <w:rPr>
          <w:rFonts w:ascii="Verdana" w:hAnsi="Verdana"/>
          <w:color w:val="000000" w:themeColor="text1"/>
          <w:sz w:val="18"/>
          <w:szCs w:val="18"/>
        </w:rPr>
      </w:pPr>
    </w:p>
    <w:p w:rsidR="00735D2A" w:rsidP="00735D2A" w:rsidRDefault="00735D2A" w14:paraId="27B1B71C" w14:textId="77777777">
      <w:pPr>
        <w:spacing w:after="0" w:line="240" w:lineRule="auto"/>
        <w:rPr>
          <w:rFonts w:ascii="Verdana" w:hAnsi="Verdana"/>
          <w:b/>
          <w:bCs/>
          <w:color w:val="000000" w:themeColor="text1"/>
          <w:sz w:val="18"/>
          <w:szCs w:val="18"/>
        </w:rPr>
      </w:pPr>
    </w:p>
    <w:p w:rsidR="00735D2A" w:rsidP="00735D2A" w:rsidRDefault="00735D2A" w14:paraId="67CA8822" w14:textId="77777777">
      <w:pPr>
        <w:spacing w:after="0" w:line="240" w:lineRule="auto"/>
        <w:rPr>
          <w:rFonts w:ascii="Verdana" w:hAnsi="Verdana"/>
          <w:b/>
          <w:bCs/>
          <w:color w:val="000000" w:themeColor="text1"/>
          <w:sz w:val="18"/>
          <w:szCs w:val="18"/>
        </w:rPr>
      </w:pPr>
    </w:p>
    <w:p w:rsidR="00735D2A" w:rsidP="00735D2A" w:rsidRDefault="00735D2A" w14:paraId="5FD56DD2" w14:textId="77777777">
      <w:pPr>
        <w:spacing w:after="0" w:line="240" w:lineRule="auto"/>
        <w:rPr>
          <w:rFonts w:ascii="Verdana" w:hAnsi="Verdana"/>
          <w:b/>
          <w:bCs/>
          <w:color w:val="000000" w:themeColor="text1"/>
          <w:sz w:val="18"/>
          <w:szCs w:val="18"/>
        </w:rPr>
      </w:pPr>
    </w:p>
    <w:p w:rsidR="00735D2A" w:rsidP="00735D2A" w:rsidRDefault="00735D2A" w14:paraId="19E2F998" w14:textId="77777777">
      <w:pPr>
        <w:spacing w:after="0" w:line="240" w:lineRule="auto"/>
        <w:rPr>
          <w:rFonts w:ascii="Verdana" w:hAnsi="Verdana"/>
          <w:b/>
          <w:bCs/>
          <w:color w:val="000000" w:themeColor="text1"/>
          <w:sz w:val="18"/>
          <w:szCs w:val="18"/>
        </w:rPr>
      </w:pPr>
    </w:p>
    <w:p w:rsidR="00735D2A" w:rsidP="00735D2A" w:rsidRDefault="00735D2A" w14:paraId="338DE9B4" w14:textId="77777777">
      <w:pPr>
        <w:spacing w:after="0" w:line="240" w:lineRule="auto"/>
        <w:rPr>
          <w:rFonts w:ascii="Verdana" w:hAnsi="Verdana"/>
          <w:b/>
          <w:bCs/>
          <w:color w:val="000000" w:themeColor="text1"/>
          <w:sz w:val="18"/>
          <w:szCs w:val="18"/>
        </w:rPr>
      </w:pPr>
    </w:p>
    <w:p w:rsidR="00735D2A" w:rsidP="00735D2A" w:rsidRDefault="00735D2A" w14:paraId="664B5BAE" w14:textId="77777777">
      <w:pPr>
        <w:spacing w:after="0" w:line="240" w:lineRule="auto"/>
        <w:rPr>
          <w:rFonts w:ascii="Verdana" w:hAnsi="Verdana"/>
          <w:b/>
          <w:bCs/>
          <w:color w:val="000000" w:themeColor="text1"/>
          <w:sz w:val="18"/>
          <w:szCs w:val="18"/>
        </w:rPr>
      </w:pPr>
    </w:p>
    <w:p w:rsidRPr="0006797C" w:rsidR="00735D2A" w:rsidP="00735D2A" w:rsidRDefault="00735D2A" w14:paraId="74091260"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6</w:t>
      </w:r>
    </w:p>
    <w:p w:rsidRPr="0006797C" w:rsidR="00735D2A" w:rsidP="00735D2A" w:rsidRDefault="00735D2A" w14:paraId="1B12E9DC"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Kunt u een oordeel vellen over de toelichting die u hiervoor noemt en ziet u de bij vraag 6 genoemde redenen zelf als een afdoende verklaring voor het uitblijven van de 200%-strafeis?</w:t>
      </w:r>
    </w:p>
    <w:p w:rsidR="00735D2A" w:rsidP="00735D2A" w:rsidRDefault="00735D2A" w14:paraId="3FA24F80" w14:textId="77777777">
      <w:pPr>
        <w:spacing w:after="0" w:line="240" w:lineRule="auto"/>
        <w:rPr>
          <w:rFonts w:ascii="Verdana" w:hAnsi="Verdana"/>
          <w:b/>
          <w:bCs/>
          <w:color w:val="000000" w:themeColor="text1"/>
          <w:sz w:val="18"/>
          <w:szCs w:val="18"/>
        </w:rPr>
      </w:pPr>
    </w:p>
    <w:p w:rsidRPr="0006797C" w:rsidR="00735D2A" w:rsidP="00735D2A" w:rsidRDefault="00735D2A" w14:paraId="50D0AC47"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6</w:t>
      </w:r>
    </w:p>
    <w:p w:rsidRPr="0006797C" w:rsidR="00735D2A" w:rsidP="00735D2A" w:rsidRDefault="00735D2A" w14:paraId="706E0445"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Naast de 200% verhoging als uitgangspunt zullen door het Openbaar Ministerie, zoals gezegd, ook andere factoren worden meegewogen (zoals de omstandigheden van het geval en de persoon van de verdachte). </w:t>
      </w:r>
    </w:p>
    <w:p w:rsidRPr="0006797C" w:rsidR="00735D2A" w:rsidP="00735D2A" w:rsidRDefault="00735D2A" w14:paraId="47A6BB29"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De beoordelingsruimte van de officier van justitie bij het formuleren van de strafeis is een vrijheid die voortvloeit uit de wet, die eveneens inherent is aan het vervolgingsmonopolie van het Openbaar Ministerie om een strafzaak af te doen. Het is derhalve niet aan mij om in die strafrechtelijke beoordeling te treden. Wel veroordeel ik uiteraard al het geweld tegen hulpverleners en anderen met een publieke taak.</w:t>
      </w:r>
    </w:p>
    <w:p w:rsidRPr="0006797C" w:rsidR="00735D2A" w:rsidP="00735D2A" w:rsidRDefault="00735D2A" w14:paraId="6266E38B" w14:textId="77777777">
      <w:pPr>
        <w:spacing w:after="0" w:line="240" w:lineRule="auto"/>
        <w:rPr>
          <w:rFonts w:ascii="Verdana" w:hAnsi="Verdana"/>
          <w:color w:val="000000" w:themeColor="text1"/>
          <w:sz w:val="18"/>
          <w:szCs w:val="18"/>
        </w:rPr>
      </w:pPr>
    </w:p>
    <w:p w:rsidRPr="0006797C" w:rsidR="00735D2A" w:rsidP="00735D2A" w:rsidRDefault="00735D2A" w14:paraId="2034288F"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7</w:t>
      </w:r>
    </w:p>
    <w:p w:rsidRPr="0006797C" w:rsidR="00735D2A" w:rsidP="00735D2A" w:rsidRDefault="00735D2A" w14:paraId="0C04C05B"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Deelt u de opvatting dat het essentieel is om 200% verhoging van de strafeis in de praktijk veel vaker toe te passen om medewerkers met een publieke taak extra te beschermen en daders beter af te schrikken?</w:t>
      </w:r>
    </w:p>
    <w:p w:rsidRPr="0006797C" w:rsidR="00735D2A" w:rsidP="00735D2A" w:rsidRDefault="00735D2A" w14:paraId="2D5424B2" w14:textId="77777777">
      <w:pPr>
        <w:spacing w:after="0" w:line="240" w:lineRule="auto"/>
        <w:rPr>
          <w:rFonts w:ascii="Verdana" w:hAnsi="Verdana"/>
          <w:b/>
          <w:bCs/>
          <w:color w:val="000000" w:themeColor="text1"/>
          <w:sz w:val="18"/>
          <w:szCs w:val="18"/>
        </w:rPr>
      </w:pPr>
    </w:p>
    <w:p w:rsidRPr="0006797C" w:rsidR="00735D2A" w:rsidP="00735D2A" w:rsidRDefault="00735D2A" w14:paraId="10109F01"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7</w:t>
      </w:r>
    </w:p>
    <w:p w:rsidRPr="0006797C" w:rsidR="00735D2A" w:rsidP="00735D2A" w:rsidRDefault="00735D2A" w14:paraId="68B090C6"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In uw vraagstelling gaat u ervan uit dat de verhoging van de strafeis met 200% als uitgangspunt medewerkers met een publieke taak extra beschermt. Ik wil ten eerste benadrukken dat bescherming van werknemers vooral ligt in de fase die aan strafrechtelijke interventie voorafgaat. </w:t>
      </w:r>
    </w:p>
    <w:p w:rsidRPr="0006797C" w:rsidR="00735D2A" w:rsidP="00735D2A" w:rsidRDefault="00735D2A" w14:paraId="58AEEA99" w14:textId="77777777">
      <w:pPr>
        <w:spacing w:after="0" w:line="240" w:lineRule="auto"/>
        <w:rPr>
          <w:rFonts w:ascii="Verdana" w:hAnsi="Verdana"/>
          <w:color w:val="000000" w:themeColor="text1"/>
          <w:sz w:val="18"/>
          <w:szCs w:val="18"/>
        </w:rPr>
      </w:pPr>
    </w:p>
    <w:p w:rsidRPr="0006797C" w:rsidR="00735D2A" w:rsidP="00735D2A" w:rsidRDefault="00735D2A" w14:paraId="496AD449"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Desondanks kan een hogere strafeis een afschrikwekkende werking hebben mits daders hiermee bekend zijn en daar ook gevoelig voor zijn. Aangezien daders van agressie en geweld tegen werknemers met een publieke taak niet altijd een weloverwogen beslissing voor hun daad lijken te nemen – denk aan verwarde personen – laat ik nader onderzoek doen naar het type dader en hun motieven om agressie tegen werknemers met een publieke taak beter te kunnen voorkomen.</w:t>
      </w:r>
      <w:r w:rsidRPr="0006797C">
        <w:rPr>
          <w:rStyle w:val="Voetnootmarkering"/>
          <w:rFonts w:ascii="Verdana" w:hAnsi="Verdana"/>
          <w:color w:val="000000" w:themeColor="text1"/>
          <w:sz w:val="18"/>
          <w:szCs w:val="18"/>
        </w:rPr>
        <w:footnoteReference w:id="3"/>
      </w:r>
      <w:r w:rsidRPr="0006797C">
        <w:rPr>
          <w:rFonts w:ascii="Verdana" w:hAnsi="Verdana"/>
          <w:color w:val="000000" w:themeColor="text1"/>
          <w:sz w:val="18"/>
          <w:szCs w:val="18"/>
        </w:rPr>
        <w:t xml:space="preserve">    Zoals ik in mijn antwoord op vraag 3 al aangaf, is ook wetenschappelijk onderzoek noodzakelijk om uiteindelijk aan agressie en geweld tegen werknemers met een publiek taak het hoofd te kunnen bieden.</w:t>
      </w:r>
    </w:p>
    <w:p w:rsidRPr="0006797C" w:rsidR="00735D2A" w:rsidP="00735D2A" w:rsidRDefault="00735D2A" w14:paraId="225ED328" w14:textId="77777777">
      <w:pPr>
        <w:spacing w:after="0" w:line="240" w:lineRule="auto"/>
        <w:rPr>
          <w:rFonts w:ascii="Verdana" w:hAnsi="Verdana"/>
          <w:color w:val="000000" w:themeColor="text1"/>
          <w:sz w:val="18"/>
          <w:szCs w:val="18"/>
        </w:rPr>
      </w:pPr>
    </w:p>
    <w:p w:rsidRPr="0006797C" w:rsidR="00735D2A" w:rsidP="00735D2A" w:rsidRDefault="00735D2A" w14:paraId="2AD768D2"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8</w:t>
      </w:r>
    </w:p>
    <w:p w:rsidRPr="0006797C" w:rsidR="00735D2A" w:rsidP="00735D2A" w:rsidRDefault="00735D2A" w14:paraId="24DCF81D"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Hoe gaat u ervoor zorgen dat uw eigen instructie, om een verhoogde strafeis op te leggen bij geweldsdelicten tegen personen met een publieke taak, wordt uitgevoerd?</w:t>
      </w:r>
    </w:p>
    <w:p w:rsidRPr="0006797C" w:rsidR="00735D2A" w:rsidP="00735D2A" w:rsidRDefault="00735D2A" w14:paraId="4C273060" w14:textId="77777777">
      <w:pPr>
        <w:spacing w:after="0" w:line="240" w:lineRule="auto"/>
        <w:rPr>
          <w:rFonts w:ascii="Verdana" w:hAnsi="Verdana"/>
          <w:b/>
          <w:bCs/>
          <w:color w:val="000000" w:themeColor="text1"/>
          <w:sz w:val="18"/>
          <w:szCs w:val="18"/>
        </w:rPr>
      </w:pPr>
    </w:p>
    <w:p w:rsidRPr="0006797C" w:rsidR="00735D2A" w:rsidP="00735D2A" w:rsidRDefault="00735D2A" w14:paraId="1677A36D"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8</w:t>
      </w:r>
    </w:p>
    <w:p w:rsidRPr="0006797C" w:rsidR="00735D2A" w:rsidP="00735D2A" w:rsidRDefault="00735D2A" w14:paraId="06C54A31"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De verhoogde strafeis is vastgelegd in een instructie van het OM zelf. Zoals ook in het antwoord op vraag 6 toegelicht treed ik niet in de beoordelingsruimte die wettelijk aan het Openbaar Ministerie is toegekend. Wel voer ik zeer regelmatig het gesprek met het Openbaar Ministerie over dit belangrijke onderwerp. Afgelopen jaarwisseling hebben we helaas een groot aantal gevallen van geweld tegen personen met een publieke taak gezien. De jaarwisseling wordt op dit moment geëvalueerd. Ook naar aanleiding hiervan zal ik het gesprek met OM aangaan om te bespreken hoe de strafrechtelijke aanpak van daders van dit </w:t>
      </w:r>
      <w:r w:rsidRPr="0006797C">
        <w:rPr>
          <w:rFonts w:ascii="Verdana" w:hAnsi="Verdana"/>
          <w:color w:val="000000" w:themeColor="text1"/>
          <w:sz w:val="18"/>
          <w:szCs w:val="18"/>
        </w:rPr>
        <w:lastRenderedPageBreak/>
        <w:t xml:space="preserve">onacceptabele geweld kan worden versterkt. In dit gesprek zal ik ook de 200% strafeis wederom ter sprake brengen. </w:t>
      </w:r>
    </w:p>
    <w:p w:rsidR="00735D2A" w:rsidP="00735D2A" w:rsidRDefault="00735D2A" w14:paraId="59BBF91D" w14:textId="77777777">
      <w:pPr>
        <w:spacing w:after="0" w:line="240" w:lineRule="auto"/>
        <w:rPr>
          <w:rFonts w:ascii="Verdana" w:hAnsi="Verdana"/>
          <w:color w:val="000000" w:themeColor="text1"/>
          <w:sz w:val="18"/>
          <w:szCs w:val="18"/>
        </w:rPr>
      </w:pPr>
    </w:p>
    <w:p w:rsidRPr="0006797C" w:rsidR="00735D2A" w:rsidP="00735D2A" w:rsidRDefault="00735D2A" w14:paraId="1B50BA09"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Vraag 9</w:t>
      </w:r>
    </w:p>
    <w:p w:rsidRPr="0006797C" w:rsidR="00735D2A" w:rsidP="00735D2A" w:rsidRDefault="00735D2A" w14:paraId="02FD9F59"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Welke aanvullende maatregelen wilt u nemen om geweld tegen hulpverleners te voorkomen en kunt u elk van de voorgenomen maatregelen toelichten?</w:t>
      </w:r>
    </w:p>
    <w:p w:rsidRPr="0006797C" w:rsidR="00735D2A" w:rsidP="00735D2A" w:rsidRDefault="00735D2A" w14:paraId="56D6D606" w14:textId="77777777">
      <w:pPr>
        <w:spacing w:after="0" w:line="240" w:lineRule="auto"/>
        <w:rPr>
          <w:rFonts w:ascii="Verdana" w:hAnsi="Verdana"/>
          <w:b/>
          <w:bCs/>
          <w:color w:val="000000" w:themeColor="text1"/>
          <w:sz w:val="18"/>
          <w:szCs w:val="18"/>
        </w:rPr>
      </w:pPr>
    </w:p>
    <w:p w:rsidRPr="0006797C" w:rsidR="00735D2A" w:rsidP="00735D2A" w:rsidRDefault="00735D2A" w14:paraId="0ADD82F8" w14:textId="77777777">
      <w:pPr>
        <w:spacing w:after="0" w:line="240" w:lineRule="auto"/>
        <w:rPr>
          <w:rFonts w:ascii="Verdana" w:hAnsi="Verdana"/>
          <w:b/>
          <w:bCs/>
          <w:color w:val="000000" w:themeColor="text1"/>
          <w:sz w:val="18"/>
          <w:szCs w:val="18"/>
        </w:rPr>
      </w:pPr>
      <w:r w:rsidRPr="0006797C">
        <w:rPr>
          <w:rFonts w:ascii="Verdana" w:hAnsi="Verdana"/>
          <w:b/>
          <w:bCs/>
          <w:color w:val="000000" w:themeColor="text1"/>
          <w:sz w:val="18"/>
          <w:szCs w:val="18"/>
        </w:rPr>
        <w:t>Antwoord op vraag 9</w:t>
      </w:r>
    </w:p>
    <w:p w:rsidRPr="00AD5632" w:rsidR="00735D2A" w:rsidP="00735D2A" w:rsidRDefault="00735D2A" w14:paraId="6EF625F4" w14:textId="77777777">
      <w:pPr>
        <w:spacing w:after="0" w:line="240" w:lineRule="auto"/>
        <w:rPr>
          <w:rFonts w:ascii="Verdana" w:hAnsi="Verdana"/>
          <w:color w:val="000000" w:themeColor="text1"/>
          <w:sz w:val="18"/>
          <w:szCs w:val="18"/>
        </w:rPr>
      </w:pPr>
      <w:r w:rsidRPr="0006797C">
        <w:rPr>
          <w:rFonts w:ascii="Verdana" w:hAnsi="Verdana"/>
          <w:color w:val="000000" w:themeColor="text1"/>
          <w:sz w:val="18"/>
          <w:szCs w:val="18"/>
        </w:rPr>
        <w:t xml:space="preserve">Met het Wetsvoorstel aanscherping taakstrafverbod, dat op dit moment bij de Raad van State ligt voor advies, leggen we wettelijk vast dat mishandeling van hulpverleners en handhavers onacceptabel is en dat een taakstraf niet op zijn plaats is. Zoals ik hiervoor in mijn antwoord op vraag 3 al aangaf, wordt door de overheid naast het strafrecht ingezet op diverse andere maatregelen om geweld tegen hulpverleners te voorkomen. Preventieve maatregelen (door de werkgever) gaan aan het strafrecht vooraf en moeten aansluiten op de gesignaleerde knelpunten. Vanuit de Nederlandse Arbeidsinspectie van het ministerie van Sociale Zaken en Werkgelegenheid wordt de werkgever hierin ondersteund door </w:t>
      </w:r>
      <w:r>
        <w:rPr>
          <w:rFonts w:ascii="Verdana" w:hAnsi="Verdana"/>
          <w:color w:val="000000" w:themeColor="text1"/>
          <w:sz w:val="18"/>
          <w:szCs w:val="18"/>
        </w:rPr>
        <w:t>onder andere</w:t>
      </w:r>
      <w:r w:rsidRPr="0006797C">
        <w:rPr>
          <w:rFonts w:ascii="Verdana" w:hAnsi="Verdana"/>
          <w:color w:val="000000" w:themeColor="text1"/>
          <w:sz w:val="18"/>
          <w:szCs w:val="18"/>
        </w:rPr>
        <w:t xml:space="preserve"> een Werkinstructie agressie en geweld. Met toezicht en handhaving beoogt de Arbeidsinspectie naleving van de arbeidsomstandighedenwet en het voorkomen of zoveel mogelijk beperken van incidenten van agressie en geweld.</w:t>
      </w:r>
    </w:p>
    <w:p w:rsidR="00735D2A" w:rsidP="00735D2A" w:rsidRDefault="00735D2A" w14:paraId="741AF4E1" w14:textId="77777777">
      <w:pPr>
        <w:spacing w:after="0" w:line="240" w:lineRule="auto"/>
        <w:rPr>
          <w:rFonts w:ascii="Verdana" w:hAnsi="Verdana"/>
          <w:color w:val="000000" w:themeColor="text1"/>
          <w:sz w:val="18"/>
          <w:szCs w:val="18"/>
        </w:rPr>
      </w:pPr>
    </w:p>
    <w:p w:rsidRPr="004311B5" w:rsidR="00735D2A" w:rsidP="00735D2A" w:rsidRDefault="00735D2A" w14:paraId="493143AA" w14:textId="77777777">
      <w:pPr>
        <w:spacing w:line="240" w:lineRule="auto"/>
        <w:rPr>
          <w:rFonts w:ascii="Verdana" w:hAnsi="Verdana"/>
          <w:color w:val="000000" w:themeColor="text1"/>
          <w:sz w:val="18"/>
          <w:szCs w:val="18"/>
        </w:rPr>
      </w:pPr>
    </w:p>
    <w:p w:rsidR="003C452D" w:rsidRDefault="003C452D" w14:paraId="01FDA834" w14:textId="77777777"/>
    <w:sectPr w:rsidR="003C452D" w:rsidSect="00735D2A">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944E" w14:textId="77777777" w:rsidR="00735D2A" w:rsidRDefault="00735D2A" w:rsidP="00735D2A">
      <w:pPr>
        <w:spacing w:after="0" w:line="240" w:lineRule="auto"/>
      </w:pPr>
      <w:r>
        <w:separator/>
      </w:r>
    </w:p>
  </w:endnote>
  <w:endnote w:type="continuationSeparator" w:id="0">
    <w:p w14:paraId="094DF780" w14:textId="77777777" w:rsidR="00735D2A" w:rsidRDefault="00735D2A" w:rsidP="0073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EC8A" w14:textId="77777777" w:rsidR="00735D2A" w:rsidRPr="00735D2A" w:rsidRDefault="00735D2A" w:rsidP="00735D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0525" w14:textId="77777777" w:rsidR="00735D2A" w:rsidRPr="00735D2A" w:rsidRDefault="00735D2A" w:rsidP="00735D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CEE9" w14:textId="77777777" w:rsidR="00735D2A" w:rsidRPr="00735D2A" w:rsidRDefault="00735D2A" w:rsidP="00735D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FB99" w14:textId="77777777" w:rsidR="00735D2A" w:rsidRDefault="00735D2A" w:rsidP="00735D2A">
      <w:pPr>
        <w:spacing w:after="0" w:line="240" w:lineRule="auto"/>
      </w:pPr>
      <w:r>
        <w:separator/>
      </w:r>
    </w:p>
  </w:footnote>
  <w:footnote w:type="continuationSeparator" w:id="0">
    <w:p w14:paraId="5F1C709B" w14:textId="77777777" w:rsidR="00735D2A" w:rsidRDefault="00735D2A" w:rsidP="00735D2A">
      <w:pPr>
        <w:spacing w:after="0" w:line="240" w:lineRule="auto"/>
      </w:pPr>
      <w:r>
        <w:continuationSeparator/>
      </w:r>
    </w:p>
  </w:footnote>
  <w:footnote w:id="1">
    <w:p w14:paraId="4B5B76C0" w14:textId="77777777" w:rsidR="00735D2A" w:rsidRPr="00DB7931" w:rsidRDefault="00735D2A" w:rsidP="00735D2A">
      <w:pPr>
        <w:pStyle w:val="Voetnoottekst"/>
        <w:rPr>
          <w:rFonts w:ascii="Verdana" w:hAnsi="Verdana"/>
          <w:sz w:val="16"/>
          <w:szCs w:val="16"/>
        </w:rPr>
      </w:pPr>
      <w:r w:rsidRPr="00DB7931">
        <w:rPr>
          <w:rStyle w:val="Voetnootmarkering"/>
          <w:rFonts w:ascii="Verdana" w:hAnsi="Verdana"/>
          <w:sz w:val="16"/>
          <w:szCs w:val="16"/>
        </w:rPr>
        <w:footnoteRef/>
      </w:r>
      <w:r w:rsidRPr="00DB7931">
        <w:rPr>
          <w:rFonts w:ascii="Verdana" w:hAnsi="Verdana"/>
          <w:sz w:val="16"/>
          <w:szCs w:val="16"/>
        </w:rPr>
        <w:t xml:space="preserve"> BNN-VARA, 19 november 2025, NS wil dat geweld tegen personeel harder wordt aangepakt door het OM (https://www.bnnvara.nl/zembla/artikelen/ns-wil-dat-geweld-tegen-personeel-harder-wordt-aangepakt-door-het-om).</w:t>
      </w:r>
    </w:p>
  </w:footnote>
  <w:footnote w:id="2">
    <w:p w14:paraId="0EE77460" w14:textId="77777777" w:rsidR="00735D2A" w:rsidRPr="00DB7931" w:rsidRDefault="00735D2A" w:rsidP="00735D2A">
      <w:pPr>
        <w:pStyle w:val="Voetnoottekst"/>
        <w:rPr>
          <w:rFonts w:ascii="Verdana" w:hAnsi="Verdana"/>
          <w:sz w:val="16"/>
          <w:szCs w:val="16"/>
        </w:rPr>
      </w:pPr>
      <w:r w:rsidRPr="00DB7931">
        <w:rPr>
          <w:rStyle w:val="Voetnootmarkering"/>
          <w:rFonts w:ascii="Verdana" w:hAnsi="Verdana"/>
          <w:sz w:val="16"/>
          <w:szCs w:val="16"/>
        </w:rPr>
        <w:footnoteRef/>
      </w:r>
      <w:r w:rsidRPr="00DB7931">
        <w:rPr>
          <w:rFonts w:ascii="Verdana" w:hAnsi="Verdana"/>
          <w:sz w:val="16"/>
          <w:szCs w:val="16"/>
        </w:rPr>
        <w:t xml:space="preserve"> Kamerstukken II, 2024-2025, 28684, nr. 746.</w:t>
      </w:r>
    </w:p>
  </w:footnote>
  <w:footnote w:id="3">
    <w:p w14:paraId="60684B6F" w14:textId="77777777" w:rsidR="00735D2A" w:rsidRPr="00DB7931" w:rsidRDefault="00735D2A" w:rsidP="00735D2A">
      <w:pPr>
        <w:pStyle w:val="Voetnoottekst"/>
        <w:rPr>
          <w:rFonts w:ascii="Verdana" w:hAnsi="Verdana"/>
          <w:sz w:val="16"/>
          <w:szCs w:val="16"/>
        </w:rPr>
      </w:pPr>
      <w:r w:rsidRPr="00DB7931">
        <w:rPr>
          <w:rStyle w:val="Voetnootmarkering"/>
          <w:rFonts w:ascii="Verdana" w:hAnsi="Verdana"/>
          <w:sz w:val="16"/>
          <w:szCs w:val="16"/>
        </w:rPr>
        <w:footnoteRef/>
      </w:r>
      <w:r w:rsidRPr="00DB7931">
        <w:rPr>
          <w:rFonts w:ascii="Verdana" w:hAnsi="Verdana"/>
          <w:sz w:val="16"/>
          <w:szCs w:val="16"/>
        </w:rPr>
        <w:t xml:space="preserve"> </w:t>
      </w:r>
      <w:hyperlink r:id="rId1" w:history="1">
        <w:r w:rsidRPr="00DB7931">
          <w:rPr>
            <w:rStyle w:val="Hyperlink"/>
            <w:rFonts w:ascii="Verdana" w:hAnsi="Verdana"/>
            <w:sz w:val="16"/>
            <w:szCs w:val="16"/>
          </w:rPr>
          <w:t>Kenmerken daders van agressie en geweld tegen hulpverleners | WODC - Wetenschappelijk Onderzoek- en Datacentrum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8ABC" w14:textId="77777777" w:rsidR="00735D2A" w:rsidRPr="00735D2A" w:rsidRDefault="00735D2A" w:rsidP="00735D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B99B" w14:textId="77777777" w:rsidR="00735D2A" w:rsidRPr="00735D2A" w:rsidRDefault="00735D2A" w:rsidP="00735D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08FA" w14:textId="77777777" w:rsidR="00735D2A" w:rsidRPr="00735D2A" w:rsidRDefault="00735D2A" w:rsidP="00735D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2A"/>
    <w:rsid w:val="00326A94"/>
    <w:rsid w:val="003C452D"/>
    <w:rsid w:val="00735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802D"/>
  <w15:chartTrackingRefBased/>
  <w15:docId w15:val="{23E20B49-49E4-4774-A67E-A651FA1B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5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5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5D2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5D2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5D2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5D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5D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5D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5D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5D2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5D2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5D2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5D2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5D2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5D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5D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5D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5D2A"/>
    <w:rPr>
      <w:rFonts w:eastAsiaTheme="majorEastAsia" w:cstheme="majorBidi"/>
      <w:color w:val="272727" w:themeColor="text1" w:themeTint="D8"/>
    </w:rPr>
  </w:style>
  <w:style w:type="paragraph" w:styleId="Titel">
    <w:name w:val="Title"/>
    <w:basedOn w:val="Standaard"/>
    <w:next w:val="Standaard"/>
    <w:link w:val="TitelChar"/>
    <w:uiPriority w:val="10"/>
    <w:qFormat/>
    <w:rsid w:val="00735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5D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5D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5D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5D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5D2A"/>
    <w:rPr>
      <w:i/>
      <w:iCs/>
      <w:color w:val="404040" w:themeColor="text1" w:themeTint="BF"/>
    </w:rPr>
  </w:style>
  <w:style w:type="paragraph" w:styleId="Lijstalinea">
    <w:name w:val="List Paragraph"/>
    <w:basedOn w:val="Standaard"/>
    <w:uiPriority w:val="34"/>
    <w:qFormat/>
    <w:rsid w:val="00735D2A"/>
    <w:pPr>
      <w:ind w:left="720"/>
      <w:contextualSpacing/>
    </w:pPr>
  </w:style>
  <w:style w:type="character" w:styleId="Intensievebenadrukking">
    <w:name w:val="Intense Emphasis"/>
    <w:basedOn w:val="Standaardalinea-lettertype"/>
    <w:uiPriority w:val="21"/>
    <w:qFormat/>
    <w:rsid w:val="00735D2A"/>
    <w:rPr>
      <w:i/>
      <w:iCs/>
      <w:color w:val="2F5496" w:themeColor="accent1" w:themeShade="BF"/>
    </w:rPr>
  </w:style>
  <w:style w:type="paragraph" w:styleId="Duidelijkcitaat">
    <w:name w:val="Intense Quote"/>
    <w:basedOn w:val="Standaard"/>
    <w:next w:val="Standaard"/>
    <w:link w:val="DuidelijkcitaatChar"/>
    <w:uiPriority w:val="30"/>
    <w:qFormat/>
    <w:rsid w:val="00735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5D2A"/>
    <w:rPr>
      <w:i/>
      <w:iCs/>
      <w:color w:val="2F5496" w:themeColor="accent1" w:themeShade="BF"/>
    </w:rPr>
  </w:style>
  <w:style w:type="character" w:styleId="Intensieveverwijzing">
    <w:name w:val="Intense Reference"/>
    <w:basedOn w:val="Standaardalinea-lettertype"/>
    <w:uiPriority w:val="32"/>
    <w:qFormat/>
    <w:rsid w:val="00735D2A"/>
    <w:rPr>
      <w:b/>
      <w:bCs/>
      <w:smallCaps/>
      <w:color w:val="2F5496" w:themeColor="accent1" w:themeShade="BF"/>
      <w:spacing w:val="5"/>
    </w:rPr>
  </w:style>
  <w:style w:type="character" w:styleId="Hyperlink">
    <w:name w:val="Hyperlink"/>
    <w:basedOn w:val="Standaardalinea-lettertype"/>
    <w:uiPriority w:val="99"/>
    <w:unhideWhenUsed/>
    <w:rsid w:val="00735D2A"/>
    <w:rPr>
      <w:color w:val="0563C1" w:themeColor="hyperlink"/>
      <w:u w:val="single"/>
    </w:rPr>
  </w:style>
  <w:style w:type="paragraph" w:styleId="Voetnoottekst">
    <w:name w:val="footnote text"/>
    <w:basedOn w:val="Standaard"/>
    <w:link w:val="VoetnoottekstChar"/>
    <w:uiPriority w:val="99"/>
    <w:semiHidden/>
    <w:unhideWhenUsed/>
    <w:rsid w:val="00735D2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35D2A"/>
    <w:rPr>
      <w:kern w:val="0"/>
      <w:sz w:val="20"/>
      <w:szCs w:val="20"/>
      <w14:ligatures w14:val="none"/>
    </w:rPr>
  </w:style>
  <w:style w:type="character" w:styleId="Voetnootmarkering">
    <w:name w:val="footnote reference"/>
    <w:basedOn w:val="Standaardalinea-lettertype"/>
    <w:uiPriority w:val="99"/>
    <w:semiHidden/>
    <w:unhideWhenUsed/>
    <w:rsid w:val="00735D2A"/>
    <w:rPr>
      <w:shd w:val="clear" w:color="auto" w:fill="auto"/>
      <w:vertAlign w:val="superscript"/>
    </w:rPr>
  </w:style>
  <w:style w:type="paragraph" w:styleId="Koptekst">
    <w:name w:val="header"/>
    <w:basedOn w:val="Standaard"/>
    <w:link w:val="KoptekstChar"/>
    <w:uiPriority w:val="99"/>
    <w:unhideWhenUsed/>
    <w:rsid w:val="00735D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5D2A"/>
  </w:style>
  <w:style w:type="paragraph" w:styleId="Voettekst">
    <w:name w:val="footer"/>
    <w:basedOn w:val="Standaard"/>
    <w:link w:val="VoettekstChar"/>
    <w:uiPriority w:val="99"/>
    <w:unhideWhenUsed/>
    <w:rsid w:val="00735D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5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odc.nl/onderzoek-in-uitvoering/welk-onderzoek-doen-we/3524---kenmerken-daders-van-agressie-en-geweld-tegen-hulpverlen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1353</ap:Words>
  <ap:Characters>7444</ap:Characters>
  <ap:DocSecurity>0</ap:DocSecurity>
  <ap:Lines>62</ap:Lines>
  <ap:Paragraphs>17</ap:Paragraphs>
  <ap:ScaleCrop>false</ap:ScaleCrop>
  <ap:LinksUpToDate>false</ap:LinksUpToDate>
  <ap:CharactersWithSpaces>8780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2026-01-13T09:46:00.0000000Z</dcterms:created>
  <dcterms:modified xsi:type="dcterms:W3CDTF">2026-01-13T09:47:00.0000000Z</dcterms:modified>
  <version/>
  <category/>
</coreProperties>
</file>