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B6E3278" w14:textId="77777777">
        <w:tc>
          <w:tcPr>
            <w:tcW w:w="6379" w:type="dxa"/>
            <w:gridSpan w:val="2"/>
            <w:tcBorders>
              <w:top w:val="nil"/>
              <w:left w:val="nil"/>
              <w:bottom w:val="nil"/>
              <w:right w:val="nil"/>
            </w:tcBorders>
            <w:vAlign w:val="center"/>
          </w:tcPr>
          <w:p w:rsidR="004330ED" w:rsidP="00EA1CE4" w:rsidRDefault="004330ED" w14:paraId="639B8F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1E4A3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5065AF" w14:textId="77777777">
        <w:trPr>
          <w:cantSplit/>
        </w:trPr>
        <w:tc>
          <w:tcPr>
            <w:tcW w:w="10348" w:type="dxa"/>
            <w:gridSpan w:val="3"/>
            <w:tcBorders>
              <w:top w:val="single" w:color="auto" w:sz="4" w:space="0"/>
              <w:left w:val="nil"/>
              <w:bottom w:val="nil"/>
              <w:right w:val="nil"/>
            </w:tcBorders>
          </w:tcPr>
          <w:p w:rsidR="004330ED" w:rsidP="004A1E29" w:rsidRDefault="004330ED" w14:paraId="6D92E4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77DB770" w14:textId="77777777">
        <w:trPr>
          <w:cantSplit/>
        </w:trPr>
        <w:tc>
          <w:tcPr>
            <w:tcW w:w="10348" w:type="dxa"/>
            <w:gridSpan w:val="3"/>
            <w:tcBorders>
              <w:top w:val="nil"/>
              <w:left w:val="nil"/>
              <w:bottom w:val="nil"/>
              <w:right w:val="nil"/>
            </w:tcBorders>
          </w:tcPr>
          <w:p w:rsidR="004330ED" w:rsidP="00BF623B" w:rsidRDefault="004330ED" w14:paraId="2259BB93" w14:textId="77777777">
            <w:pPr>
              <w:pStyle w:val="Amendement"/>
              <w:tabs>
                <w:tab w:val="clear" w:pos="3310"/>
                <w:tab w:val="clear" w:pos="3600"/>
              </w:tabs>
              <w:rPr>
                <w:rFonts w:ascii="Times New Roman" w:hAnsi="Times New Roman"/>
                <w:b w:val="0"/>
              </w:rPr>
            </w:pPr>
          </w:p>
        </w:tc>
      </w:tr>
      <w:tr w:rsidR="004330ED" w:rsidTr="00EA1CE4" w14:paraId="7991E9BE" w14:textId="77777777">
        <w:trPr>
          <w:cantSplit/>
        </w:trPr>
        <w:tc>
          <w:tcPr>
            <w:tcW w:w="10348" w:type="dxa"/>
            <w:gridSpan w:val="3"/>
            <w:tcBorders>
              <w:top w:val="nil"/>
              <w:left w:val="nil"/>
              <w:bottom w:val="single" w:color="auto" w:sz="4" w:space="0"/>
              <w:right w:val="nil"/>
            </w:tcBorders>
          </w:tcPr>
          <w:p w:rsidR="004330ED" w:rsidP="00BF623B" w:rsidRDefault="004330ED" w14:paraId="5CF33700" w14:textId="77777777">
            <w:pPr>
              <w:pStyle w:val="Amendement"/>
              <w:tabs>
                <w:tab w:val="clear" w:pos="3310"/>
                <w:tab w:val="clear" w:pos="3600"/>
              </w:tabs>
              <w:rPr>
                <w:rFonts w:ascii="Times New Roman" w:hAnsi="Times New Roman"/>
              </w:rPr>
            </w:pPr>
          </w:p>
        </w:tc>
      </w:tr>
      <w:tr w:rsidR="004330ED" w:rsidTr="00EA1CE4" w14:paraId="3DB1A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C109B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19DCC41" w14:textId="77777777">
            <w:pPr>
              <w:suppressAutoHyphens/>
              <w:ind w:left="-70"/>
              <w:rPr>
                <w:b/>
              </w:rPr>
            </w:pPr>
          </w:p>
        </w:tc>
      </w:tr>
      <w:tr w:rsidR="003C21AC" w:rsidTr="00EA1CE4" w14:paraId="1D3D1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B1E84" w14:paraId="62F994EF" w14:textId="3F0C03B6">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783215" w:rsidR="003C21AC" w:rsidP="006E0971" w:rsidRDefault="006B1E84" w14:paraId="1BD3890A" w14:textId="7B82132E">
            <w:pPr>
              <w:ind w:left="-70"/>
              <w:rPr>
                <w:b/>
              </w:rPr>
            </w:pPr>
            <w:r w:rsidRPr="006B1E84">
              <w:rPr>
                <w:b/>
              </w:rPr>
              <w:t>Wijziging van de Wet op het financieel toezicht, de Bankwet 1998 en enige andere wetten in verband met de goede werking van het chartale betalingsverkeer (Wet chartaal betalingsverkeer)</w:t>
            </w:r>
          </w:p>
        </w:tc>
      </w:tr>
      <w:tr w:rsidR="003C21AC" w:rsidTr="00EA1CE4" w14:paraId="20E02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318BD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6CF7C4B" w14:textId="77777777">
            <w:pPr>
              <w:pStyle w:val="Amendement"/>
              <w:tabs>
                <w:tab w:val="clear" w:pos="3310"/>
                <w:tab w:val="clear" w:pos="3600"/>
              </w:tabs>
              <w:ind w:left="-70"/>
              <w:rPr>
                <w:rFonts w:ascii="Times New Roman" w:hAnsi="Times New Roman"/>
              </w:rPr>
            </w:pPr>
          </w:p>
        </w:tc>
      </w:tr>
      <w:tr w:rsidR="003C21AC" w:rsidTr="00EA1CE4" w14:paraId="25FC7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863F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03D2D37" w14:textId="77777777">
            <w:pPr>
              <w:pStyle w:val="Amendement"/>
              <w:tabs>
                <w:tab w:val="clear" w:pos="3310"/>
                <w:tab w:val="clear" w:pos="3600"/>
              </w:tabs>
              <w:ind w:left="-70"/>
              <w:rPr>
                <w:rFonts w:ascii="Times New Roman" w:hAnsi="Times New Roman"/>
              </w:rPr>
            </w:pPr>
          </w:p>
        </w:tc>
      </w:tr>
      <w:tr w:rsidR="003C21AC" w:rsidTr="00EA1CE4" w14:paraId="19F16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38C62C" w14:textId="1FCA2ECF">
            <w:pPr>
              <w:pStyle w:val="Amendement"/>
              <w:tabs>
                <w:tab w:val="clear" w:pos="3310"/>
                <w:tab w:val="clear" w:pos="3600"/>
              </w:tabs>
              <w:rPr>
                <w:rFonts w:ascii="Times New Roman" w:hAnsi="Times New Roman"/>
              </w:rPr>
            </w:pPr>
            <w:r w:rsidRPr="00C035D4">
              <w:rPr>
                <w:rFonts w:ascii="Times New Roman" w:hAnsi="Times New Roman"/>
              </w:rPr>
              <w:t xml:space="preserve">Nr. </w:t>
            </w:r>
            <w:r w:rsidR="008B64E7">
              <w:rPr>
                <w:rFonts w:ascii="Times New Roman" w:hAnsi="Times New Roman"/>
                <w:caps/>
              </w:rPr>
              <w:t>15</w:t>
            </w:r>
          </w:p>
        </w:tc>
        <w:tc>
          <w:tcPr>
            <w:tcW w:w="7371" w:type="dxa"/>
            <w:gridSpan w:val="2"/>
          </w:tcPr>
          <w:p w:rsidRPr="00C035D4" w:rsidR="003C21AC" w:rsidP="006E0971" w:rsidRDefault="003C21AC" w14:paraId="37177507" w14:textId="189BB5F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C1997">
              <w:rPr>
                <w:rFonts w:ascii="Times New Roman" w:hAnsi="Times New Roman"/>
                <w:caps/>
              </w:rPr>
              <w:t xml:space="preserve">de leden </w:t>
            </w:r>
            <w:r w:rsidR="00702DFD">
              <w:rPr>
                <w:rFonts w:ascii="Times New Roman" w:hAnsi="Times New Roman"/>
                <w:caps/>
              </w:rPr>
              <w:t>van eijk</w:t>
            </w:r>
            <w:r w:rsidR="00EC1997">
              <w:rPr>
                <w:rFonts w:ascii="Times New Roman" w:hAnsi="Times New Roman"/>
                <w:caps/>
              </w:rPr>
              <w:t xml:space="preserve"> en van berkel</w:t>
            </w:r>
          </w:p>
        </w:tc>
      </w:tr>
      <w:tr w:rsidR="003C21AC" w:rsidTr="00EA1CE4" w14:paraId="01A58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319F9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0C49C1B" w14:textId="1D7365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64E7">
              <w:rPr>
                <w:rFonts w:ascii="Times New Roman" w:hAnsi="Times New Roman"/>
                <w:b w:val="0"/>
              </w:rPr>
              <w:t>13 januari 2026</w:t>
            </w:r>
          </w:p>
        </w:tc>
      </w:tr>
      <w:tr w:rsidR="00B01BA6" w:rsidTr="00EA1CE4" w14:paraId="44415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5D495D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3F91" w14:textId="77777777">
            <w:pPr>
              <w:pStyle w:val="Amendement"/>
              <w:tabs>
                <w:tab w:val="clear" w:pos="3310"/>
                <w:tab w:val="clear" w:pos="3600"/>
              </w:tabs>
              <w:ind w:left="-70"/>
              <w:rPr>
                <w:rFonts w:ascii="Times New Roman" w:hAnsi="Times New Roman"/>
                <w:b w:val="0"/>
              </w:rPr>
            </w:pPr>
          </w:p>
        </w:tc>
      </w:tr>
      <w:tr w:rsidRPr="00EA69AC" w:rsidR="00B01BA6" w:rsidTr="00EA1CE4" w14:paraId="78CEB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CE520" w14:textId="17486953">
            <w:pPr>
              <w:ind w:firstLine="284"/>
            </w:pPr>
            <w:r w:rsidRPr="00EA69AC">
              <w:t>De ondergetekende</w:t>
            </w:r>
            <w:r w:rsidR="00EC1997">
              <w:t xml:space="preserve">n stellen </w:t>
            </w:r>
            <w:r w:rsidRPr="00EA69AC">
              <w:t>het volgende amendement voor:</w:t>
            </w:r>
          </w:p>
        </w:tc>
      </w:tr>
    </w:tbl>
    <w:p w:rsidR="004330ED" w:rsidP="00D774B3" w:rsidRDefault="004330ED" w14:paraId="2DD63524" w14:textId="77777777"/>
    <w:p w:rsidR="005B1DCC" w:rsidP="00364727" w:rsidRDefault="00464800" w14:paraId="71C7E41A" w14:textId="47D291DB">
      <w:pPr>
        <w:ind w:firstLine="284"/>
      </w:pPr>
      <w:r>
        <w:t>Na artikel I</w:t>
      </w:r>
      <w:r w:rsidR="00D55E96">
        <w:t>V</w:t>
      </w:r>
      <w:r>
        <w:t xml:space="preserve"> word</w:t>
      </w:r>
      <w:r w:rsidR="00364727">
        <w:t xml:space="preserve">en twee </w:t>
      </w:r>
      <w:r>
        <w:t>artikel</w:t>
      </w:r>
      <w:r w:rsidR="00364727">
        <w:t>en</w:t>
      </w:r>
      <w:r>
        <w:t xml:space="preserve"> ingevoegd, luidende:</w:t>
      </w:r>
    </w:p>
    <w:p w:rsidR="00464800" w:rsidP="00464800" w:rsidRDefault="00464800" w14:paraId="37B85BD2" w14:textId="77777777"/>
    <w:p w:rsidR="00464800" w:rsidP="00464800" w:rsidRDefault="00464800" w14:paraId="4DADA784" w14:textId="7D3E4088"/>
    <w:p w:rsidRPr="00464800" w:rsidR="00464800" w:rsidP="00464800" w:rsidRDefault="00464800" w14:paraId="7E954F9B" w14:textId="0CF1C6F0">
      <w:pPr>
        <w:rPr>
          <w:b/>
          <w:bCs/>
        </w:rPr>
      </w:pPr>
      <w:r w:rsidRPr="00464800">
        <w:rPr>
          <w:b/>
          <w:bCs/>
        </w:rPr>
        <w:t>ARTIKEL I</w:t>
      </w:r>
      <w:r w:rsidR="00D55E96">
        <w:rPr>
          <w:b/>
          <w:bCs/>
        </w:rPr>
        <w:t>V</w:t>
      </w:r>
      <w:r w:rsidR="00432782">
        <w:rPr>
          <w:b/>
          <w:bCs/>
        </w:rPr>
        <w:t>bis</w:t>
      </w:r>
    </w:p>
    <w:p w:rsidR="00EA1CE4" w:rsidP="00EA1CE4" w:rsidRDefault="00EA1CE4" w14:paraId="1C86B947" w14:textId="77777777"/>
    <w:p w:rsidR="00464800" w:rsidP="00EA1CE4" w:rsidRDefault="00464800" w14:paraId="72144E63" w14:textId="250852E0">
      <w:r>
        <w:tab/>
        <w:t>Artikel IIA van de Wet plan van aanpak witwassen vervalt.</w:t>
      </w:r>
    </w:p>
    <w:p w:rsidR="00702DFD" w:rsidP="00EA1CE4" w:rsidRDefault="00702DFD" w14:paraId="4E0057E5" w14:textId="77777777"/>
    <w:p w:rsidR="00364727" w:rsidP="00EA1CE4" w:rsidRDefault="00364727" w14:paraId="010E1B6F" w14:textId="77777777"/>
    <w:p w:rsidRPr="00364727" w:rsidR="00702DFD" w:rsidP="00EA1CE4" w:rsidRDefault="00364727" w14:paraId="65A15517" w14:textId="3C3FA424">
      <w:pPr>
        <w:rPr>
          <w:b/>
          <w:bCs/>
        </w:rPr>
      </w:pPr>
      <w:r w:rsidRPr="00364727">
        <w:rPr>
          <w:b/>
          <w:bCs/>
        </w:rPr>
        <w:t>ARTIKEL I</w:t>
      </w:r>
      <w:r w:rsidR="00D55E96">
        <w:rPr>
          <w:b/>
          <w:bCs/>
        </w:rPr>
        <w:t>V</w:t>
      </w:r>
      <w:r w:rsidR="00432782">
        <w:rPr>
          <w:b/>
          <w:bCs/>
        </w:rPr>
        <w:t>ter</w:t>
      </w:r>
    </w:p>
    <w:p w:rsidR="00702DFD" w:rsidP="00EA1CE4" w:rsidRDefault="00702DFD" w14:paraId="0C7B213B" w14:textId="77777777"/>
    <w:p w:rsidR="00702DFD" w:rsidP="00702DFD" w:rsidRDefault="00702DFD" w14:paraId="000B2776" w14:textId="114B8A4A">
      <w:pPr>
        <w:ind w:firstLine="284"/>
      </w:pPr>
      <w:r>
        <w:t>Indien artikel IIA van de Wet plan van aanpak witwassen eerder in werking treedt dan artikel I</w:t>
      </w:r>
      <w:r w:rsidR="00147C7E">
        <w:t>Vbis</w:t>
      </w:r>
      <w:r>
        <w:t xml:space="preserve"> van deze wet, komt artikel I</w:t>
      </w:r>
      <w:r w:rsidR="00147C7E">
        <w:t>Vbis</w:t>
      </w:r>
      <w:r>
        <w:t xml:space="preserve"> van deze wet als volgt te luiden:</w:t>
      </w:r>
    </w:p>
    <w:p w:rsidR="00364727" w:rsidP="00EA1CE4" w:rsidRDefault="00364727" w14:paraId="1B870DE0" w14:textId="77777777"/>
    <w:p w:rsidR="00364727" w:rsidP="00EA1CE4" w:rsidRDefault="00364727" w14:paraId="37AEC106" w14:textId="77777777"/>
    <w:p w:rsidRPr="00702DFD" w:rsidR="00702DFD" w:rsidP="00EA1CE4" w:rsidRDefault="00702DFD" w14:paraId="5F634AC5" w14:textId="70C63819">
      <w:pPr>
        <w:rPr>
          <w:b/>
          <w:bCs/>
        </w:rPr>
      </w:pPr>
      <w:r w:rsidRPr="00702DFD">
        <w:rPr>
          <w:b/>
          <w:bCs/>
        </w:rPr>
        <w:t>ARTIKEL I</w:t>
      </w:r>
      <w:r w:rsidR="00D55E96">
        <w:rPr>
          <w:b/>
          <w:bCs/>
        </w:rPr>
        <w:t>V</w:t>
      </w:r>
      <w:r w:rsidR="00147C7E">
        <w:rPr>
          <w:b/>
          <w:bCs/>
        </w:rPr>
        <w:t>bis</w:t>
      </w:r>
    </w:p>
    <w:p w:rsidR="00702DFD" w:rsidP="00EA1CE4" w:rsidRDefault="00702DFD" w14:paraId="2F88C3ED" w14:textId="77777777"/>
    <w:p w:rsidR="00702DFD" w:rsidP="00EA1CE4" w:rsidRDefault="00702DFD" w14:paraId="702AF564" w14:textId="4CA2617E">
      <w:r>
        <w:tab/>
        <w:t xml:space="preserve">Artikel 113 </w:t>
      </w:r>
      <w:r w:rsidRPr="00702DFD">
        <w:t>van boek 6 van het Burgerlijk Wetboek</w:t>
      </w:r>
      <w:r>
        <w:t xml:space="preserve"> vervalt.</w:t>
      </w:r>
    </w:p>
    <w:p w:rsidR="00464800" w:rsidP="00EA1CE4" w:rsidRDefault="00464800" w14:paraId="1C1A5499" w14:textId="77777777"/>
    <w:p w:rsidRPr="00EA69AC" w:rsidR="003C21AC" w:rsidP="00EA1CE4" w:rsidRDefault="003C21AC" w14:paraId="777E87C5" w14:textId="77777777">
      <w:pPr>
        <w:rPr>
          <w:b/>
        </w:rPr>
      </w:pPr>
      <w:r w:rsidRPr="00EA69AC">
        <w:rPr>
          <w:b/>
        </w:rPr>
        <w:t>Toelichting</w:t>
      </w:r>
    </w:p>
    <w:p w:rsidRPr="00EA69AC" w:rsidR="003C21AC" w:rsidP="00BF623B" w:rsidRDefault="003C21AC" w14:paraId="4C2B8C7F" w14:textId="77777777"/>
    <w:p w:rsidR="00751BB9" w:rsidP="00EA1CE4" w:rsidRDefault="006B1E84" w14:paraId="0F9B6B8A" w14:textId="1F2D0737">
      <w:r w:rsidRPr="006B1E84">
        <w:t xml:space="preserve">Met dit amendement </w:t>
      </w:r>
      <w:r>
        <w:t>stel</w:t>
      </w:r>
      <w:r w:rsidR="00EC1997">
        <w:t xml:space="preserve">len indieners </w:t>
      </w:r>
      <w:r>
        <w:t>voor</w:t>
      </w:r>
      <w:r w:rsidRPr="006B1E84">
        <w:t xml:space="preserve"> de</w:t>
      </w:r>
      <w:r w:rsidR="00F262DE">
        <w:t xml:space="preserve"> voorgenomen</w:t>
      </w:r>
      <w:r w:rsidRPr="006B1E84">
        <w:t xml:space="preserve"> acceptatieplicht voor contant geld voor ondernemers </w:t>
      </w:r>
      <w:r>
        <w:t>te schrappen</w:t>
      </w:r>
      <w:r w:rsidRPr="006B1E84">
        <w:t xml:space="preserve">. </w:t>
      </w:r>
      <w:r w:rsidR="001A2C8C">
        <w:t xml:space="preserve">Het </w:t>
      </w:r>
      <w:r w:rsidR="00751BB9">
        <w:t xml:space="preserve">aangenomen </w:t>
      </w:r>
      <w:r w:rsidR="001A2C8C">
        <w:t>amendement</w:t>
      </w:r>
      <w:r w:rsidR="00011507">
        <w:t xml:space="preserve">-Dijk/Flach </w:t>
      </w:r>
      <w:r w:rsidR="00DC15F3">
        <w:t xml:space="preserve">introduceert </w:t>
      </w:r>
      <w:r w:rsidR="00751BB9">
        <w:t xml:space="preserve">juist </w:t>
      </w:r>
      <w:r w:rsidR="00DC15F3">
        <w:t>deze acceptatieplicht per 2027.</w:t>
      </w:r>
      <w:r w:rsidR="003035F0">
        <w:rPr>
          <w:rStyle w:val="Voetnootmarkering"/>
        </w:rPr>
        <w:footnoteReference w:id="1"/>
      </w:r>
      <w:r w:rsidR="00DC15F3">
        <w:t xml:space="preserve"> </w:t>
      </w:r>
      <w:r w:rsidRPr="006B1E84">
        <w:t xml:space="preserve">Hoewel de instandhouding van contant geld als betaalmiddel belangrijk is, leidt een acceptatieplicht namelijk tot disproportionele regeldrukeffecten voor ondernemers. </w:t>
      </w:r>
    </w:p>
    <w:p w:rsidR="00751BB9" w:rsidP="00EA1CE4" w:rsidRDefault="00751BB9" w14:paraId="2F42F6E5" w14:textId="77777777"/>
    <w:p w:rsidR="00464800" w:rsidP="00EA1CE4" w:rsidRDefault="006B1E84" w14:paraId="511D5030" w14:textId="49B02E53">
      <w:r w:rsidRPr="006B1E84">
        <w:t>Ondernemers zijn veel tijd en geld kwijt aan het voldoen aan alle regelgeving in Nederland. Tussen 2018 en 2024 stegen de structurele regeldrukkosten met ruim 1,5 miljard euro</w:t>
      </w:r>
      <w:r w:rsidRPr="006B1E84">
        <w:rPr>
          <w:vertAlign w:val="superscript"/>
        </w:rPr>
        <w:footnoteReference w:id="2"/>
      </w:r>
      <w:r w:rsidRPr="006B1E84">
        <w:t>, nog bovenop de ruim 2,3 miljard euro eenmalige kostenstijging die ondernemers en organisaties voor hun kiezen kregen door de introductie van nieuwe of gewijzigde regelgeving</w:t>
      </w:r>
      <w:r w:rsidRPr="006B1E84">
        <w:rPr>
          <w:vertAlign w:val="superscript"/>
        </w:rPr>
        <w:footnoteReference w:id="3"/>
      </w:r>
      <w:r w:rsidRPr="006B1E84">
        <w:t>. Deze regeldruk zet de concurrentiepositie van Nederland onder druk.</w:t>
      </w:r>
      <w:r w:rsidRPr="006B1E84">
        <w:rPr>
          <w:vertAlign w:val="superscript"/>
        </w:rPr>
        <w:footnoteReference w:id="4"/>
      </w:r>
      <w:r w:rsidRPr="006B1E84">
        <w:t xml:space="preserve"> Een acceptatieplicht voor contant geld draagt </w:t>
      </w:r>
      <w:r w:rsidR="00464800">
        <w:t xml:space="preserve">niet alleen </w:t>
      </w:r>
      <w:r w:rsidRPr="006B1E84">
        <w:t>bij aan de regeldruk</w:t>
      </w:r>
      <w:r w:rsidR="00464800">
        <w:t xml:space="preserve">, maar </w:t>
      </w:r>
      <w:r>
        <w:t xml:space="preserve">leidt </w:t>
      </w:r>
      <w:r w:rsidR="00464800">
        <w:t>ook</w:t>
      </w:r>
      <w:r>
        <w:t xml:space="preserve"> tot onduidelijkheid bij ondernemers</w:t>
      </w:r>
      <w:r w:rsidRPr="006B1E84">
        <w:t xml:space="preserve">. </w:t>
      </w:r>
      <w:r>
        <w:t>Zo gelden er diverse uitzonderingen op de acceptatieplicht, bijvoorbeeld</w:t>
      </w:r>
      <w:r w:rsidRPr="006B1E84">
        <w:t xml:space="preserve"> op bepaalde tijdstippen (tussen 22.00 en 06:00), bij </w:t>
      </w:r>
      <w:r>
        <w:t>bedragen boven de</w:t>
      </w:r>
      <w:r w:rsidRPr="006B1E84">
        <w:t xml:space="preserve"> drempelwaarde (€3.000) en in </w:t>
      </w:r>
      <w:r w:rsidRPr="006B1E84">
        <w:lastRenderedPageBreak/>
        <w:t xml:space="preserve">bepaalde sectoren (bijvoorbeeld, onbemande benzinestations). Dit is niet bevorderlijk voor het ondernemersklimaat. </w:t>
      </w:r>
    </w:p>
    <w:p w:rsidR="00464800" w:rsidP="00EA1CE4" w:rsidRDefault="00464800" w14:paraId="11AAFE4E" w14:textId="77777777"/>
    <w:p w:rsidR="00657C14" w:rsidP="00EA1CE4" w:rsidRDefault="006B1E84" w14:paraId="2A5482B3" w14:textId="06EE0684">
      <w:r w:rsidRPr="006B1E84">
        <w:t xml:space="preserve">Contant geld is een belangrijke terugvaloptie voor als het digitale betalingsverkeer platligt. Met het schrappen van de </w:t>
      </w:r>
      <w:r w:rsidR="002E3A46">
        <w:t xml:space="preserve">voorgenomen </w:t>
      </w:r>
      <w:r w:rsidRPr="006B1E84">
        <w:t xml:space="preserve">acceptatieplicht voor contant geld blijft contant geld een wettig betaalmiddel. Daarmee blijft de terugvaloptie dus bestaan. De weigering van contant geld waardoor </w:t>
      </w:r>
      <w:r w:rsidR="007537B8">
        <w:t>deze</w:t>
      </w:r>
      <w:r w:rsidRPr="006B1E84">
        <w:t xml:space="preserve"> als betaalmiddel steeds meer wordt ‘uitgehold’ is bovendien niet aan de orde: 95,2% van de Nederlandse toonbankinstellingen accepteerde in 2024 contant geld als betaalmiddel.</w:t>
      </w:r>
      <w:r w:rsidRPr="006B1E84">
        <w:rPr>
          <w:vertAlign w:val="superscript"/>
        </w:rPr>
        <w:footnoteReference w:id="5"/>
      </w:r>
      <w:r w:rsidRPr="006B1E84">
        <w:t xml:space="preserve"> Waar contant geld wordt geweigerd, is daar bovendien vaak een goede reden voor. Zo kan de veiligheid van de ondernemer een reden zijn om contante betalingen te weigeren. Een acceptatieplicht voor contant geld is daarmee niet in het veiligheidsbelang van ondernemers. </w:t>
      </w:r>
    </w:p>
    <w:p w:rsidRPr="00EA69AC" w:rsidR="005B1DCC" w:rsidP="00BF623B" w:rsidRDefault="005B1DCC" w14:paraId="1C3DD487" w14:textId="77777777"/>
    <w:p w:rsidR="00B4708A" w:rsidP="00EA1CE4" w:rsidRDefault="006B1E84" w14:paraId="0B0EEFAD" w14:textId="1A998DFA">
      <w:r>
        <w:t xml:space="preserve">Van Eijk </w:t>
      </w:r>
    </w:p>
    <w:p w:rsidRPr="00EA69AC" w:rsidR="00A06AC1" w:rsidP="00EA1CE4" w:rsidRDefault="00A06AC1" w14:paraId="7885B7B5" w14:textId="064213CB">
      <w:r>
        <w:t>Van Berkel</w:t>
      </w:r>
    </w:p>
    <w:sectPr w:rsidRPr="00EA69AC" w:rsidR="00A06AC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8F50" w14:textId="77777777" w:rsidR="00E50ED3" w:rsidRDefault="00E50ED3">
      <w:pPr>
        <w:spacing w:line="20" w:lineRule="exact"/>
      </w:pPr>
    </w:p>
  </w:endnote>
  <w:endnote w:type="continuationSeparator" w:id="0">
    <w:p w14:paraId="3F895DD4" w14:textId="77777777" w:rsidR="00E50ED3" w:rsidRDefault="00E50ED3">
      <w:pPr>
        <w:pStyle w:val="Amendement"/>
      </w:pPr>
      <w:r>
        <w:rPr>
          <w:b w:val="0"/>
        </w:rPr>
        <w:t xml:space="preserve"> </w:t>
      </w:r>
    </w:p>
  </w:endnote>
  <w:endnote w:type="continuationNotice" w:id="1">
    <w:p w14:paraId="49D2C8CC" w14:textId="77777777" w:rsidR="00E50ED3" w:rsidRDefault="00E50E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6F34" w14:textId="77777777" w:rsidR="00E50ED3" w:rsidRDefault="00E50ED3">
      <w:pPr>
        <w:pStyle w:val="Amendement"/>
      </w:pPr>
      <w:r>
        <w:rPr>
          <w:b w:val="0"/>
        </w:rPr>
        <w:separator/>
      </w:r>
    </w:p>
  </w:footnote>
  <w:footnote w:type="continuationSeparator" w:id="0">
    <w:p w14:paraId="2EE3C15A" w14:textId="77777777" w:rsidR="00E50ED3" w:rsidRDefault="00E50ED3">
      <w:r>
        <w:continuationSeparator/>
      </w:r>
    </w:p>
  </w:footnote>
  <w:footnote w:id="1">
    <w:p w14:paraId="2FA6F1FC" w14:textId="36250BB6" w:rsidR="003035F0" w:rsidRPr="008D3B53" w:rsidRDefault="003035F0">
      <w:pPr>
        <w:pStyle w:val="Voetnoottekst"/>
        <w:rPr>
          <w:sz w:val="20"/>
        </w:rPr>
      </w:pPr>
      <w:r w:rsidRPr="008D3B53">
        <w:rPr>
          <w:rStyle w:val="Voetnootmarkering"/>
          <w:sz w:val="20"/>
        </w:rPr>
        <w:footnoteRef/>
      </w:r>
      <w:r w:rsidRPr="008D3B53">
        <w:rPr>
          <w:sz w:val="20"/>
        </w:rPr>
        <w:t xml:space="preserve"> </w:t>
      </w:r>
      <w:hyperlink r:id="rId1" w:history="1">
        <w:r w:rsidRPr="008D3B53">
          <w:rPr>
            <w:rStyle w:val="Hyperlink"/>
            <w:sz w:val="20"/>
          </w:rPr>
          <w:t>https://www.tweedekamer.nl/kamerstukken/detail?id=2024Z13128&amp;did=2024D32048</w:t>
        </w:r>
      </w:hyperlink>
      <w:r w:rsidR="00104228" w:rsidRPr="008D3B53">
        <w:rPr>
          <w:sz w:val="20"/>
        </w:rPr>
        <w:t>.</w:t>
      </w:r>
      <w:r w:rsidRPr="008D3B53">
        <w:rPr>
          <w:sz w:val="20"/>
        </w:rPr>
        <w:t xml:space="preserve"> </w:t>
      </w:r>
    </w:p>
  </w:footnote>
  <w:footnote w:id="2">
    <w:p w14:paraId="44A14ABA" w14:textId="1FD39E20" w:rsidR="006B1E84" w:rsidRPr="00104228" w:rsidRDefault="006B1E84" w:rsidP="006B1E84">
      <w:pPr>
        <w:pStyle w:val="Voetnoottekst"/>
        <w:rPr>
          <w:sz w:val="20"/>
        </w:rPr>
      </w:pPr>
      <w:r w:rsidRPr="00104228">
        <w:rPr>
          <w:rStyle w:val="Voetnootmarkering"/>
          <w:sz w:val="20"/>
        </w:rPr>
        <w:footnoteRef/>
      </w:r>
      <w:r w:rsidRPr="00104228">
        <w:rPr>
          <w:sz w:val="20"/>
        </w:rPr>
        <w:t xml:space="preserve"> </w:t>
      </w:r>
      <w:hyperlink r:id="rId2" w:history="1">
        <w:r w:rsidRPr="00104228">
          <w:rPr>
            <w:rStyle w:val="Hyperlink"/>
            <w:sz w:val="20"/>
          </w:rPr>
          <w:t>https://www.regeldrukmonitor.nl/ontwikkeling-regeldrukkosten/structurele-kosten-periode-2018---2024</w:t>
        </w:r>
      </w:hyperlink>
      <w:r w:rsidRPr="00104228">
        <w:rPr>
          <w:sz w:val="20"/>
        </w:rPr>
        <w:t>.</w:t>
      </w:r>
    </w:p>
  </w:footnote>
  <w:footnote w:id="3">
    <w:p w14:paraId="7ABCA6A5" w14:textId="554B4EF6" w:rsidR="006B1E84" w:rsidRPr="00104228" w:rsidRDefault="006B1E84" w:rsidP="006B1E84">
      <w:pPr>
        <w:pStyle w:val="Voetnoottekst"/>
        <w:rPr>
          <w:sz w:val="20"/>
        </w:rPr>
      </w:pPr>
      <w:r w:rsidRPr="00104228">
        <w:rPr>
          <w:rStyle w:val="Voetnootmarkering"/>
          <w:sz w:val="20"/>
        </w:rPr>
        <w:footnoteRef/>
      </w:r>
      <w:r w:rsidRPr="00104228">
        <w:rPr>
          <w:sz w:val="20"/>
        </w:rPr>
        <w:t xml:space="preserve"> </w:t>
      </w:r>
      <w:hyperlink r:id="rId3" w:history="1">
        <w:r w:rsidRPr="00104228">
          <w:rPr>
            <w:rStyle w:val="Hyperlink"/>
            <w:sz w:val="20"/>
          </w:rPr>
          <w:t>https://www.regeldrukmonitor.nl/ontwikkeling-regeldrukkosten/eenmalige-kosten-periode-2018---2024</w:t>
        </w:r>
      </w:hyperlink>
      <w:r w:rsidRPr="00104228">
        <w:rPr>
          <w:sz w:val="20"/>
        </w:rPr>
        <w:t>.</w:t>
      </w:r>
    </w:p>
  </w:footnote>
  <w:footnote w:id="4">
    <w:p w14:paraId="3252096B" w14:textId="427A5677" w:rsidR="006B1E84" w:rsidRPr="006B1E84" w:rsidRDefault="006B1E84" w:rsidP="006B1E84">
      <w:pPr>
        <w:pStyle w:val="Voetnoottekst"/>
        <w:rPr>
          <w:sz w:val="20"/>
        </w:rPr>
      </w:pPr>
      <w:r w:rsidRPr="00104228">
        <w:rPr>
          <w:rStyle w:val="Voetnootmarkering"/>
          <w:sz w:val="20"/>
        </w:rPr>
        <w:footnoteRef/>
      </w:r>
      <w:r w:rsidRPr="00104228">
        <w:rPr>
          <w:sz w:val="20"/>
        </w:rPr>
        <w:t xml:space="preserve"> </w:t>
      </w:r>
      <w:hyperlink r:id="rId4" w:history="1">
        <w:r w:rsidRPr="00104228">
          <w:rPr>
            <w:rStyle w:val="Hyperlink"/>
            <w:sz w:val="20"/>
          </w:rPr>
          <w:t>https://www.rapportwennink.nl/downloads/rapport_wennink_12december2025.pdf</w:t>
        </w:r>
      </w:hyperlink>
      <w:r w:rsidRPr="00104228">
        <w:rPr>
          <w:sz w:val="20"/>
        </w:rPr>
        <w:t>.</w:t>
      </w:r>
    </w:p>
  </w:footnote>
  <w:footnote w:id="5">
    <w:p w14:paraId="104022EB" w14:textId="174340EA" w:rsidR="006B1E84" w:rsidRPr="006B1E84" w:rsidRDefault="006B1E84" w:rsidP="006B1E84">
      <w:pPr>
        <w:pStyle w:val="Voetnoottekst"/>
        <w:rPr>
          <w:sz w:val="20"/>
        </w:rPr>
      </w:pPr>
      <w:r w:rsidRPr="006B1E84">
        <w:rPr>
          <w:rStyle w:val="Voetnootmarkering"/>
          <w:sz w:val="20"/>
        </w:rPr>
        <w:footnoteRef/>
      </w:r>
      <w:r w:rsidRPr="006B1E84">
        <w:rPr>
          <w:sz w:val="20"/>
        </w:rPr>
        <w:t xml:space="preserve"> </w:t>
      </w:r>
      <w:hyperlink r:id="rId5" w:history="1">
        <w:r w:rsidRPr="006B1E84">
          <w:rPr>
            <w:rStyle w:val="Hyperlink"/>
            <w:sz w:val="20"/>
          </w:rPr>
          <w:t>https://www.dnb.nl/algemeen-nieuws/nieuws-2025/iets-minder-winkels-accepteren-cash/</w:t>
        </w:r>
      </w:hyperlink>
      <w:r w:rsidRPr="006B1E84">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84"/>
    <w:rsid w:val="00011507"/>
    <w:rsid w:val="00027CB7"/>
    <w:rsid w:val="00052244"/>
    <w:rsid w:val="0007471A"/>
    <w:rsid w:val="000D17BF"/>
    <w:rsid w:val="0010171C"/>
    <w:rsid w:val="00104228"/>
    <w:rsid w:val="00147C7E"/>
    <w:rsid w:val="00157CAF"/>
    <w:rsid w:val="001656EE"/>
    <w:rsid w:val="0016653D"/>
    <w:rsid w:val="001A2C8C"/>
    <w:rsid w:val="001B3FEE"/>
    <w:rsid w:val="001D56AF"/>
    <w:rsid w:val="001E0E21"/>
    <w:rsid w:val="00212E0A"/>
    <w:rsid w:val="002153B0"/>
    <w:rsid w:val="0021777F"/>
    <w:rsid w:val="00241DD0"/>
    <w:rsid w:val="002A0713"/>
    <w:rsid w:val="002E3A46"/>
    <w:rsid w:val="003035F0"/>
    <w:rsid w:val="00364727"/>
    <w:rsid w:val="003C21AC"/>
    <w:rsid w:val="003C5218"/>
    <w:rsid w:val="003C7876"/>
    <w:rsid w:val="003E2308"/>
    <w:rsid w:val="003E2F98"/>
    <w:rsid w:val="00413B00"/>
    <w:rsid w:val="0042574B"/>
    <w:rsid w:val="00432782"/>
    <w:rsid w:val="004330ED"/>
    <w:rsid w:val="00447E3F"/>
    <w:rsid w:val="00464800"/>
    <w:rsid w:val="00481C91"/>
    <w:rsid w:val="004853D2"/>
    <w:rsid w:val="004911E3"/>
    <w:rsid w:val="00497D57"/>
    <w:rsid w:val="004A1E29"/>
    <w:rsid w:val="004A7DD4"/>
    <w:rsid w:val="004B50D8"/>
    <w:rsid w:val="004B5B90"/>
    <w:rsid w:val="00501109"/>
    <w:rsid w:val="005106F3"/>
    <w:rsid w:val="005703C9"/>
    <w:rsid w:val="00597703"/>
    <w:rsid w:val="005A6097"/>
    <w:rsid w:val="005B1DCC"/>
    <w:rsid w:val="005B7323"/>
    <w:rsid w:val="005C25B9"/>
    <w:rsid w:val="006267E6"/>
    <w:rsid w:val="006558D2"/>
    <w:rsid w:val="00657C14"/>
    <w:rsid w:val="00672D25"/>
    <w:rsid w:val="006738BC"/>
    <w:rsid w:val="006B1E84"/>
    <w:rsid w:val="006D3E69"/>
    <w:rsid w:val="006E0971"/>
    <w:rsid w:val="00702DFD"/>
    <w:rsid w:val="00751BB9"/>
    <w:rsid w:val="007537B8"/>
    <w:rsid w:val="007709F6"/>
    <w:rsid w:val="00783215"/>
    <w:rsid w:val="007965FC"/>
    <w:rsid w:val="007D2608"/>
    <w:rsid w:val="008164E5"/>
    <w:rsid w:val="00830081"/>
    <w:rsid w:val="008467D7"/>
    <w:rsid w:val="00852541"/>
    <w:rsid w:val="00865D47"/>
    <w:rsid w:val="0088452C"/>
    <w:rsid w:val="008B64E7"/>
    <w:rsid w:val="008D3B53"/>
    <w:rsid w:val="008D7DCB"/>
    <w:rsid w:val="009055DB"/>
    <w:rsid w:val="00905ECB"/>
    <w:rsid w:val="00930339"/>
    <w:rsid w:val="00952E6F"/>
    <w:rsid w:val="0096165D"/>
    <w:rsid w:val="009644DA"/>
    <w:rsid w:val="00993E91"/>
    <w:rsid w:val="009A409F"/>
    <w:rsid w:val="009B5845"/>
    <w:rsid w:val="009C0C1F"/>
    <w:rsid w:val="00A06AC1"/>
    <w:rsid w:val="00A10505"/>
    <w:rsid w:val="00A1288B"/>
    <w:rsid w:val="00A33950"/>
    <w:rsid w:val="00A53203"/>
    <w:rsid w:val="00A772EB"/>
    <w:rsid w:val="00B01BA6"/>
    <w:rsid w:val="00B2752D"/>
    <w:rsid w:val="00B4708A"/>
    <w:rsid w:val="00BF623B"/>
    <w:rsid w:val="00C035D4"/>
    <w:rsid w:val="00C679BF"/>
    <w:rsid w:val="00C81BBD"/>
    <w:rsid w:val="00CD3132"/>
    <w:rsid w:val="00CE27CD"/>
    <w:rsid w:val="00CF1A34"/>
    <w:rsid w:val="00D134F3"/>
    <w:rsid w:val="00D172B1"/>
    <w:rsid w:val="00D47D01"/>
    <w:rsid w:val="00D55E96"/>
    <w:rsid w:val="00D774B3"/>
    <w:rsid w:val="00DC15F3"/>
    <w:rsid w:val="00DD35A5"/>
    <w:rsid w:val="00DE2948"/>
    <w:rsid w:val="00DF68BE"/>
    <w:rsid w:val="00DF712A"/>
    <w:rsid w:val="00E25DF4"/>
    <w:rsid w:val="00E3485D"/>
    <w:rsid w:val="00E50ED3"/>
    <w:rsid w:val="00E6619B"/>
    <w:rsid w:val="00E908D7"/>
    <w:rsid w:val="00EA1CE4"/>
    <w:rsid w:val="00EA69AC"/>
    <w:rsid w:val="00EB2006"/>
    <w:rsid w:val="00EB40A1"/>
    <w:rsid w:val="00EB7A66"/>
    <w:rsid w:val="00EC1997"/>
    <w:rsid w:val="00EC3112"/>
    <w:rsid w:val="00ED5E57"/>
    <w:rsid w:val="00EE1BD8"/>
    <w:rsid w:val="00F262D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588A"/>
  <w15:docId w15:val="{E7ED06B6-A362-4BBF-962F-2AF79F23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6B1E84"/>
    <w:rPr>
      <w:vertAlign w:val="superscript"/>
    </w:rPr>
  </w:style>
  <w:style w:type="character" w:styleId="Hyperlink">
    <w:name w:val="Hyperlink"/>
    <w:basedOn w:val="Standaardalinea-lettertype"/>
    <w:uiPriority w:val="99"/>
    <w:unhideWhenUsed/>
    <w:rsid w:val="006B1E84"/>
    <w:rPr>
      <w:color w:val="0000FF" w:themeColor="hyperlink"/>
      <w:u w:val="single"/>
    </w:rPr>
  </w:style>
  <w:style w:type="paragraph" w:styleId="Revisie">
    <w:name w:val="Revision"/>
    <w:hidden/>
    <w:uiPriority w:val="99"/>
    <w:semiHidden/>
    <w:rsid w:val="006B1E84"/>
    <w:rPr>
      <w:sz w:val="24"/>
    </w:rPr>
  </w:style>
  <w:style w:type="character" w:styleId="Verwijzingopmerking">
    <w:name w:val="annotation reference"/>
    <w:basedOn w:val="Standaardalinea-lettertype"/>
    <w:semiHidden/>
    <w:unhideWhenUsed/>
    <w:rsid w:val="006B1E84"/>
    <w:rPr>
      <w:sz w:val="16"/>
      <w:szCs w:val="16"/>
    </w:rPr>
  </w:style>
  <w:style w:type="paragraph" w:styleId="Tekstopmerking">
    <w:name w:val="annotation text"/>
    <w:basedOn w:val="Standaard"/>
    <w:link w:val="TekstopmerkingChar"/>
    <w:unhideWhenUsed/>
    <w:rsid w:val="006B1E84"/>
    <w:rPr>
      <w:sz w:val="20"/>
    </w:rPr>
  </w:style>
  <w:style w:type="character" w:customStyle="1" w:styleId="TekstopmerkingChar">
    <w:name w:val="Tekst opmerking Char"/>
    <w:basedOn w:val="Standaardalinea-lettertype"/>
    <w:link w:val="Tekstopmerking"/>
    <w:rsid w:val="006B1E84"/>
  </w:style>
  <w:style w:type="paragraph" w:styleId="Onderwerpvanopmerking">
    <w:name w:val="annotation subject"/>
    <w:basedOn w:val="Tekstopmerking"/>
    <w:next w:val="Tekstopmerking"/>
    <w:link w:val="OnderwerpvanopmerkingChar"/>
    <w:semiHidden/>
    <w:unhideWhenUsed/>
    <w:rsid w:val="006B1E84"/>
    <w:rPr>
      <w:b/>
      <w:bCs/>
    </w:rPr>
  </w:style>
  <w:style w:type="character" w:customStyle="1" w:styleId="OnderwerpvanopmerkingChar">
    <w:name w:val="Onderwerp van opmerking Char"/>
    <w:basedOn w:val="TekstopmerkingChar"/>
    <w:link w:val="Onderwerpvanopmerking"/>
    <w:semiHidden/>
    <w:rsid w:val="006B1E84"/>
    <w:rPr>
      <w:b/>
      <w:bCs/>
    </w:rPr>
  </w:style>
  <w:style w:type="character" w:styleId="Onopgelostemelding">
    <w:name w:val="Unresolved Mention"/>
    <w:basedOn w:val="Standaardalinea-lettertype"/>
    <w:uiPriority w:val="99"/>
    <w:semiHidden/>
    <w:unhideWhenUsed/>
    <w:rsid w:val="0030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s://www.regeldrukmonitor.nl/ontwikkeling-regeldrukkosten/eenmalige-kosten-periode-2018---2024" TargetMode="External"/><Relationship Id="rId2" Type="http://schemas.openxmlformats.org/officeDocument/2006/relationships/hyperlink" Target="https://www.regeldrukmonitor.nl/ontwikkeling-regeldrukkosten/structurele-kosten-periode-2018---2024" TargetMode="External"/><Relationship Id="rId1" Type="http://schemas.openxmlformats.org/officeDocument/2006/relationships/hyperlink" Target="https://www.tweedekamer.nl/kamerstukken/detail?id=2024Z13128&amp;did=2024D32048" TargetMode="External"/><Relationship Id="rId5" Type="http://schemas.openxmlformats.org/officeDocument/2006/relationships/hyperlink" Target="https://www.dnb.nl/algemeen-nieuws/nieuws-2025/iets-minder-winkels-accepteren-cash/" TargetMode="External"/><Relationship Id="rId4" Type="http://schemas.openxmlformats.org/officeDocument/2006/relationships/hyperlink" Target="https://www.rapportwennink.nl/downloads/rapport_wennink_12december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432</ap:Words>
  <ap:Characters>2380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2026-01-13T09:40:00.0000000Z</dcterms:created>
  <dcterms:modified xsi:type="dcterms:W3CDTF">2026-01-13T09:40:00.0000000Z</dcterms:modified>
  <dc:description>------------------------</dc:description>
  <dc:subject/>
  <keywords/>
  <version/>
  <category/>
</coreProperties>
</file>