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34BA" w:rsidP="007B34BA" w:rsidRDefault="007B34BA" w14:paraId="35F2D670" w14:textId="122999DE">
      <w:pPr>
        <w:rPr>
          <w:b/>
          <w:bCs/>
        </w:rPr>
      </w:pPr>
      <w:r>
        <w:rPr>
          <w:b/>
          <w:bCs/>
        </w:rPr>
        <w:t>AH 864</w:t>
      </w:r>
    </w:p>
    <w:p w:rsidR="007B34BA" w:rsidP="007B34BA" w:rsidRDefault="007B34BA" w14:paraId="6E7A878D" w14:textId="1FA2B906">
      <w:pPr>
        <w:rPr>
          <w:b/>
          <w:bCs/>
        </w:rPr>
      </w:pPr>
      <w:r>
        <w:rPr>
          <w:b/>
          <w:bCs/>
        </w:rPr>
        <w:t>2025Z20266</w:t>
      </w:r>
    </w:p>
    <w:p w:rsidRPr="007B34BA" w:rsidR="007B34BA" w:rsidP="007B34BA" w:rsidRDefault="007B34BA" w14:paraId="78B99FEF" w14:textId="2DE1967A">
      <w:pPr>
        <w:rPr>
          <w:rFonts w:ascii="Arial" w:hAnsi="Arial" w:cs="Arial"/>
          <w:color w:val="000000"/>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Pr>
          <w:sz w:val="24"/>
          <w:szCs w:val="24"/>
        </w:rPr>
        <w:t xml:space="preserve">, mede namens de </w:t>
      </w:r>
      <w:r w:rsidRPr="007D78AD">
        <w:rPr>
          <w:rFonts w:ascii="Times New Roman" w:hAnsi="Times New Roman"/>
          <w:sz w:val="24"/>
        </w:rPr>
        <w:t>minister van Justitie en Veiligheid</w:t>
      </w:r>
      <w:r w:rsidRPr="00ED42F6">
        <w:rPr>
          <w:sz w:val="24"/>
          <w:szCs w:val="24"/>
        </w:rPr>
        <w:t xml:space="preserve"> </w:t>
      </w:r>
      <w:r w:rsidRPr="009B5FE1">
        <w:rPr>
          <w:sz w:val="24"/>
          <w:szCs w:val="24"/>
        </w:rPr>
        <w:t>(ontvangen</w:t>
      </w:r>
      <w:r>
        <w:rPr>
          <w:sz w:val="24"/>
          <w:szCs w:val="24"/>
        </w:rPr>
        <w:t xml:space="preserve"> 13 januari 2026)</w:t>
      </w:r>
    </w:p>
    <w:p w:rsidR="007B34BA" w:rsidP="007B34BA" w:rsidRDefault="007B34BA" w14:paraId="7F0043CB" w14:textId="33B1ADDC">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656</w:t>
      </w:r>
    </w:p>
    <w:p w:rsidRPr="007B34BA" w:rsidR="007B34BA" w:rsidP="007B34BA" w:rsidRDefault="007B34BA" w14:paraId="1C17C325" w14:textId="77777777">
      <w:pPr>
        <w:rPr>
          <w:sz w:val="24"/>
          <w:szCs w:val="24"/>
        </w:rPr>
      </w:pPr>
    </w:p>
    <w:p w:rsidRPr="00D04B77" w:rsidR="007B34BA" w:rsidP="007B34BA" w:rsidRDefault="007B34BA" w14:paraId="40195F07" w14:textId="77777777">
      <w:pPr>
        <w:rPr>
          <w:b/>
          <w:bCs/>
        </w:rPr>
      </w:pPr>
      <w:r w:rsidRPr="00B36024">
        <w:rPr>
          <w:b/>
        </w:rPr>
        <w:t>1.</w:t>
      </w:r>
      <w:r w:rsidRPr="00D04B77">
        <w:rPr>
          <w:b/>
          <w:bCs/>
        </w:rPr>
        <w:tab/>
      </w:r>
    </w:p>
    <w:p w:rsidRPr="00B36024" w:rsidR="007B34BA" w:rsidP="007B34BA" w:rsidRDefault="007B34BA" w14:paraId="285F6F4E" w14:textId="77777777">
      <w:pPr>
        <w:rPr>
          <w:b/>
        </w:rPr>
      </w:pPr>
      <w:r w:rsidRPr="00B36024">
        <w:rPr>
          <w:b/>
        </w:rPr>
        <w:t xml:space="preserve">Heeft u kennisgenomen van het bericht in Het Parool van 6 november jl. over de aanhouding van een </w:t>
      </w:r>
      <w:r w:rsidRPr="0022265B">
        <w:rPr>
          <w:b/>
        </w:rPr>
        <w:t>persoon die een eenmensprotest houdt bij</w:t>
      </w:r>
      <w:r w:rsidRPr="00B36024">
        <w:rPr>
          <w:b/>
        </w:rPr>
        <w:t xml:space="preserve"> de abortuskliniek in Amsterdam-Oost? 1)</w:t>
      </w:r>
    </w:p>
    <w:p w:rsidRPr="00B36024" w:rsidR="007B34BA" w:rsidP="007B34BA" w:rsidRDefault="007B34BA" w14:paraId="703DBC0E" w14:textId="77777777"/>
    <w:p w:rsidRPr="00B36024" w:rsidR="007B34BA" w:rsidP="007B34BA" w:rsidRDefault="007B34BA" w14:paraId="0B64522F" w14:textId="77777777">
      <w:pPr>
        <w:rPr>
          <w:b/>
        </w:rPr>
      </w:pPr>
      <w:r w:rsidRPr="00B36024">
        <w:rPr>
          <w:b/>
        </w:rPr>
        <w:t>Antwoord vraag 1:</w:t>
      </w:r>
    </w:p>
    <w:p w:rsidRPr="00B36024" w:rsidR="007B34BA" w:rsidP="007B34BA" w:rsidRDefault="007B34BA" w14:paraId="22B19A89" w14:textId="77777777">
      <w:r w:rsidRPr="00B36024">
        <w:t>Ja</w:t>
      </w:r>
    </w:p>
    <w:p w:rsidRPr="00B36024" w:rsidR="007B34BA" w:rsidP="007B34BA" w:rsidRDefault="007B34BA" w14:paraId="12823BDC" w14:textId="77777777">
      <w:pPr>
        <w:rPr>
          <w:b/>
        </w:rPr>
      </w:pPr>
    </w:p>
    <w:p w:rsidRPr="00D04B77" w:rsidR="007B34BA" w:rsidP="007B34BA" w:rsidRDefault="007B34BA" w14:paraId="293F2257" w14:textId="77777777">
      <w:pPr>
        <w:rPr>
          <w:b/>
          <w:bCs/>
        </w:rPr>
      </w:pPr>
      <w:r w:rsidRPr="00B36024">
        <w:rPr>
          <w:b/>
        </w:rPr>
        <w:t>2.</w:t>
      </w:r>
      <w:r w:rsidRPr="00D04B77">
        <w:rPr>
          <w:b/>
          <w:bCs/>
        </w:rPr>
        <w:tab/>
      </w:r>
    </w:p>
    <w:p w:rsidRPr="00B36024" w:rsidR="007B34BA" w:rsidP="007B34BA" w:rsidRDefault="007B34BA" w14:paraId="76153F04" w14:textId="77777777">
      <w:pPr>
        <w:rPr>
          <w:b/>
        </w:rPr>
      </w:pPr>
      <w:r w:rsidRPr="00B36024">
        <w:rPr>
          <w:b/>
        </w:rPr>
        <w:t>Deelt u de opvatting dat een eenmensprotest niet onder de Wet openbare manifestaties (Wom) valt en derhalve niet aan een kennisgevingsplicht is onderworpen, maar primair onder artikel 7 van de Grondwet valt? Zo nee, waarom niet?</w:t>
      </w:r>
    </w:p>
    <w:p w:rsidRPr="00B36024" w:rsidR="007B34BA" w:rsidP="007B34BA" w:rsidRDefault="007B34BA" w14:paraId="281F6D5F" w14:textId="77777777">
      <w:pPr>
        <w:rPr>
          <w:b/>
        </w:rPr>
      </w:pPr>
    </w:p>
    <w:p w:rsidRPr="00D04B77" w:rsidR="007B34BA" w:rsidP="007B34BA" w:rsidRDefault="007B34BA" w14:paraId="58B3A529" w14:textId="77777777">
      <w:pPr>
        <w:rPr>
          <w:b/>
          <w:bCs/>
        </w:rPr>
      </w:pPr>
      <w:r w:rsidRPr="00B36024">
        <w:rPr>
          <w:b/>
        </w:rPr>
        <w:t>3.</w:t>
      </w:r>
      <w:r w:rsidRPr="00D04B77">
        <w:rPr>
          <w:b/>
          <w:bCs/>
        </w:rPr>
        <w:tab/>
      </w:r>
    </w:p>
    <w:p w:rsidRPr="00B36024" w:rsidR="007B34BA" w:rsidP="007B34BA" w:rsidRDefault="007B34BA" w14:paraId="7ED3F2F4" w14:textId="77777777">
      <w:pPr>
        <w:rPr>
          <w:b/>
          <w:bCs/>
        </w:rPr>
      </w:pPr>
      <w:r w:rsidRPr="00B36024">
        <w:rPr>
          <w:b/>
        </w:rPr>
        <w:t>Hoe beoordeelt u de door sommige gemeenten gehanteerde opvatting dat de aanwezigheid van een waarnemer op afstand ertoe leidt dat sprake is van een “collectieve actie”, in het licht van de</w:t>
      </w:r>
      <w:r>
        <w:rPr>
          <w:b/>
        </w:rPr>
        <w:t xml:space="preserve"> </w:t>
      </w:r>
      <w:r w:rsidRPr="00B36024">
        <w:rPr>
          <w:b/>
          <w:bCs/>
        </w:rPr>
        <w:t xml:space="preserve">opvatting van de Nationale ombudsman 2) en juridische vakliteratuur 3) dat een eenmensprotest haar karakter niet verliest door de aanwezigheid van een waarnemer? </w:t>
      </w:r>
    </w:p>
    <w:p w:rsidR="007B34BA" w:rsidP="007B34BA" w:rsidRDefault="007B34BA" w14:paraId="241C6B69" w14:textId="77777777"/>
    <w:p w:rsidRPr="00B36024" w:rsidR="007B34BA" w:rsidP="007B34BA" w:rsidRDefault="007B34BA" w14:paraId="71515CDB" w14:textId="77777777">
      <w:pPr>
        <w:rPr>
          <w:b/>
        </w:rPr>
      </w:pPr>
      <w:r w:rsidRPr="00B36024">
        <w:rPr>
          <w:b/>
        </w:rPr>
        <w:t>Antwoord vragen 2 en 3:</w:t>
      </w:r>
    </w:p>
    <w:p w:rsidRPr="00D04B77" w:rsidR="007B34BA" w:rsidP="007B34BA" w:rsidRDefault="007B34BA" w14:paraId="596422DC" w14:textId="77777777">
      <w:r w:rsidRPr="00B36024">
        <w:t xml:space="preserve">Kenmerkend voor een demonstratie is dat hierbij een collectieve mening wordt geuit. Eenmensprotesten vallen daarom niet onder de bescherming van het </w:t>
      </w:r>
      <w:r w:rsidRPr="00B36024">
        <w:lastRenderedPageBreak/>
        <w:t>demonstratierecht en de Wet openbare manifestaties (Wom</w:t>
      </w:r>
      <w:r w:rsidRPr="00D04B77">
        <w:t>)</w:t>
      </w:r>
      <w:r>
        <w:t>,</w:t>
      </w:r>
      <w:r w:rsidRPr="00B36024">
        <w:t xml:space="preserve"> maar onder de bescherming van de vrijheid van meningsuiting (artikel 7, lid 3</w:t>
      </w:r>
      <w:r>
        <w:t>,</w:t>
      </w:r>
      <w:r w:rsidRPr="00B36024">
        <w:t xml:space="preserve"> van de Grondwet). Dit betekent dat zulke protesten niet zijn onderworpen aan de </w:t>
      </w:r>
      <w:r w:rsidRPr="00D04B77">
        <w:t>kennisgevingsplicht</w:t>
      </w:r>
      <w:r w:rsidRPr="00B36024">
        <w:t xml:space="preserve">, die de Wom voor demonstraties voorschrijft. </w:t>
      </w:r>
      <w:r>
        <w:t xml:space="preserve">Een </w:t>
      </w:r>
      <w:r w:rsidRPr="006131D7">
        <w:t xml:space="preserve">gemeente </w:t>
      </w:r>
      <w:r>
        <w:t>kan</w:t>
      </w:r>
      <w:r w:rsidRPr="006131D7">
        <w:t xml:space="preserve"> wel in de algemene plaatselijke verordening </w:t>
      </w:r>
      <w:r>
        <w:t xml:space="preserve">(APV) </w:t>
      </w:r>
      <w:r w:rsidRPr="006131D7">
        <w:t>regels stellen voor</w:t>
      </w:r>
      <w:r>
        <w:t xml:space="preserve"> </w:t>
      </w:r>
      <w:r w:rsidRPr="006131D7">
        <w:t>eenmensacties.</w:t>
      </w:r>
      <w:r>
        <w:t xml:space="preserve"> </w:t>
      </w:r>
      <w:r w:rsidRPr="0022265B">
        <w:t>Die regels mogen, net zoals bij demonstraties, niet gaan over de inhoud van de uiting.</w:t>
      </w:r>
    </w:p>
    <w:p w:rsidRPr="00B36024" w:rsidR="007B34BA" w:rsidP="007B34BA" w:rsidRDefault="007B34BA" w14:paraId="719A41F0" w14:textId="77777777"/>
    <w:p w:rsidRPr="00B36024" w:rsidR="007B34BA" w:rsidP="007B34BA" w:rsidRDefault="007B34BA" w14:paraId="45E0833B" w14:textId="77777777">
      <w:r w:rsidRPr="00B36024">
        <w:t>Indien een waarnemer aanwezig is bij het eenmensprotest kan dit reden geven</w:t>
      </w:r>
      <w:r>
        <w:t xml:space="preserve"> voor het lokaal gezag</w:t>
      </w:r>
      <w:r w:rsidRPr="00B36024">
        <w:t xml:space="preserve"> om te </w:t>
      </w:r>
      <w:r>
        <w:t xml:space="preserve">beoordelen </w:t>
      </w:r>
      <w:r w:rsidRPr="00B36024">
        <w:t xml:space="preserve">of er nog langer sprake is van een eenmensprotest of van een demonstratie. </w:t>
      </w:r>
      <w:r>
        <w:t>Om te blijven spreken van een eenmensprotest is</w:t>
      </w:r>
      <w:r w:rsidRPr="00B36024">
        <w:t xml:space="preserve">, zoals benoemd door de Nationale ombudsman, van belang dat er sprake is van een duidelijk onderscheid tussen de </w:t>
      </w:r>
      <w:r>
        <w:t>(eenmans)</w:t>
      </w:r>
      <w:r w:rsidRPr="00B36024">
        <w:t xml:space="preserve">activist en de waarnemer. De politie gaat </w:t>
      </w:r>
      <w:r>
        <w:t>bij die beoordeling</w:t>
      </w:r>
      <w:r w:rsidRPr="00B36024">
        <w:t xml:space="preserve"> af op hetgeen zij waarneemt. Of de aanwezigheid van een waarnemer in een concrete situatie een collectief karakter geeft is afhankelijk van de context van deze situatie en is aan het </w:t>
      </w:r>
      <w:r w:rsidRPr="00D04B77">
        <w:t>lokaal</w:t>
      </w:r>
      <w:r w:rsidRPr="00B36024">
        <w:t xml:space="preserve"> gezag om te beoordelen.</w:t>
      </w:r>
      <w:r>
        <w:t xml:space="preserve"> </w:t>
      </w:r>
    </w:p>
    <w:p w:rsidR="007B34BA" w:rsidP="007B34BA" w:rsidRDefault="007B34BA" w14:paraId="51174FC4" w14:textId="77777777">
      <w:pPr>
        <w:rPr>
          <w:b/>
          <w:bCs/>
        </w:rPr>
      </w:pPr>
    </w:p>
    <w:p w:rsidR="007B34BA" w:rsidP="007B34BA" w:rsidRDefault="007B34BA" w14:paraId="065BEA2C" w14:textId="77777777">
      <w:pPr>
        <w:rPr>
          <w:b/>
          <w:bCs/>
        </w:rPr>
      </w:pPr>
    </w:p>
    <w:p w:rsidRPr="00D04B77" w:rsidR="007B34BA" w:rsidP="007B34BA" w:rsidRDefault="007B34BA" w14:paraId="0F3356E8" w14:textId="77777777">
      <w:pPr>
        <w:rPr>
          <w:b/>
          <w:bCs/>
        </w:rPr>
      </w:pPr>
    </w:p>
    <w:p w:rsidRPr="00D04B77" w:rsidR="007B34BA" w:rsidP="007B34BA" w:rsidRDefault="007B34BA" w14:paraId="3F99A93F" w14:textId="77777777">
      <w:pPr>
        <w:rPr>
          <w:b/>
          <w:bCs/>
        </w:rPr>
      </w:pPr>
      <w:r w:rsidRPr="00B36024">
        <w:rPr>
          <w:b/>
        </w:rPr>
        <w:t>4.</w:t>
      </w:r>
      <w:r w:rsidRPr="00D04B77">
        <w:rPr>
          <w:b/>
          <w:bCs/>
        </w:rPr>
        <w:tab/>
      </w:r>
    </w:p>
    <w:p w:rsidRPr="00B36024" w:rsidR="007B34BA" w:rsidP="007B34BA" w:rsidRDefault="007B34BA" w14:paraId="04FE9AC0" w14:textId="77777777">
      <w:pPr>
        <w:rPr>
          <w:b/>
        </w:rPr>
      </w:pPr>
      <w:r w:rsidRPr="00B36024">
        <w:rPr>
          <w:b/>
        </w:rPr>
        <w:t xml:space="preserve">Deelt u de opvatting dat gemeenten, politie en Openbaar Ministerie grote </w:t>
      </w:r>
      <w:r w:rsidRPr="0022265B">
        <w:rPr>
          <w:b/>
        </w:rPr>
        <w:t>terughoudendheid moeten betrachten bij het beperken of beëindigen van vreedzame eenmensprotesten, gelet</w:t>
      </w:r>
      <w:r w:rsidRPr="00B36024">
        <w:rPr>
          <w:b/>
        </w:rPr>
        <w:t xml:space="preserve"> op de ruime grondrechtelijke bescherming daarvan? Zo nee, waarom niet?</w:t>
      </w:r>
    </w:p>
    <w:p w:rsidR="007B34BA" w:rsidP="007B34BA" w:rsidRDefault="007B34BA" w14:paraId="36836874" w14:textId="77777777"/>
    <w:p w:rsidR="007B34BA" w:rsidP="007B34BA" w:rsidRDefault="007B34BA" w14:paraId="6A4B0686" w14:textId="77777777">
      <w:r>
        <w:t xml:space="preserve">De wijze waarop specifiek wordt opgetreden en de vraag of een bepaalde activiteit onder de Wom of de APV valt, is aan het lokaal gezag. Zoals </w:t>
      </w:r>
      <w:r w:rsidRPr="00EB13F7">
        <w:t>de Afdeling bestuursrechtspraak van de</w:t>
      </w:r>
      <w:r>
        <w:t xml:space="preserve"> Raad van State recent oordeelde geldt dat bij een abortuskliniek </w:t>
      </w:r>
      <w:r w:rsidRPr="00A93067">
        <w:t>een bepaalde mate van orde en rust</w:t>
      </w:r>
      <w:r>
        <w:t xml:space="preserve"> dient</w:t>
      </w:r>
      <w:r w:rsidRPr="00A93067">
        <w:t xml:space="preserve"> te heersen</w:t>
      </w:r>
      <w:r>
        <w:t>. Dit kan worden meegewogen in de beoordeling om op te treden</w:t>
      </w:r>
      <w:r>
        <w:rPr>
          <w:rStyle w:val="Voetnootmarkering"/>
        </w:rPr>
        <w:footnoteReference w:id="1"/>
      </w:r>
      <w:r>
        <w:t xml:space="preserve">. </w:t>
      </w:r>
    </w:p>
    <w:p w:rsidRPr="00B36024" w:rsidR="007B34BA" w:rsidP="007B34BA" w:rsidRDefault="007B34BA" w14:paraId="5B464175" w14:textId="77777777">
      <w:pPr>
        <w:rPr>
          <w:b/>
        </w:rPr>
      </w:pPr>
    </w:p>
    <w:p w:rsidRPr="00D04B77" w:rsidR="007B34BA" w:rsidP="007B34BA" w:rsidRDefault="007B34BA" w14:paraId="314A0C3B" w14:textId="77777777">
      <w:pPr>
        <w:rPr>
          <w:b/>
          <w:bCs/>
        </w:rPr>
      </w:pPr>
      <w:r w:rsidRPr="00B36024">
        <w:rPr>
          <w:b/>
        </w:rPr>
        <w:t>5.</w:t>
      </w:r>
      <w:r w:rsidRPr="00D04B77">
        <w:rPr>
          <w:b/>
          <w:bCs/>
        </w:rPr>
        <w:tab/>
      </w:r>
    </w:p>
    <w:p w:rsidRPr="00B36024" w:rsidR="007B34BA" w:rsidP="007B34BA" w:rsidRDefault="007B34BA" w14:paraId="00C40E67" w14:textId="77777777">
      <w:pPr>
        <w:rPr>
          <w:b/>
        </w:rPr>
      </w:pPr>
      <w:r w:rsidRPr="00B36024">
        <w:rPr>
          <w:b/>
        </w:rPr>
        <w:lastRenderedPageBreak/>
        <w:t>Is het naar uw oordeel juridisch houdbaar dat gemeenten formele waarschuwingen of beperkingen baseren op de veronderstelling dat een eenpersoonsactie onder de Wom valt? Zo ja, op welke wettelijke grondslag berust dit?</w:t>
      </w:r>
    </w:p>
    <w:p w:rsidRPr="00B36024" w:rsidR="007B34BA" w:rsidP="007B34BA" w:rsidRDefault="007B34BA" w14:paraId="7C692629" w14:textId="77777777">
      <w:pPr>
        <w:rPr>
          <w:b/>
        </w:rPr>
      </w:pPr>
    </w:p>
    <w:p w:rsidRPr="00B36024" w:rsidR="007B34BA" w:rsidP="007B34BA" w:rsidRDefault="007B34BA" w14:paraId="68E9DB32" w14:textId="77777777">
      <w:pPr>
        <w:rPr>
          <w:b/>
        </w:rPr>
      </w:pPr>
      <w:r w:rsidRPr="00B36024">
        <w:rPr>
          <w:b/>
        </w:rPr>
        <w:t>Antwoord vraag 5:</w:t>
      </w:r>
    </w:p>
    <w:p w:rsidRPr="0053302A" w:rsidR="007B34BA" w:rsidP="007B34BA" w:rsidRDefault="007B34BA" w14:paraId="6E8AEC8C" w14:textId="77777777">
      <w:r w:rsidRPr="00B36024">
        <w:t xml:space="preserve">Het is </w:t>
      </w:r>
      <w:r>
        <w:t>in de eerste plaats</w:t>
      </w:r>
      <w:r w:rsidRPr="00B36024">
        <w:t xml:space="preserve"> aan het </w:t>
      </w:r>
      <w:r w:rsidRPr="002D7CB7">
        <w:t>loka</w:t>
      </w:r>
      <w:r w:rsidRPr="00D04B77">
        <w:t>a</w:t>
      </w:r>
      <w:r w:rsidRPr="002D7CB7">
        <w:t>l</w:t>
      </w:r>
      <w:r w:rsidRPr="00B36024">
        <w:t xml:space="preserve"> gezag, in het bijzonder de burgemeester, om te bepalen of een protestactie kan worden aangemerkt als een demonstratie en derhalve onder de Wom valt of niet. Het is niet aan </w:t>
      </w:r>
      <w:r>
        <w:t>het kabinet</w:t>
      </w:r>
      <w:r w:rsidRPr="00B36024">
        <w:t xml:space="preserve"> om in een concrete casus te oordelen of een dergelijke afweging juist is. </w:t>
      </w:r>
      <w:r>
        <w:rPr>
          <w:bCs/>
        </w:rPr>
        <w:t>Of iets juridisch houdbaar is, is uiteindelijk aan de rechter om te beoordelen.</w:t>
      </w:r>
    </w:p>
    <w:p w:rsidRPr="00D04B77" w:rsidR="007B34BA" w:rsidP="007B34BA" w:rsidRDefault="007B34BA" w14:paraId="62A19977" w14:textId="77777777">
      <w:pPr>
        <w:rPr>
          <w:b/>
          <w:bCs/>
        </w:rPr>
      </w:pPr>
    </w:p>
    <w:p w:rsidRPr="00D04B77" w:rsidR="007B34BA" w:rsidP="007B34BA" w:rsidRDefault="007B34BA" w14:paraId="6C894591" w14:textId="77777777">
      <w:pPr>
        <w:rPr>
          <w:b/>
          <w:bCs/>
        </w:rPr>
      </w:pPr>
      <w:r w:rsidRPr="00B36024">
        <w:rPr>
          <w:b/>
        </w:rPr>
        <w:t>6.</w:t>
      </w:r>
      <w:r w:rsidRPr="00D04B77">
        <w:rPr>
          <w:b/>
          <w:bCs/>
        </w:rPr>
        <w:tab/>
      </w:r>
    </w:p>
    <w:p w:rsidRPr="00B36024" w:rsidR="007B34BA" w:rsidP="007B34BA" w:rsidRDefault="007B34BA" w14:paraId="693EB59F" w14:textId="77777777">
      <w:pPr>
        <w:rPr>
          <w:b/>
        </w:rPr>
      </w:pPr>
      <w:r w:rsidRPr="00B36024">
        <w:rPr>
          <w:b/>
        </w:rPr>
        <w:t>Welke criteria worden door Politie en Openbaar Ministerie gehanteerd bij het besluit om een persoon die een vreedzaam eenmensprotest houdt aan te houden, indien er geen aanwijzingen bestaan voor strafbare feiten of verstoring van de openbare orde, bovendien in de wetenschap dat het aanmerken van een eenmensprotest als demonstratie discutabel is? Hoe wordt in dit kader de proportionaliteit en noodzakelijkheid van vrijheidsbeneming gewaarborgd?</w:t>
      </w:r>
    </w:p>
    <w:p w:rsidR="007B34BA" w:rsidP="007B34BA" w:rsidRDefault="007B34BA" w14:paraId="25CA8EF9" w14:textId="77777777"/>
    <w:p w:rsidRPr="001B3FF9" w:rsidR="007B34BA" w:rsidP="007B34BA" w:rsidRDefault="007B34BA" w14:paraId="66DBA3BF" w14:textId="77777777">
      <w:pPr>
        <w:rPr>
          <w:b/>
        </w:rPr>
      </w:pPr>
      <w:r w:rsidRPr="00B36024">
        <w:rPr>
          <w:b/>
        </w:rPr>
        <w:t xml:space="preserve">Antwoord vraag </w:t>
      </w:r>
      <w:r>
        <w:rPr>
          <w:b/>
        </w:rPr>
        <w:t>6</w:t>
      </w:r>
      <w:r w:rsidRPr="00B36024">
        <w:rPr>
          <w:b/>
        </w:rPr>
        <w:t>:</w:t>
      </w:r>
    </w:p>
    <w:p w:rsidR="007B34BA" w:rsidP="007B34BA" w:rsidRDefault="007B34BA" w14:paraId="1325C68F" w14:textId="77777777">
      <w:r>
        <w:t xml:space="preserve">Zoals genoemd is het in de eerste plaats aan het lokaal gezag </w:t>
      </w:r>
      <w:r w:rsidRPr="003C2E98">
        <w:t>om tot een oordeel te komen of een bepaalde actie onder het demonstratierecht</w:t>
      </w:r>
      <w:r w:rsidRPr="0022265B">
        <w:t xml:space="preserve"> </w:t>
      </w:r>
      <w:r w:rsidRPr="003C2E98">
        <w:t>valt</w:t>
      </w:r>
      <w:r>
        <w:t xml:space="preserve"> en of er sprake is van strafbare feiten of een verstoring van de openbare orde. De politie en het OM treden niet op als er geen aanwijzingen zijn voor strafbare feiten. </w:t>
      </w:r>
      <w:r w:rsidRPr="003C2E98">
        <w:t>De wijze waarop wordt gehandhaafd</w:t>
      </w:r>
      <w:r w:rsidRPr="0064744E">
        <w:t xml:space="preserve"> </w:t>
      </w:r>
      <w:r w:rsidRPr="003C2E98">
        <w:t>en welk strafrechtelijk en/of bestuursrechtelijk optreden passend is</w:t>
      </w:r>
      <w:r>
        <w:t xml:space="preserve">, </w:t>
      </w:r>
      <w:r w:rsidRPr="003C2E98">
        <w:t>is afhankelijk van de omstandigheden</w:t>
      </w:r>
      <w:r>
        <w:t xml:space="preserve"> waarbij de burgemeester en het Openbaar Ministerie (hierna: OM) dit ieder op hun eigen terrein zorgvuldig</w:t>
      </w:r>
      <w:r w:rsidRPr="0064744E">
        <w:t xml:space="preserve"> </w:t>
      </w:r>
      <w:r>
        <w:t>afstemmen</w:t>
      </w:r>
      <w:r w:rsidRPr="0064744E">
        <w:t>.</w:t>
      </w:r>
      <w:r>
        <w:t xml:space="preserve"> Zoals </w:t>
      </w:r>
      <w:r w:rsidRPr="00EB13F7">
        <w:t>de Afdeling bestuursrechtspraak van de</w:t>
      </w:r>
      <w:r>
        <w:t xml:space="preserve"> Raad van State recent oordeelde geldt in het bijzonder bij een abortuskliniek </w:t>
      </w:r>
      <w:r w:rsidRPr="00A93067">
        <w:t>een bepaalde mate van orde en rust</w:t>
      </w:r>
      <w:r>
        <w:t xml:space="preserve"> dient te</w:t>
      </w:r>
      <w:r w:rsidRPr="00A93067">
        <w:t xml:space="preserve"> heersen</w:t>
      </w:r>
      <w:r>
        <w:t>, dat kan in de beoordeling worden betrokken</w:t>
      </w:r>
      <w:r>
        <w:rPr>
          <w:rStyle w:val="Voetnootmarkering"/>
        </w:rPr>
        <w:footnoteReference w:id="2"/>
      </w:r>
      <w:r>
        <w:t xml:space="preserve">. Dergelijke besluiten kunnen </w:t>
      </w:r>
      <w:r w:rsidRPr="003C2E98">
        <w:t>getoetst worden bij de rechter. De rechter toetst</w:t>
      </w:r>
      <w:r w:rsidRPr="00A06B57">
        <w:t xml:space="preserve"> in haar beoordeling</w:t>
      </w:r>
      <w:r w:rsidRPr="003C2E98">
        <w:t xml:space="preserve"> ook op </w:t>
      </w:r>
      <w:r w:rsidRPr="00A06B57">
        <w:t>proportionaliteit en noodzakelijkheid</w:t>
      </w:r>
      <w:r w:rsidRPr="003C2E98">
        <w:t>.</w:t>
      </w:r>
      <w:r>
        <w:t xml:space="preserve"> Ik en de minister van Justitie en Veiligheid</w:t>
      </w:r>
      <w:r w:rsidRPr="009B4706">
        <w:t xml:space="preserve"> </w:t>
      </w:r>
      <w:r>
        <w:t>treden hier niet in.</w:t>
      </w:r>
    </w:p>
    <w:p w:rsidR="007B34BA" w:rsidP="007B34BA" w:rsidRDefault="007B34BA" w14:paraId="2B3F0C34" w14:textId="77777777"/>
    <w:p w:rsidRPr="00D04B77" w:rsidR="007B34BA" w:rsidP="007B34BA" w:rsidRDefault="007B34BA" w14:paraId="2CC3FFD5" w14:textId="77777777">
      <w:pPr>
        <w:rPr>
          <w:b/>
          <w:bCs/>
        </w:rPr>
      </w:pPr>
      <w:r w:rsidRPr="00B36024">
        <w:rPr>
          <w:b/>
        </w:rPr>
        <w:t>7.</w:t>
      </w:r>
      <w:r w:rsidRPr="00D04B77">
        <w:rPr>
          <w:b/>
          <w:bCs/>
        </w:rPr>
        <w:tab/>
      </w:r>
    </w:p>
    <w:p w:rsidRPr="00B36024" w:rsidR="007B34BA" w:rsidP="007B34BA" w:rsidRDefault="007B34BA" w14:paraId="763A5928" w14:textId="77777777">
      <w:pPr>
        <w:rPr>
          <w:b/>
        </w:rPr>
      </w:pPr>
      <w:r w:rsidRPr="00B36024">
        <w:rPr>
          <w:b/>
        </w:rPr>
        <w:t>Erkent u dat de aanhouding van personen die op vreedzame wijze een eenmensprotest houden een intimiderende werking kan hebben en mogelijk een ontmoedigend effect op de uitoefening van</w:t>
      </w:r>
      <w:r w:rsidRPr="00D04B77">
        <w:rPr>
          <w:b/>
          <w:bCs/>
        </w:rPr>
        <w:t xml:space="preserve"> grondrechten veroorzaakt? Hoe wordt dit effect voorkomen en op welke wijze wordt hiermee rekening gehouden in de beleidskaders voor het politieoptreden?</w:t>
      </w:r>
    </w:p>
    <w:p w:rsidR="007B34BA" w:rsidP="007B34BA" w:rsidRDefault="007B34BA" w14:paraId="377B3803" w14:textId="77777777"/>
    <w:p w:rsidRPr="001B3FF9" w:rsidR="007B34BA" w:rsidP="007B34BA" w:rsidRDefault="007B34BA" w14:paraId="0D2094E6" w14:textId="77777777">
      <w:pPr>
        <w:rPr>
          <w:b/>
        </w:rPr>
      </w:pPr>
      <w:r w:rsidRPr="00B36024">
        <w:rPr>
          <w:b/>
        </w:rPr>
        <w:t xml:space="preserve">Antwoord vraag </w:t>
      </w:r>
      <w:r>
        <w:rPr>
          <w:b/>
        </w:rPr>
        <w:t>7:</w:t>
      </w:r>
    </w:p>
    <w:p w:rsidR="007B34BA" w:rsidP="007B34BA" w:rsidRDefault="007B34BA" w14:paraId="35FCEBCF" w14:textId="77777777">
      <w:r>
        <w:t xml:space="preserve">Iedereen in Nederland heeft het recht om te demonstreren en gebruik te maken van de vrijheid van meningsuiting. Hierbij geldt dat iedereen die protesteert, waaronder eenmensactivisten, zich moet houden aan de wet- en regelgeving. In de APV van een gemeente kunnen beperkingen worden verbonden aan een eenmensprotest. Het is aan het lokaal gezag om te beoordelen of een eenmensprotest vreedzaam is en aan de burgemeester en het OM of bestuursrechtelijk of strafrechtelijk optreden nodig is. </w:t>
      </w:r>
    </w:p>
    <w:p w:rsidR="007B34BA" w:rsidP="007B34BA" w:rsidRDefault="007B34BA" w14:paraId="42EF3D24" w14:textId="77777777"/>
    <w:p w:rsidRPr="00A06B57" w:rsidR="007B34BA" w:rsidP="007B34BA" w:rsidRDefault="007B34BA" w14:paraId="6F0958DB" w14:textId="77777777">
      <w:r>
        <w:t xml:space="preserve">Uit de praktijk blijkt dat gemeenten </w:t>
      </w:r>
      <w:r w:rsidRPr="0053302A">
        <w:t>dit zorgvuldig doen en</w:t>
      </w:r>
      <w:r>
        <w:t xml:space="preserve"> zich inspannen om de</w:t>
      </w:r>
      <w:r w:rsidRPr="0053302A">
        <w:t xml:space="preserve"> </w:t>
      </w:r>
      <w:r>
        <w:t xml:space="preserve">vrijheid van meningsuiting en de demonstratievrijheid zoveel mogelijk te faciliteren. Wanneer een eenmensactivist zich niet houdt </w:t>
      </w:r>
      <w:r w:rsidRPr="00A06B57">
        <w:t xml:space="preserve">aan de </w:t>
      </w:r>
      <w:r w:rsidRPr="009B32BD">
        <w:t>beperkingen</w:t>
      </w:r>
      <w:r w:rsidRPr="00A06B57">
        <w:t xml:space="preserve"> die </w:t>
      </w:r>
      <w:r>
        <w:t>uit de APV volgen</w:t>
      </w:r>
      <w:r w:rsidRPr="00A06B57">
        <w:t xml:space="preserve"> of anderszins strafbare feiten </w:t>
      </w:r>
      <w:r>
        <w:t>pleegt,</w:t>
      </w:r>
      <w:r w:rsidRPr="00A06B57">
        <w:t xml:space="preserve"> kan worden besloten de politie in te zetten om de situatie te beëindigen. </w:t>
      </w:r>
      <w:r>
        <w:t xml:space="preserve">Dat is in lijn met de geldende wet- en regelgeving. </w:t>
      </w:r>
      <w:r w:rsidRPr="00A06B57">
        <w:t xml:space="preserve">De geldende wet- en regelgeving bieden immers ruimschoots mogelijkheden aan burgers om van </w:t>
      </w:r>
      <w:r>
        <w:t xml:space="preserve">hun vrijheid van meningsuiting en demonstratievrijheid </w:t>
      </w:r>
      <w:r w:rsidRPr="00A06B57">
        <w:t>gebruik te maken binnen de regels die daarvoor gelden</w:t>
      </w:r>
      <w:r>
        <w:t xml:space="preserve">. </w:t>
      </w:r>
    </w:p>
    <w:p w:rsidRPr="00D04B77" w:rsidR="007B34BA" w:rsidP="007B34BA" w:rsidRDefault="007B34BA" w14:paraId="54A2AE09" w14:textId="77777777">
      <w:pPr>
        <w:rPr>
          <w:b/>
          <w:bCs/>
        </w:rPr>
      </w:pPr>
    </w:p>
    <w:p w:rsidRPr="00D04B77" w:rsidR="007B34BA" w:rsidP="007B34BA" w:rsidRDefault="007B34BA" w14:paraId="7FFB7F6F" w14:textId="77777777">
      <w:pPr>
        <w:rPr>
          <w:b/>
          <w:bCs/>
        </w:rPr>
      </w:pPr>
      <w:r w:rsidRPr="00B36024">
        <w:rPr>
          <w:b/>
        </w:rPr>
        <w:t>8.</w:t>
      </w:r>
      <w:r w:rsidRPr="00D04B77">
        <w:rPr>
          <w:b/>
          <w:bCs/>
        </w:rPr>
        <w:tab/>
      </w:r>
    </w:p>
    <w:p w:rsidRPr="00B36024" w:rsidR="007B34BA" w:rsidP="007B34BA" w:rsidRDefault="007B34BA" w14:paraId="6E54C24D" w14:textId="77777777">
      <w:pPr>
        <w:rPr>
          <w:b/>
        </w:rPr>
      </w:pPr>
      <w:r w:rsidRPr="00B36024">
        <w:rPr>
          <w:b/>
        </w:rPr>
        <w:t xml:space="preserve">Hoe heeft u uw toezegging 4) van 22 januari 2025 gestand gedaan om gemeenten te voorzien van nadere richtlijnen of een geactualiseerde handreiking inzake de omgang met </w:t>
      </w:r>
      <w:r w:rsidRPr="001F3EEF">
        <w:rPr>
          <w:b/>
          <w:bCs/>
        </w:rPr>
        <w:t>eenmensprotesten</w:t>
      </w:r>
      <w:r w:rsidRPr="00B36024">
        <w:rPr>
          <w:b/>
        </w:rPr>
        <w:t>, opdat duidelijk is dat dit niet onder de Wom valt, en hoe de grondrechtelijke bescherming van artikel 7 lid 3 concreet moet worden toegepast? Kunt u de door u verspreide handreiking ook met de Kamer delen?</w:t>
      </w:r>
    </w:p>
    <w:p w:rsidR="007B34BA" w:rsidP="007B34BA" w:rsidRDefault="007B34BA" w14:paraId="44AF0347" w14:textId="77777777"/>
    <w:p w:rsidRPr="00B36024" w:rsidR="007B34BA" w:rsidP="007B34BA" w:rsidRDefault="007B34BA" w14:paraId="091D85A6" w14:textId="77777777">
      <w:pPr>
        <w:rPr>
          <w:b/>
        </w:rPr>
      </w:pPr>
      <w:r w:rsidRPr="00B36024">
        <w:rPr>
          <w:b/>
        </w:rPr>
        <w:t>Antwoord vraag 8:</w:t>
      </w:r>
    </w:p>
    <w:p w:rsidRPr="00B36024" w:rsidR="007B34BA" w:rsidP="007B34BA" w:rsidRDefault="007B34BA" w14:paraId="4C9CF663" w14:textId="77777777">
      <w:r w:rsidRPr="00B36024">
        <w:lastRenderedPageBreak/>
        <w:t>Naar aanleiding van deze toezegging zijn de bestaande instrumentaria met betrekking tot richtlijnen voor gemeenten inzake demonstraties en eenmensprotesten geanalyseerd. De conclusie is dat er al voldoende instructies zijn. Er bestaan diverse handreikingen over het demonstratierecht, zoals de handreiking van de gemeente Amsterdam.</w:t>
      </w:r>
      <w:r>
        <w:rPr>
          <w:vertAlign w:val="superscript"/>
        </w:rPr>
        <w:footnoteReference w:id="3"/>
      </w:r>
      <w:r w:rsidRPr="00B36024">
        <w:t xml:space="preserve"> Hierin wordt ook ingegaan op eenmensprotesten. Daarnaast is er door de Rijksuniversiteit van Groningen een landelijke website ontwikkeld waarop iedereen gratis en vrij toegankelijk informatie over het demonstratierecht kan inwinnen en een online adviestool kan raadplegen.</w:t>
      </w:r>
      <w:r>
        <w:rPr>
          <w:vertAlign w:val="superscript"/>
        </w:rPr>
        <w:footnoteReference w:id="4"/>
      </w:r>
      <w:r w:rsidRPr="00B36024">
        <w:t xml:space="preserve"> Op deze website kan ook informatie worden gevonden over de thematiek van eenmensprotesten. Tot slot verwijzen wij naar de website van het Nederlands Genootschap van Burgemeesters.</w:t>
      </w:r>
      <w:r>
        <w:rPr>
          <w:vertAlign w:val="superscript"/>
        </w:rPr>
        <w:footnoteReference w:id="5"/>
      </w:r>
      <w:r w:rsidRPr="00B36024">
        <w:t xml:space="preserve"> Hierop is praktische informatie over het demonstratierecht voorhanden, die toegankelijk is voor zowel adviseurs als bestuurders.</w:t>
      </w:r>
    </w:p>
    <w:p w:rsidRPr="00B36024" w:rsidR="007B34BA" w:rsidP="007B34BA" w:rsidRDefault="007B34BA" w14:paraId="3CA51FF0" w14:textId="77777777">
      <w:pPr>
        <w:rPr>
          <w:b/>
        </w:rPr>
      </w:pPr>
    </w:p>
    <w:p w:rsidRPr="00D04B77" w:rsidR="007B34BA" w:rsidP="007B34BA" w:rsidRDefault="007B34BA" w14:paraId="25C70A36" w14:textId="77777777">
      <w:pPr>
        <w:rPr>
          <w:b/>
          <w:bCs/>
        </w:rPr>
      </w:pPr>
      <w:r w:rsidRPr="00B36024">
        <w:rPr>
          <w:b/>
        </w:rPr>
        <w:t>9.</w:t>
      </w:r>
      <w:r w:rsidRPr="00D04B77">
        <w:rPr>
          <w:b/>
          <w:bCs/>
        </w:rPr>
        <w:tab/>
      </w:r>
    </w:p>
    <w:p w:rsidRPr="00B36024" w:rsidR="007B34BA" w:rsidP="007B34BA" w:rsidRDefault="007B34BA" w14:paraId="5FDF9328" w14:textId="77777777">
      <w:pPr>
        <w:rPr>
          <w:b/>
        </w:rPr>
      </w:pPr>
      <w:r w:rsidRPr="00B36024">
        <w:rPr>
          <w:b/>
        </w:rPr>
        <w:t xml:space="preserve">Welke maatregelen bent u voornemens te treffen om te waarborgen dat personen die een vreedzaam </w:t>
      </w:r>
      <w:r w:rsidRPr="00FF7FCF">
        <w:rPr>
          <w:b/>
          <w:bCs/>
        </w:rPr>
        <w:t>eenmensprotest</w:t>
      </w:r>
      <w:r w:rsidRPr="00B36024">
        <w:rPr>
          <w:b/>
        </w:rPr>
        <w:t xml:space="preserve"> houden in de toekomst niet onterecht worden belemmerd, bedreigd met sancties of aangehouden?</w:t>
      </w:r>
    </w:p>
    <w:p w:rsidR="007B34BA" w:rsidP="007B34BA" w:rsidRDefault="007B34BA" w14:paraId="1F1D41B2" w14:textId="77777777"/>
    <w:p w:rsidRPr="00B36024" w:rsidR="007B34BA" w:rsidP="007B34BA" w:rsidRDefault="007B34BA" w14:paraId="406E0D2D" w14:textId="77777777">
      <w:pPr>
        <w:rPr>
          <w:b/>
        </w:rPr>
      </w:pPr>
      <w:r w:rsidRPr="00B36024">
        <w:rPr>
          <w:b/>
        </w:rPr>
        <w:t>Antwoord vraag 9:</w:t>
      </w:r>
    </w:p>
    <w:p w:rsidRPr="00EB13F7" w:rsidR="007B34BA" w:rsidP="007B34BA" w:rsidRDefault="007B34BA" w14:paraId="58FC4413" w14:textId="77777777">
      <w:r w:rsidRPr="00B36024">
        <w:t xml:space="preserve">Voor zowel eenmensprotesten als demonstraties geldt dat zij niet onnodig mogen worden belemmerd wanneer zij als vreedzaam kunnen </w:t>
      </w:r>
      <w:r>
        <w:t xml:space="preserve">worden </w:t>
      </w:r>
      <w:r w:rsidRPr="00B36024">
        <w:t xml:space="preserve">aangemerkt en zich begeven binnen de grenzen van de wet. In beide gevallen staat voorop dat de inhoud van de uiting, behalve wanneer dit strafbaar is gesteld, geen grond mag vormen voor beperkend overheidsoptreden. Tegelijkertijd vinden wij het belangrijk om te markeren dat eenmensprotesten en demonstraties niet in een vacuüm plaatsvinden en dat hierbij de rechten van anderen in het gedrang kunnen komen. In die gevallen is het belangrijk dat het </w:t>
      </w:r>
      <w:r w:rsidRPr="002D7CB7">
        <w:t>loka</w:t>
      </w:r>
      <w:r w:rsidRPr="00D04B77">
        <w:t>a</w:t>
      </w:r>
      <w:r w:rsidRPr="002D7CB7">
        <w:t>l</w:t>
      </w:r>
      <w:r w:rsidRPr="00B36024">
        <w:t xml:space="preserve"> gezag over de wettelijke ruimte beschikt om een adequate afweging te maken tussen de verschillende betrokken belangen. </w:t>
      </w:r>
      <w:r w:rsidRPr="00EB13F7">
        <w:t>Bij de kabinetsreactie op het</w:t>
      </w:r>
      <w:r>
        <w:t xml:space="preserve"> WODC-</w:t>
      </w:r>
      <w:r w:rsidRPr="00EB13F7">
        <w:t xml:space="preserve">rapport ‘Het recht om te demonstreren in de democratische rechtstaat’ zal het </w:t>
      </w:r>
      <w:r>
        <w:t>k</w:t>
      </w:r>
      <w:r w:rsidRPr="00EB13F7">
        <w:t xml:space="preserve">abinet ingaan op de aanbevelingen met betrekking tot protestacties bij abortusklinieken. Dit doen wij tegen de achtergrond van recente rechtspraak van de Afdeling bestuursrechtspraak van de Raad van State, </w:t>
      </w:r>
      <w:r w:rsidRPr="00EB13F7">
        <w:lastRenderedPageBreak/>
        <w:t>waarin een ruime uitleg wordt gegeven aan het begrip wanordelijkheden in de context van demonstreren bij abortusklinieken.</w:t>
      </w:r>
    </w:p>
    <w:p w:rsidRPr="00B36024" w:rsidR="007B34BA" w:rsidP="007B34BA" w:rsidRDefault="007B34BA" w14:paraId="60CC66BD" w14:textId="77777777"/>
    <w:p w:rsidRPr="00B36024" w:rsidR="007B34BA" w:rsidP="007B34BA" w:rsidRDefault="007B34BA" w14:paraId="1C8E58B3" w14:textId="77777777">
      <w:pPr>
        <w:rPr>
          <w:b/>
        </w:rPr>
      </w:pPr>
    </w:p>
    <w:p w:rsidRPr="00B36024" w:rsidR="007B34BA" w:rsidP="007B34BA" w:rsidRDefault="007B34BA" w14:paraId="1BED7E0E" w14:textId="77777777">
      <w:pPr>
        <w:rPr>
          <w:b/>
        </w:rPr>
      </w:pPr>
    </w:p>
    <w:p w:rsidRPr="00B36024" w:rsidR="007B34BA" w:rsidP="007B34BA" w:rsidRDefault="007B34BA" w14:paraId="0109AD51" w14:textId="77777777">
      <w:r w:rsidRPr="00B36024">
        <w:t>1) Het Parool, 6 november 2025, Demonstrant aangehouden bij abortuskliniek in Amsterdam-Oost</w:t>
      </w:r>
      <w:r w:rsidRPr="00D04B77">
        <w:t xml:space="preserve"> (www.parool.nl/amsterdam/demonstrant-aangehouden-bij-abortuskliniek-in-amsterdam-oost~b90cd337/?referrer=https%3A%2F%2Fwww.google.com%2F).</w:t>
      </w:r>
    </w:p>
    <w:p w:rsidRPr="00B36024" w:rsidR="007B34BA" w:rsidP="007B34BA" w:rsidRDefault="007B34BA" w14:paraId="6B4AA1D0" w14:textId="77777777"/>
    <w:p w:rsidRPr="00B36024" w:rsidR="007B34BA" w:rsidP="007B34BA" w:rsidRDefault="007B34BA" w14:paraId="292E9AE8" w14:textId="77777777">
      <w:r w:rsidRPr="00B36024">
        <w:t>2) Nationale Ombudsman, 13 december 2007, Demonstreren staat vrij, p. 8.</w:t>
      </w:r>
    </w:p>
    <w:p w:rsidRPr="00B36024" w:rsidR="007B34BA" w:rsidP="007B34BA" w:rsidRDefault="007B34BA" w14:paraId="7BF97C56" w14:textId="77777777"/>
    <w:p w:rsidRPr="00B36024" w:rsidR="007B34BA" w:rsidP="007B34BA" w:rsidRDefault="007B34BA" w14:paraId="2D23E914" w14:textId="77777777">
      <w:r w:rsidRPr="00B36024">
        <w:t xml:space="preserve">3) Roorda, B, J.G. Brouwer en A.E. Schilder (red.), 1 november 2021, Antwoorden op recente </w:t>
      </w:r>
      <w:r w:rsidRPr="00D04B77">
        <w:t>demonstratie- en</w:t>
      </w:r>
      <w:r w:rsidRPr="00B36024">
        <w:t xml:space="preserve"> vergaderings-rechtelijke vraagstukken, p. 51.</w:t>
      </w:r>
    </w:p>
    <w:p w:rsidRPr="00B36024" w:rsidR="007B34BA" w:rsidP="007B34BA" w:rsidRDefault="007B34BA" w14:paraId="55B1653A" w14:textId="77777777"/>
    <w:p w:rsidRPr="00B36024" w:rsidR="007B34BA" w:rsidP="007B34BA" w:rsidRDefault="007B34BA" w14:paraId="11854E6B" w14:textId="77777777">
      <w:r w:rsidRPr="00B36024">
        <w:t>4) Handelingen II 2024/2025, nr. 44, item 12 5, p. 8-9.</w:t>
      </w:r>
    </w:p>
    <w:p w:rsidRPr="00D04B77" w:rsidR="007B34BA" w:rsidP="007B34BA" w:rsidRDefault="007B34BA" w14:paraId="421E2B60" w14:textId="77777777">
      <w:pPr>
        <w:rPr>
          <w:b/>
          <w:bCs/>
        </w:rPr>
      </w:pPr>
    </w:p>
    <w:p w:rsidRPr="00D04B77" w:rsidR="007B34BA" w:rsidP="007B34BA" w:rsidRDefault="007B34BA" w14:paraId="1A72C6D0" w14:textId="77777777"/>
    <w:p w:rsidR="007B34BA" w:rsidP="007B34BA" w:rsidRDefault="007B34BA" w14:paraId="4041D13C" w14:textId="77777777"/>
    <w:p w:rsidR="007B34BA" w:rsidP="007B34BA" w:rsidRDefault="007B34BA" w14:paraId="3804C310" w14:textId="77777777"/>
    <w:p w:rsidR="003C452D" w:rsidRDefault="003C452D" w14:paraId="29BC159B" w14:textId="77777777"/>
    <w:sectPr w:rsidR="003C452D" w:rsidSect="007B34B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C36F7" w14:textId="77777777" w:rsidR="007B34BA" w:rsidRDefault="007B34BA" w:rsidP="007B34BA">
      <w:pPr>
        <w:spacing w:after="0" w:line="240" w:lineRule="auto"/>
      </w:pPr>
      <w:r>
        <w:separator/>
      </w:r>
    </w:p>
  </w:endnote>
  <w:endnote w:type="continuationSeparator" w:id="0">
    <w:p w14:paraId="26950598" w14:textId="77777777" w:rsidR="007B34BA" w:rsidRDefault="007B34BA" w:rsidP="007B3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3FA4" w14:textId="77777777" w:rsidR="007B34BA" w:rsidRPr="007B34BA" w:rsidRDefault="007B34BA" w:rsidP="007B34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B0AF" w14:textId="77777777" w:rsidR="007B34BA" w:rsidRPr="007B34BA" w:rsidRDefault="007B34BA" w:rsidP="007B34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39B9" w14:textId="77777777" w:rsidR="007B34BA" w:rsidRPr="007B34BA" w:rsidRDefault="007B34BA" w:rsidP="007B34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1FA80" w14:textId="77777777" w:rsidR="007B34BA" w:rsidRDefault="007B34BA" w:rsidP="007B34BA">
      <w:pPr>
        <w:spacing w:after="0" w:line="240" w:lineRule="auto"/>
      </w:pPr>
      <w:r>
        <w:separator/>
      </w:r>
    </w:p>
  </w:footnote>
  <w:footnote w:type="continuationSeparator" w:id="0">
    <w:p w14:paraId="4D1FB625" w14:textId="77777777" w:rsidR="007B34BA" w:rsidRDefault="007B34BA" w:rsidP="007B34BA">
      <w:pPr>
        <w:spacing w:after="0" w:line="240" w:lineRule="auto"/>
      </w:pPr>
      <w:r>
        <w:continuationSeparator/>
      </w:r>
    </w:p>
  </w:footnote>
  <w:footnote w:id="1">
    <w:p w14:paraId="21353260" w14:textId="77777777" w:rsidR="007B34BA" w:rsidRPr="00C06371" w:rsidRDefault="007B34BA" w:rsidP="007B34BA">
      <w:pPr>
        <w:pStyle w:val="Voetnoottekst"/>
        <w:rPr>
          <w:rFonts w:ascii="Verdana" w:hAnsi="Verdana"/>
          <w:sz w:val="16"/>
          <w:szCs w:val="16"/>
        </w:rPr>
      </w:pPr>
      <w:r w:rsidRPr="00C06371">
        <w:rPr>
          <w:rStyle w:val="Voetnootmarkering"/>
          <w:rFonts w:ascii="Verdana" w:hAnsi="Verdana"/>
          <w:sz w:val="16"/>
          <w:szCs w:val="16"/>
        </w:rPr>
        <w:footnoteRef/>
      </w:r>
      <w:r w:rsidRPr="00C06371">
        <w:rPr>
          <w:rFonts w:ascii="Verdana" w:hAnsi="Verdana"/>
          <w:sz w:val="16"/>
          <w:szCs w:val="16"/>
        </w:rPr>
        <w:t xml:space="preserve"> RvS 3 december 2025, ECLI:NL:RVS:2025:5683</w:t>
      </w:r>
    </w:p>
  </w:footnote>
  <w:footnote w:id="2">
    <w:p w14:paraId="10DA485F" w14:textId="77777777" w:rsidR="007B34BA" w:rsidRPr="00C06371" w:rsidRDefault="007B34BA" w:rsidP="007B34BA">
      <w:pPr>
        <w:pStyle w:val="Voetnoottekst"/>
        <w:rPr>
          <w:rFonts w:ascii="Verdana" w:hAnsi="Verdana"/>
          <w:sz w:val="16"/>
          <w:szCs w:val="16"/>
        </w:rPr>
      </w:pPr>
      <w:r w:rsidRPr="00C06371">
        <w:rPr>
          <w:rStyle w:val="Voetnootmarkering"/>
          <w:rFonts w:ascii="Verdana" w:hAnsi="Verdana"/>
          <w:sz w:val="16"/>
          <w:szCs w:val="16"/>
        </w:rPr>
        <w:footnoteRef/>
      </w:r>
      <w:r w:rsidRPr="00C06371">
        <w:rPr>
          <w:rFonts w:ascii="Verdana" w:hAnsi="Verdana"/>
          <w:sz w:val="16"/>
          <w:szCs w:val="16"/>
        </w:rPr>
        <w:t xml:space="preserve"> RvS 3 december 2025, ECLI:NL:RVS:2025:5683</w:t>
      </w:r>
    </w:p>
  </w:footnote>
  <w:footnote w:id="3">
    <w:p w14:paraId="21172088" w14:textId="77777777" w:rsidR="007B34BA" w:rsidRPr="00C06371" w:rsidRDefault="007B34BA" w:rsidP="007B34BA">
      <w:pPr>
        <w:pStyle w:val="Voetnoottekst"/>
        <w:rPr>
          <w:rFonts w:ascii="Verdana" w:hAnsi="Verdana"/>
          <w:sz w:val="16"/>
          <w:szCs w:val="16"/>
        </w:rPr>
      </w:pPr>
      <w:r w:rsidRPr="00C06371">
        <w:rPr>
          <w:rStyle w:val="Voetnootmarkering"/>
          <w:rFonts w:ascii="Verdana" w:hAnsi="Verdana"/>
          <w:sz w:val="16"/>
          <w:szCs w:val="16"/>
        </w:rPr>
        <w:footnoteRef/>
      </w:r>
      <w:r w:rsidRPr="00C06371">
        <w:rPr>
          <w:rFonts w:ascii="Verdana" w:hAnsi="Verdana"/>
          <w:sz w:val="16"/>
          <w:szCs w:val="16"/>
        </w:rPr>
        <w:t xml:space="preserve"> Bijlage bij </w:t>
      </w:r>
      <w:r w:rsidRPr="00C06371">
        <w:rPr>
          <w:rFonts w:ascii="Verdana" w:hAnsi="Verdana"/>
          <w:i/>
          <w:sz w:val="16"/>
          <w:szCs w:val="16"/>
        </w:rPr>
        <w:t>Kamerstukken II</w:t>
      </w:r>
      <w:r w:rsidRPr="00C06371">
        <w:rPr>
          <w:rFonts w:ascii="Verdana" w:hAnsi="Verdana"/>
          <w:sz w:val="16"/>
          <w:szCs w:val="16"/>
        </w:rPr>
        <w:t xml:space="preserve"> 2018/19, 34 324, nr. 4.</w:t>
      </w:r>
    </w:p>
  </w:footnote>
  <w:footnote w:id="4">
    <w:p w14:paraId="0F47C7D8" w14:textId="77777777" w:rsidR="007B34BA" w:rsidRPr="00C06371" w:rsidRDefault="007B34BA" w:rsidP="007B34BA">
      <w:pPr>
        <w:pStyle w:val="Voetnoottekst"/>
        <w:rPr>
          <w:rFonts w:ascii="Verdana" w:hAnsi="Verdana"/>
          <w:sz w:val="16"/>
          <w:szCs w:val="16"/>
        </w:rPr>
      </w:pPr>
      <w:r w:rsidRPr="00C06371">
        <w:rPr>
          <w:rStyle w:val="Voetnootmarkering"/>
          <w:rFonts w:ascii="Verdana" w:hAnsi="Verdana"/>
          <w:sz w:val="16"/>
          <w:szCs w:val="16"/>
        </w:rPr>
        <w:footnoteRef/>
      </w:r>
      <w:r w:rsidRPr="00C06371">
        <w:rPr>
          <w:rFonts w:ascii="Verdana" w:hAnsi="Verdana"/>
          <w:sz w:val="16"/>
          <w:szCs w:val="16"/>
        </w:rPr>
        <w:t xml:space="preserve"> </w:t>
      </w:r>
      <w:hyperlink r:id="rId1" w:history="1">
        <w:r w:rsidRPr="00C06371">
          <w:rPr>
            <w:rStyle w:val="Hyperlink"/>
            <w:rFonts w:ascii="Verdana" w:hAnsi="Verdana"/>
            <w:sz w:val="16"/>
            <w:szCs w:val="16"/>
          </w:rPr>
          <w:t>Demonstratierecht.nl - Alles over het recht om te demonstreren</w:t>
        </w:r>
      </w:hyperlink>
    </w:p>
  </w:footnote>
  <w:footnote w:id="5">
    <w:p w14:paraId="4FCA530E" w14:textId="77777777" w:rsidR="007B34BA" w:rsidRPr="00C06371" w:rsidRDefault="007B34BA" w:rsidP="007B34BA">
      <w:pPr>
        <w:pStyle w:val="Voetnoottekst"/>
        <w:rPr>
          <w:rFonts w:ascii="Verdana" w:hAnsi="Verdana"/>
          <w:sz w:val="16"/>
          <w:szCs w:val="16"/>
        </w:rPr>
      </w:pPr>
      <w:r w:rsidRPr="00C06371">
        <w:rPr>
          <w:rStyle w:val="Voetnootmarkering"/>
          <w:rFonts w:ascii="Verdana" w:hAnsi="Verdana"/>
          <w:sz w:val="16"/>
          <w:szCs w:val="16"/>
        </w:rPr>
        <w:footnoteRef/>
      </w:r>
      <w:r w:rsidRPr="00C06371">
        <w:rPr>
          <w:rFonts w:ascii="Verdana" w:hAnsi="Verdana"/>
          <w:sz w:val="16"/>
          <w:szCs w:val="16"/>
        </w:rPr>
        <w:t xml:space="preserve"> </w:t>
      </w:r>
      <w:hyperlink r:id="rId2" w:history="1">
        <w:r w:rsidRPr="00C06371">
          <w:rPr>
            <w:rStyle w:val="Hyperlink"/>
            <w:rFonts w:ascii="Verdana" w:hAnsi="Verdana"/>
            <w:sz w:val="16"/>
            <w:szCs w:val="16"/>
          </w:rPr>
          <w:t>Het Nederlands Genootschap van Burgemeesters | Het Nederlands Genootschap van Burgemeesters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6B8C" w14:textId="77777777" w:rsidR="007B34BA" w:rsidRPr="007B34BA" w:rsidRDefault="007B34BA" w:rsidP="007B34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6425" w14:textId="77777777" w:rsidR="007B34BA" w:rsidRPr="007B34BA" w:rsidRDefault="007B34BA" w:rsidP="007B34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D0A4A" w14:textId="77777777" w:rsidR="007B34BA" w:rsidRPr="007B34BA" w:rsidRDefault="007B34BA" w:rsidP="007B34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BA"/>
    <w:rsid w:val="00326A94"/>
    <w:rsid w:val="003C452D"/>
    <w:rsid w:val="007B34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8EF3"/>
  <w15:chartTrackingRefBased/>
  <w15:docId w15:val="{5C2C0206-D67E-44C2-8941-D67785DB2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34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34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34B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34B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34B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34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34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34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34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34B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B34B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B34B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B34B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B34B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B34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34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34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34BA"/>
    <w:rPr>
      <w:rFonts w:eastAsiaTheme="majorEastAsia" w:cstheme="majorBidi"/>
      <w:color w:val="272727" w:themeColor="text1" w:themeTint="D8"/>
    </w:rPr>
  </w:style>
  <w:style w:type="paragraph" w:styleId="Titel">
    <w:name w:val="Title"/>
    <w:basedOn w:val="Standaard"/>
    <w:next w:val="Standaard"/>
    <w:link w:val="TitelChar"/>
    <w:uiPriority w:val="10"/>
    <w:qFormat/>
    <w:rsid w:val="007B3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34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34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34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34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34BA"/>
    <w:rPr>
      <w:i/>
      <w:iCs/>
      <w:color w:val="404040" w:themeColor="text1" w:themeTint="BF"/>
    </w:rPr>
  </w:style>
  <w:style w:type="paragraph" w:styleId="Lijstalinea">
    <w:name w:val="List Paragraph"/>
    <w:basedOn w:val="Standaard"/>
    <w:uiPriority w:val="34"/>
    <w:qFormat/>
    <w:rsid w:val="007B34BA"/>
    <w:pPr>
      <w:ind w:left="720"/>
      <w:contextualSpacing/>
    </w:pPr>
  </w:style>
  <w:style w:type="character" w:styleId="Intensievebenadrukking">
    <w:name w:val="Intense Emphasis"/>
    <w:basedOn w:val="Standaardalinea-lettertype"/>
    <w:uiPriority w:val="21"/>
    <w:qFormat/>
    <w:rsid w:val="007B34BA"/>
    <w:rPr>
      <w:i/>
      <w:iCs/>
      <w:color w:val="2F5496" w:themeColor="accent1" w:themeShade="BF"/>
    </w:rPr>
  </w:style>
  <w:style w:type="paragraph" w:styleId="Duidelijkcitaat">
    <w:name w:val="Intense Quote"/>
    <w:basedOn w:val="Standaard"/>
    <w:next w:val="Standaard"/>
    <w:link w:val="DuidelijkcitaatChar"/>
    <w:uiPriority w:val="30"/>
    <w:qFormat/>
    <w:rsid w:val="007B3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34BA"/>
    <w:rPr>
      <w:i/>
      <w:iCs/>
      <w:color w:val="2F5496" w:themeColor="accent1" w:themeShade="BF"/>
    </w:rPr>
  </w:style>
  <w:style w:type="character" w:styleId="Intensieveverwijzing">
    <w:name w:val="Intense Reference"/>
    <w:basedOn w:val="Standaardalinea-lettertype"/>
    <w:uiPriority w:val="32"/>
    <w:qFormat/>
    <w:rsid w:val="007B34BA"/>
    <w:rPr>
      <w:b/>
      <w:bCs/>
      <w:smallCaps/>
      <w:color w:val="2F5496" w:themeColor="accent1" w:themeShade="BF"/>
      <w:spacing w:val="5"/>
    </w:rPr>
  </w:style>
  <w:style w:type="character" w:styleId="Hyperlink">
    <w:name w:val="Hyperlink"/>
    <w:basedOn w:val="Standaardalinea-lettertype"/>
    <w:uiPriority w:val="99"/>
    <w:unhideWhenUsed/>
    <w:rsid w:val="007B34BA"/>
    <w:rPr>
      <w:color w:val="0563C1" w:themeColor="hyperlink"/>
      <w:u w:val="single"/>
    </w:rPr>
  </w:style>
  <w:style w:type="paragraph" w:styleId="Voetnoottekst">
    <w:name w:val="footnote text"/>
    <w:basedOn w:val="Standaard"/>
    <w:link w:val="VoetnoottekstChar"/>
    <w:uiPriority w:val="99"/>
    <w:semiHidden/>
    <w:unhideWhenUsed/>
    <w:rsid w:val="007B34B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B34BA"/>
    <w:rPr>
      <w:sz w:val="20"/>
      <w:szCs w:val="20"/>
    </w:rPr>
  </w:style>
  <w:style w:type="character" w:styleId="Voetnootmarkering">
    <w:name w:val="footnote reference"/>
    <w:basedOn w:val="Standaardalinea-lettertype"/>
    <w:uiPriority w:val="99"/>
    <w:semiHidden/>
    <w:unhideWhenUsed/>
    <w:rsid w:val="007B34BA"/>
    <w:rPr>
      <w:vertAlign w:val="superscript"/>
    </w:rPr>
  </w:style>
  <w:style w:type="paragraph" w:styleId="Koptekst">
    <w:name w:val="header"/>
    <w:basedOn w:val="Standaard"/>
    <w:link w:val="KoptekstChar"/>
    <w:uiPriority w:val="99"/>
    <w:unhideWhenUsed/>
    <w:rsid w:val="007B34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B34BA"/>
  </w:style>
  <w:style w:type="paragraph" w:styleId="Voettekst">
    <w:name w:val="footer"/>
    <w:basedOn w:val="Standaard"/>
    <w:link w:val="VoettekstChar"/>
    <w:uiPriority w:val="99"/>
    <w:unhideWhenUsed/>
    <w:rsid w:val="007B34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3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urgemeesters.nl/" TargetMode="External"/><Relationship Id="rId1" Type="http://schemas.openxmlformats.org/officeDocument/2006/relationships/hyperlink" Target="https://demonstratierech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1499</ap:Words>
  <ap:Characters>8246</ap:Characters>
  <ap:DocSecurity>0</ap:DocSecurity>
  <ap:Lines>68</ap:Lines>
  <ap:Paragraphs>19</ap:Paragraphs>
  <ap:ScaleCrop>false</ap:ScaleCrop>
  <ap:LinksUpToDate>false</ap:LinksUpToDate>
  <ap:CharactersWithSpaces>9726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2026-01-13T11:46:00.0000000Z</dcterms:created>
  <dcterms:modified xsi:type="dcterms:W3CDTF">2026-01-13T11:47:00.0000000Z</dcterms:modified>
  <version/>
  <category/>
</coreProperties>
</file>