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2026Z00341</w:t>
        <w:br/>
      </w:r>
      <w:proofErr w:type="spellEnd"/>
    </w:p>
    <w:p>
      <w:pPr>
        <w:pStyle w:val="Normal"/>
        <w:rPr>
          <w:b w:val="1"/>
          <w:bCs w:val="1"/>
        </w:rPr>
      </w:pPr>
      <w:r w:rsidR="250AE766">
        <w:rPr>
          <w:b w:val="0"/>
          <w:bCs w:val="0"/>
        </w:rPr>
        <w:t>(ingezonden 13 januari 2026)</w:t>
        <w:br/>
      </w:r>
    </w:p>
    <w:p>
      <w:r>
        <w:t xml:space="preserve">Vragen van de leden Diederik van Dijk (SGP) en Bikker (ChristenUnie) aan de minister van Volksgezondheid, Welzijn en Sport over het onderzoek van de Gezondheidsraad naar het voorschrijven van puberteitsremmers aan minderjarigen met genderdysforie</w:t>
      </w:r>
      <w:r>
        <w:br/>
      </w:r>
    </w:p>
    <w:p>
      <w:r>
        <w:t xml:space="preserve"> </w:t>
      </w:r>
      <w:r>
        <w:br/>
      </w:r>
    </w:p>
    <w:p>
      <w:pPr>
        <w:pStyle w:val="ListParagraph"/>
        <w:numPr>
          <w:ilvl w:val="0"/>
          <w:numId w:val="100494500"/>
        </w:numPr>
        <w:ind w:left="360"/>
      </w:pPr>
      <w:r>
        <w:t xml:space="preserve">Bent u bekend met het artikel van prof. mr. J.L. Smeehuijzen ‘De Gezondheidsraad en het reguleringsklimaat rond puberteitsremming bij minderjarigen’ in het Nederlands Juristenblad?[1]</w:t>
      </w:r>
      <w:r>
        <w:br/>
      </w:r>
    </w:p>
    <w:p>
      <w:pPr>
        <w:pStyle w:val="ListParagraph"/>
        <w:numPr>
          <w:ilvl w:val="0"/>
          <w:numId w:val="100494500"/>
        </w:numPr>
        <w:ind w:left="360"/>
      </w:pPr>
      <w:r>
        <w:t xml:space="preserve">Wat is uw reactie op de bevindingen van prof. Smeehuijzen ten aanzien van de onafhankelijkheid en de schijn van belangenverstrengeling van de leden van de commissie van de Gezondheidsraad die onderzoek doet naar gezondheidsrechtelijke en medische aspecten van het gebruik van puberteitsremmers bij minderjarigen met genderdysforie?</w:t>
      </w:r>
      <w:r>
        <w:br/>
      </w:r>
    </w:p>
    <w:p>
      <w:pPr>
        <w:pStyle w:val="ListParagraph"/>
        <w:numPr>
          <w:ilvl w:val="0"/>
          <w:numId w:val="100494500"/>
        </w:numPr>
        <w:ind w:left="360"/>
      </w:pPr>
      <w:r>
        <w:t xml:space="preserve">Hoe verhoudt in uw ogen de samenstelling van de genoemde commissie zich tot de ‘Code ter voorkoming van oneigenlijke beïnvloeding door belangenverstrengeling’ die de Gezondheidsraad verplicht zijn commissies zo samen te stellen dat het risico op kleuring van de oordeelsvorming door institutionele, professionele of persoonlijke belangen wordt geminimaliseerd en de geloofwaardigheid van het advies gewaarborgd blijft?</w:t>
      </w:r>
      <w:r>
        <w:br/>
      </w:r>
    </w:p>
    <w:p>
      <w:pPr>
        <w:pStyle w:val="ListParagraph"/>
        <w:numPr>
          <w:ilvl w:val="0"/>
          <w:numId w:val="100494500"/>
        </w:numPr>
        <w:ind w:left="360"/>
      </w:pPr>
      <w:r>
        <w:t xml:space="preserve">Hoe reageert u met name op het feit dat de helft van de commissie op een wezenlijke manier verbonden is met de interventie die zij moet beoordelen?</w:t>
      </w:r>
      <w:r>
        <w:br/>
      </w:r>
    </w:p>
    <w:p>
      <w:pPr>
        <w:pStyle w:val="ListParagraph"/>
        <w:numPr>
          <w:ilvl w:val="0"/>
          <w:numId w:val="100494500"/>
        </w:numPr>
        <w:ind w:left="360"/>
      </w:pPr>
      <w:r>
        <w:t xml:space="preserve">Kunt u aangeven hoe de interne controlemechanismen bij de Gezondheidsraad zijn georganiseerd als het gaat om de onafhankelijkheid van haar onderzoeken en de betrokken onderzoekers?</w:t>
      </w:r>
      <w:r>
        <w:br/>
      </w:r>
    </w:p>
    <w:p>
      <w:pPr>
        <w:pStyle w:val="ListParagraph"/>
        <w:numPr>
          <w:ilvl w:val="0"/>
          <w:numId w:val="100494500"/>
        </w:numPr>
        <w:ind w:left="360"/>
      </w:pPr>
      <w:r>
        <w:t xml:space="preserve">Hoe reflecteert u op de zeer beperkte juridische expertise die, blijkens de samenstelling ervan, in de commissie aanwezig is? Heeft u er vertrouwen in dat de commissie in staat is om een gefundeerd oordeel te vellen hoe de praktijk in Nederland zich verhoudt tot het geldende gezondheidsrechtelijke kader?</w:t>
      </w:r>
      <w:r>
        <w:br/>
      </w:r>
    </w:p>
    <w:p>
      <w:pPr>
        <w:pStyle w:val="ListParagraph"/>
        <w:numPr>
          <w:ilvl w:val="0"/>
          <w:numId w:val="100494500"/>
        </w:numPr>
        <w:ind w:left="360"/>
      </w:pPr>
      <w:r>
        <w:t xml:space="preserve">Wat is uw reactie op de zorgelijke opmerkingen die prof. Smeehuijzen maakt over het bredere Nederlandse reguleringsklimaat rond puberteitsremming? Hoe wordt, bij alle verwevenheid tussen klinische zorg, onderzoek en beleidsvorming, de onafhankelijkheid en onbevangenheid van wetenschappelijk onderzoek gewaarborgd?</w:t>
      </w:r>
      <w:r>
        <w:br/>
      </w:r>
    </w:p>
    <w:p>
      <w:pPr>
        <w:pStyle w:val="ListParagraph"/>
        <w:numPr>
          <w:ilvl w:val="0"/>
          <w:numId w:val="100494500"/>
        </w:numPr>
        <w:ind w:left="360"/>
      </w:pPr>
      <w:r>
        <w:t xml:space="preserve">Hoe waarborgt u als minister van VWS uw eigen positie in dezen? Voert u, naast uw contacten met de betrokken Universitair Medisch Centra (UMC’s), ook het gesprek met artsen en wetenschappers die kritisch zijn op de Nederlandse praktijk ten aanzien van puberteitsremmers? Zo ja, hoe krijgt dit gestalte en in welke mate?</w:t>
      </w:r>
      <w:r>
        <w:br/>
      </w:r>
    </w:p>
    <w:p>
      <w:pPr>
        <w:pStyle w:val="ListParagraph"/>
        <w:numPr>
          <w:ilvl w:val="0"/>
          <w:numId w:val="100494500"/>
        </w:numPr>
        <w:ind w:left="360"/>
      </w:pPr>
      <w:r>
        <w:t xml:space="preserve">Kunt u aangeven wat de stand van zaken van het onderzoek van de Gezondheidsraad precies is? Wanneer verwacht de commissie het onderzoek af te kunnen ronden?</w:t>
      </w:r>
      <w:r>
        <w:br/>
      </w:r>
    </w:p>
    <w:p>
      <w:pPr>
        <w:pStyle w:val="ListParagraph"/>
        <w:numPr>
          <w:ilvl w:val="0"/>
          <w:numId w:val="100494500"/>
        </w:numPr>
        <w:ind w:left="360"/>
      </w:pPr>
      <w:r>
        <w:t xml:space="preserve">Is het de bedoeling dat de herziening van het Kwaliteitskader Transgenderzorg pas wordt voltooid na ommekomst van het advies van het onderzoek van de Gezondheidsraad?</w:t>
      </w:r>
      <w:r>
        <w:br/>
      </w:r>
    </w:p>
    <w:p>
      <w:r>
        <w:t xml:space="preserve"> </w:t>
      </w:r>
      <w:r>
        <w:br/>
      </w:r>
    </w:p>
    <w:p>
      <w:r>
        <w:t xml:space="preserve">[1] Nederlands Juristenblad 2025/2811, Lodewijk Smeehuijzen, ‘De Gezondheidsraad en het reguleringsklimaat rond puberteitsremming bij minderjarigen’, pag. 3464-3471.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460">
    <w:abstractNumId w:val="100494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