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FC0D88" w:rsidR="00FC0D88" w:rsidP="00FC0D88" w14:paraId="18B0ABFB" w14:textId="11FDFDDD">
      <w:pPr>
        <w:autoSpaceDN w:val="0"/>
        <w:spacing w:after="0" w:line="240" w:lineRule="auto"/>
        <w:textAlignment w:val="baseline"/>
        <w:rPr>
          <w:rFonts w:eastAsia="DejaVu Sans" w:cs="Lohit Hindi"/>
          <w:b/>
          <w:bCs/>
          <w:color w:val="000000"/>
          <w:sz w:val="22"/>
          <w:lang w:val="nl-NL" w:eastAsia="nl-NL"/>
        </w:rPr>
      </w:pPr>
      <w:r w:rsidRPr="00FC0D88">
        <w:rPr>
          <w:rFonts w:eastAsia="DejaVu Sans" w:cs="Lohit Hindi"/>
          <w:b/>
          <w:bCs/>
          <w:color w:val="000000"/>
          <w:sz w:val="22"/>
          <w:lang w:val="nl-NL" w:eastAsia="nl-NL"/>
        </w:rPr>
        <w:t xml:space="preserve">Afsprakenlijst Bestuurlijke Overleggen </w:t>
      </w:r>
      <w:r w:rsidR="00D50F44">
        <w:rPr>
          <w:rFonts w:eastAsia="DejaVu Sans" w:cs="Lohit Hindi"/>
          <w:b/>
          <w:bCs/>
          <w:color w:val="000000"/>
          <w:sz w:val="22"/>
          <w:lang w:val="nl-NL" w:eastAsia="nl-NL"/>
        </w:rPr>
        <w:t>Meerjarenprogramma Infrastructuur, Ruimte en Transport (MIRT) 5</w:t>
      </w:r>
      <w:r w:rsidRPr="00254AA6" w:rsidR="00DB4104">
        <w:rPr>
          <w:rFonts w:eastAsia="DejaVu Sans" w:cs="Lohit Hindi"/>
          <w:b/>
          <w:bCs/>
          <w:color w:val="000000"/>
          <w:sz w:val="22"/>
          <w:lang w:val="nl-NL" w:eastAsia="nl-NL"/>
        </w:rPr>
        <w:t xml:space="preserve">, </w:t>
      </w:r>
      <w:r w:rsidR="00D50F44">
        <w:rPr>
          <w:rFonts w:eastAsia="DejaVu Sans" w:cs="Lohit Hindi"/>
          <w:b/>
          <w:bCs/>
          <w:color w:val="000000"/>
          <w:sz w:val="22"/>
          <w:lang w:val="nl-NL" w:eastAsia="nl-NL"/>
        </w:rPr>
        <w:t>7 en 8 januari 2026 voor Volkshuisvesting en Ruimtelijke Ordening</w:t>
      </w:r>
      <w:r w:rsidR="00D746F7">
        <w:rPr>
          <w:rFonts w:eastAsia="DejaVu Sans" w:cs="Lohit Hindi"/>
          <w:b/>
          <w:bCs/>
          <w:color w:val="000000"/>
          <w:sz w:val="22"/>
          <w:lang w:val="nl-NL" w:eastAsia="nl-NL"/>
        </w:rPr>
        <w:t xml:space="preserve"> (VRO)</w:t>
      </w:r>
    </w:p>
    <w:p w:rsidR="00A54E53" w:rsidP="00FC0D88" w14:paraId="6E62C5C1" w14:textId="77777777">
      <w:pPr>
        <w:autoSpaceDN w:val="0"/>
        <w:spacing w:after="0" w:line="240" w:lineRule="exact"/>
        <w:textAlignment w:val="baseline"/>
        <w:rPr>
          <w:rFonts w:eastAsia="DejaVu Sans" w:cs="Lohit Hindi"/>
          <w:color w:val="000000"/>
          <w:szCs w:val="18"/>
          <w:lang w:val="nl-NL" w:eastAsia="nl-NL"/>
        </w:rPr>
      </w:pPr>
    </w:p>
    <w:sdt>
      <w:sdtPr>
        <w:rPr>
          <w:rFonts w:ascii="Verdana" w:hAnsi="Verdana" w:eastAsiaTheme="minorHAnsi" w:cstheme="minorBidi"/>
          <w:color w:val="auto"/>
          <w:sz w:val="28"/>
          <w:szCs w:val="28"/>
          <w:lang w:val="en-US" w:eastAsia="en-US"/>
        </w:rPr>
        <w:id w:val="-919027011"/>
        <w:docPartObj>
          <w:docPartGallery w:val="Table of Contents"/>
          <w:docPartUnique/>
        </w:docPartObj>
      </w:sdtPr>
      <w:sdtEndPr>
        <w:rPr>
          <w:b/>
          <w:bCs/>
        </w:rPr>
      </w:sdtEndPr>
      <w:sdtContent>
        <w:p w:rsidRPr="00FC0D88" w:rsidR="00FC0D88" w14:paraId="4D7E664D" w14:textId="3B718F6E">
          <w:pPr>
            <w:pStyle w:val="TOCHeading"/>
            <w:rPr>
              <w:sz w:val="28"/>
              <w:szCs w:val="28"/>
            </w:rPr>
          </w:pPr>
        </w:p>
        <w:p w:rsidR="00E615B6" w14:paraId="01E267ED" w14:textId="03A502F5">
          <w:pPr>
            <w:pStyle w:val="TOC1"/>
            <w:tabs>
              <w:tab w:val="right" w:leader="dot" w:pos="9017"/>
            </w:tabs>
            <w:rPr>
              <w:rFonts w:asciiTheme="minorHAnsi" w:hAnsiTheme="minorHAnsi" w:eastAsiaTheme="minorEastAsia"/>
              <w:noProof/>
              <w:kern w:val="2"/>
              <w:sz w:val="24"/>
              <w:szCs w:val="24"/>
              <w:lang w:val="nl-NL" w:eastAsia="nl-NL"/>
              <w14:ligatures w14:val="standardContextual"/>
            </w:rPr>
          </w:pPr>
          <w:r w:rsidRPr="00FC0D88">
            <w:rPr>
              <w:sz w:val="22"/>
            </w:rPr>
            <w:fldChar w:fldCharType="begin"/>
          </w:r>
          <w:r w:rsidRPr="00FC0D88">
            <w:rPr>
              <w:sz w:val="22"/>
            </w:rPr>
            <w:instrText xml:space="preserve"> TOC \o "1-3" \h \z \u </w:instrText>
          </w:r>
          <w:r w:rsidRPr="00FC0D88">
            <w:rPr>
              <w:sz w:val="22"/>
            </w:rPr>
            <w:fldChar w:fldCharType="separate"/>
          </w:r>
          <w:hyperlink w:history="1" w:anchor="_Toc219197437">
            <w:r w:rsidRPr="003963D1">
              <w:rPr>
                <w:rStyle w:val="Hyperlink"/>
                <w:rFonts w:eastAsia="DejaVu Sans" w:cstheme="majorBidi"/>
                <w:bCs/>
                <w:noProof/>
                <w:lang w:val="nl-NL" w:eastAsia="nl-NL"/>
              </w:rPr>
              <w:t>Landelijk afspraken Woningbouw en Mobiliteit</w:t>
            </w:r>
            <w:r>
              <w:rPr>
                <w:noProof/>
                <w:webHidden/>
              </w:rPr>
              <w:tab/>
            </w:r>
            <w:r>
              <w:rPr>
                <w:noProof/>
                <w:webHidden/>
              </w:rPr>
              <w:fldChar w:fldCharType="begin"/>
            </w:r>
            <w:r>
              <w:rPr>
                <w:noProof/>
                <w:webHidden/>
              </w:rPr>
              <w:instrText xml:space="preserve"> PAGEREF _Toc219197437 \h </w:instrText>
            </w:r>
            <w:r>
              <w:rPr>
                <w:noProof/>
                <w:webHidden/>
              </w:rPr>
              <w:fldChar w:fldCharType="separate"/>
            </w:r>
            <w:r w:rsidR="00592A1F">
              <w:rPr>
                <w:noProof/>
                <w:webHidden/>
              </w:rPr>
              <w:t>2</w:t>
            </w:r>
            <w:r>
              <w:rPr>
                <w:noProof/>
                <w:webHidden/>
              </w:rPr>
              <w:fldChar w:fldCharType="end"/>
            </w:r>
          </w:hyperlink>
        </w:p>
        <w:p w:rsidR="00E615B6" w14:paraId="180C85C4" w14:textId="6800A4CB">
          <w:pPr>
            <w:pStyle w:val="TOC1"/>
            <w:tabs>
              <w:tab w:val="right" w:leader="dot" w:pos="9017"/>
            </w:tabs>
            <w:rPr>
              <w:rFonts w:asciiTheme="minorHAnsi" w:hAnsiTheme="minorHAnsi" w:eastAsiaTheme="minorEastAsia"/>
              <w:noProof/>
              <w:kern w:val="2"/>
              <w:sz w:val="24"/>
              <w:szCs w:val="24"/>
              <w:lang w:val="nl-NL" w:eastAsia="nl-NL"/>
              <w14:ligatures w14:val="standardContextual"/>
            </w:rPr>
          </w:pPr>
          <w:hyperlink w:history="1" w:anchor="_Toc219197441">
            <w:r w:rsidRPr="00037FD1">
              <w:rPr>
                <w:rStyle w:val="Hyperlink"/>
                <w:rFonts w:eastAsia="DejaVu Sans"/>
                <w:noProof/>
                <w:lang w:val="nl-NL" w:eastAsia="nl-NL"/>
              </w:rPr>
              <w:t>Regio Oost-Nederland</w:t>
            </w:r>
            <w:r>
              <w:rPr>
                <w:noProof/>
                <w:webHidden/>
              </w:rPr>
              <w:tab/>
            </w:r>
            <w:r>
              <w:rPr>
                <w:noProof/>
                <w:webHidden/>
              </w:rPr>
              <w:fldChar w:fldCharType="begin"/>
            </w:r>
            <w:r>
              <w:rPr>
                <w:noProof/>
                <w:webHidden/>
              </w:rPr>
              <w:instrText xml:space="preserve"> PAGEREF _Toc219197441 \h </w:instrText>
            </w:r>
            <w:r>
              <w:rPr>
                <w:noProof/>
                <w:webHidden/>
              </w:rPr>
              <w:fldChar w:fldCharType="separate"/>
            </w:r>
            <w:r w:rsidR="00592A1F">
              <w:rPr>
                <w:noProof/>
                <w:webHidden/>
              </w:rPr>
              <w:t>4</w:t>
            </w:r>
            <w:r>
              <w:rPr>
                <w:noProof/>
                <w:webHidden/>
              </w:rPr>
              <w:fldChar w:fldCharType="end"/>
            </w:r>
          </w:hyperlink>
        </w:p>
        <w:p w:rsidR="00E615B6" w14:paraId="337477E9" w14:textId="65299017">
          <w:pPr>
            <w:pStyle w:val="TOC1"/>
            <w:tabs>
              <w:tab w:val="right" w:leader="dot" w:pos="9017"/>
            </w:tabs>
            <w:rPr>
              <w:rFonts w:asciiTheme="minorHAnsi" w:hAnsiTheme="minorHAnsi" w:eastAsiaTheme="minorEastAsia"/>
              <w:noProof/>
              <w:kern w:val="2"/>
              <w:sz w:val="24"/>
              <w:szCs w:val="24"/>
              <w:lang w:val="nl-NL" w:eastAsia="nl-NL"/>
              <w14:ligatures w14:val="standardContextual"/>
            </w:rPr>
          </w:pPr>
          <w:hyperlink w:history="1" w:anchor="_Toc219197442">
            <w:r w:rsidRPr="00037FD1">
              <w:rPr>
                <w:rStyle w:val="Hyperlink"/>
                <w:rFonts w:eastAsia="DejaVu Sans"/>
                <w:noProof/>
                <w:lang w:val="nl-NL" w:eastAsia="nl-NL"/>
              </w:rPr>
              <w:t>Regio Noordwest-Nederland</w:t>
            </w:r>
            <w:r>
              <w:rPr>
                <w:noProof/>
                <w:webHidden/>
              </w:rPr>
              <w:tab/>
            </w:r>
            <w:r>
              <w:rPr>
                <w:noProof/>
                <w:webHidden/>
              </w:rPr>
              <w:fldChar w:fldCharType="begin"/>
            </w:r>
            <w:r>
              <w:rPr>
                <w:noProof/>
                <w:webHidden/>
              </w:rPr>
              <w:instrText xml:space="preserve"> PAGEREF _Toc219197442 \h </w:instrText>
            </w:r>
            <w:r>
              <w:rPr>
                <w:noProof/>
                <w:webHidden/>
              </w:rPr>
              <w:fldChar w:fldCharType="separate"/>
            </w:r>
            <w:r w:rsidR="00592A1F">
              <w:rPr>
                <w:noProof/>
                <w:webHidden/>
              </w:rPr>
              <w:t>11</w:t>
            </w:r>
            <w:r>
              <w:rPr>
                <w:noProof/>
                <w:webHidden/>
              </w:rPr>
              <w:fldChar w:fldCharType="end"/>
            </w:r>
          </w:hyperlink>
        </w:p>
        <w:p w:rsidR="00E615B6" w14:paraId="1628F8F8" w14:textId="6CE5C609">
          <w:pPr>
            <w:pStyle w:val="TOC1"/>
            <w:tabs>
              <w:tab w:val="right" w:leader="dot" w:pos="9017"/>
            </w:tabs>
            <w:rPr>
              <w:rFonts w:asciiTheme="minorHAnsi" w:hAnsiTheme="minorHAnsi" w:eastAsiaTheme="minorEastAsia"/>
              <w:noProof/>
              <w:kern w:val="2"/>
              <w:sz w:val="24"/>
              <w:szCs w:val="24"/>
              <w:lang w:val="nl-NL" w:eastAsia="nl-NL"/>
              <w14:ligatures w14:val="standardContextual"/>
            </w:rPr>
          </w:pPr>
          <w:hyperlink w:history="1" w:anchor="_Toc219197443">
            <w:r w:rsidRPr="00037FD1">
              <w:rPr>
                <w:rStyle w:val="Hyperlink"/>
                <w:rFonts w:eastAsia="DejaVu Sans"/>
                <w:noProof/>
                <w:lang w:val="nl-NL" w:eastAsia="nl-NL"/>
              </w:rPr>
              <w:t>Regio Zuidwest-Nederland</w:t>
            </w:r>
            <w:r>
              <w:rPr>
                <w:noProof/>
                <w:webHidden/>
              </w:rPr>
              <w:tab/>
            </w:r>
            <w:r>
              <w:rPr>
                <w:noProof/>
                <w:webHidden/>
              </w:rPr>
              <w:fldChar w:fldCharType="begin"/>
            </w:r>
            <w:r>
              <w:rPr>
                <w:noProof/>
                <w:webHidden/>
              </w:rPr>
              <w:instrText xml:space="preserve"> PAGEREF _Toc219197443 \h </w:instrText>
            </w:r>
            <w:r>
              <w:rPr>
                <w:noProof/>
                <w:webHidden/>
              </w:rPr>
              <w:fldChar w:fldCharType="separate"/>
            </w:r>
            <w:r w:rsidR="00592A1F">
              <w:rPr>
                <w:noProof/>
                <w:webHidden/>
              </w:rPr>
              <w:t>17</w:t>
            </w:r>
            <w:r>
              <w:rPr>
                <w:noProof/>
                <w:webHidden/>
              </w:rPr>
              <w:fldChar w:fldCharType="end"/>
            </w:r>
          </w:hyperlink>
        </w:p>
        <w:p w:rsidR="00E615B6" w14:paraId="436E95D4" w14:textId="6A1CAD00">
          <w:pPr>
            <w:pStyle w:val="TOC1"/>
            <w:tabs>
              <w:tab w:val="right" w:leader="dot" w:pos="9017"/>
            </w:tabs>
            <w:rPr>
              <w:rFonts w:asciiTheme="minorHAnsi" w:hAnsiTheme="minorHAnsi" w:eastAsiaTheme="minorEastAsia"/>
              <w:noProof/>
              <w:kern w:val="2"/>
              <w:sz w:val="24"/>
              <w:szCs w:val="24"/>
              <w:lang w:val="nl-NL" w:eastAsia="nl-NL"/>
              <w14:ligatures w14:val="standardContextual"/>
            </w:rPr>
          </w:pPr>
          <w:hyperlink w:history="1" w:anchor="_Toc219197447">
            <w:r w:rsidRPr="00037FD1">
              <w:rPr>
                <w:rStyle w:val="Hyperlink"/>
                <w:rFonts w:eastAsia="DejaVu Sans"/>
                <w:noProof/>
                <w:lang w:val="nl-NL" w:eastAsia="nl-NL"/>
              </w:rPr>
              <w:t>Regio Noord-Nederland</w:t>
            </w:r>
            <w:r>
              <w:rPr>
                <w:noProof/>
                <w:webHidden/>
              </w:rPr>
              <w:tab/>
            </w:r>
            <w:r>
              <w:rPr>
                <w:noProof/>
                <w:webHidden/>
              </w:rPr>
              <w:fldChar w:fldCharType="begin"/>
            </w:r>
            <w:r>
              <w:rPr>
                <w:noProof/>
                <w:webHidden/>
              </w:rPr>
              <w:instrText xml:space="preserve"> PAGEREF _Toc219197447 \h </w:instrText>
            </w:r>
            <w:r>
              <w:rPr>
                <w:noProof/>
                <w:webHidden/>
              </w:rPr>
              <w:fldChar w:fldCharType="separate"/>
            </w:r>
            <w:r w:rsidR="00592A1F">
              <w:rPr>
                <w:noProof/>
                <w:webHidden/>
              </w:rPr>
              <w:t>24</w:t>
            </w:r>
            <w:r>
              <w:rPr>
                <w:noProof/>
                <w:webHidden/>
              </w:rPr>
              <w:fldChar w:fldCharType="end"/>
            </w:r>
          </w:hyperlink>
        </w:p>
        <w:p w:rsidR="00E615B6" w14:paraId="61238929" w14:textId="69E56A43">
          <w:pPr>
            <w:pStyle w:val="TOC1"/>
            <w:tabs>
              <w:tab w:val="right" w:leader="dot" w:pos="9017"/>
            </w:tabs>
            <w:rPr>
              <w:rFonts w:asciiTheme="minorHAnsi" w:hAnsiTheme="minorHAnsi" w:eastAsiaTheme="minorEastAsia"/>
              <w:noProof/>
              <w:kern w:val="2"/>
              <w:sz w:val="24"/>
              <w:szCs w:val="24"/>
              <w:lang w:val="nl-NL" w:eastAsia="nl-NL"/>
              <w14:ligatures w14:val="standardContextual"/>
            </w:rPr>
          </w:pPr>
          <w:hyperlink w:history="1" w:anchor="_Toc219197453">
            <w:r w:rsidRPr="00037FD1">
              <w:rPr>
                <w:rStyle w:val="Hyperlink"/>
                <w:rFonts w:eastAsia="DejaVu Sans"/>
                <w:noProof/>
                <w:lang w:val="nl-NL" w:eastAsia="nl-NL"/>
              </w:rPr>
              <w:t>Regio Zuid-Nederland</w:t>
            </w:r>
            <w:r>
              <w:rPr>
                <w:noProof/>
                <w:webHidden/>
              </w:rPr>
              <w:tab/>
            </w:r>
            <w:r>
              <w:rPr>
                <w:noProof/>
                <w:webHidden/>
              </w:rPr>
              <w:fldChar w:fldCharType="begin"/>
            </w:r>
            <w:r>
              <w:rPr>
                <w:noProof/>
                <w:webHidden/>
              </w:rPr>
              <w:instrText xml:space="preserve"> PAGEREF _Toc219197453 \h </w:instrText>
            </w:r>
            <w:r>
              <w:rPr>
                <w:noProof/>
                <w:webHidden/>
              </w:rPr>
              <w:fldChar w:fldCharType="separate"/>
            </w:r>
            <w:r w:rsidR="00592A1F">
              <w:rPr>
                <w:noProof/>
                <w:webHidden/>
              </w:rPr>
              <w:t>26</w:t>
            </w:r>
            <w:r>
              <w:rPr>
                <w:noProof/>
                <w:webHidden/>
              </w:rPr>
              <w:fldChar w:fldCharType="end"/>
            </w:r>
          </w:hyperlink>
        </w:p>
        <w:p w:rsidRPr="00463884" w:rsidR="00463884" w:rsidP="00463884" w14:paraId="794F8827" w14:textId="2B51D1AC">
          <w:pPr>
            <w:pStyle w:val="TOC1"/>
            <w:tabs>
              <w:tab w:val="right" w:leader="dot" w:pos="9017"/>
            </w:tabs>
          </w:pPr>
          <w:r w:rsidRPr="00FC0D88">
            <w:rPr>
              <w:b/>
              <w:bCs/>
              <w:sz w:val="22"/>
            </w:rPr>
            <w:fldChar w:fldCharType="end"/>
          </w:r>
        </w:p>
      </w:sdtContent>
    </w:sdt>
    <w:p w:rsidR="00463884" w:rsidP="00CA52E2" w14:paraId="6E0788E9" w14:textId="77777777">
      <w:pPr>
        <w:pStyle w:val="Heading1"/>
        <w:rPr>
          <w:rFonts w:eastAsia="DejaVu Sans"/>
          <w:lang w:val="nl-NL" w:eastAsia="nl-NL"/>
        </w:rPr>
      </w:pPr>
    </w:p>
    <w:p w:rsidR="00463884" w:rsidP="00CA52E2" w14:paraId="0186CFD3" w14:textId="77777777">
      <w:pPr>
        <w:pStyle w:val="Heading1"/>
        <w:rPr>
          <w:rFonts w:eastAsia="DejaVu Sans"/>
          <w:lang w:val="nl-NL" w:eastAsia="nl-NL"/>
        </w:rPr>
      </w:pPr>
    </w:p>
    <w:p w:rsidR="00463884" w:rsidP="00CA52E2" w14:paraId="38B57827" w14:textId="77777777">
      <w:pPr>
        <w:pStyle w:val="Heading1"/>
        <w:rPr>
          <w:rFonts w:eastAsia="DejaVu Sans"/>
          <w:lang w:val="nl-NL" w:eastAsia="nl-NL"/>
        </w:rPr>
      </w:pPr>
    </w:p>
    <w:p w:rsidR="00463884" w:rsidP="00CA52E2" w14:paraId="406C63E2" w14:textId="77777777">
      <w:pPr>
        <w:pStyle w:val="Heading1"/>
        <w:rPr>
          <w:rFonts w:eastAsia="DejaVu Sans"/>
          <w:lang w:val="nl-NL" w:eastAsia="nl-NL"/>
        </w:rPr>
      </w:pPr>
    </w:p>
    <w:p w:rsidR="00463884" w:rsidP="00CA52E2" w14:paraId="5ED24442" w14:textId="77777777">
      <w:pPr>
        <w:pStyle w:val="Heading1"/>
        <w:rPr>
          <w:rFonts w:eastAsia="DejaVu Sans"/>
          <w:lang w:val="nl-NL" w:eastAsia="nl-NL"/>
        </w:rPr>
      </w:pPr>
    </w:p>
    <w:p w:rsidR="00463884" w:rsidP="00CA52E2" w14:paraId="4234BDA5" w14:textId="77777777">
      <w:pPr>
        <w:pStyle w:val="Heading1"/>
        <w:rPr>
          <w:rFonts w:eastAsia="DejaVu Sans"/>
          <w:lang w:val="nl-NL" w:eastAsia="nl-NL"/>
        </w:rPr>
      </w:pPr>
    </w:p>
    <w:p w:rsidR="00463884" w:rsidP="00CA52E2" w14:paraId="77A62C92" w14:textId="77777777">
      <w:pPr>
        <w:pStyle w:val="Heading1"/>
        <w:rPr>
          <w:rFonts w:eastAsia="DejaVu Sans"/>
          <w:lang w:val="nl-NL" w:eastAsia="nl-NL"/>
        </w:rPr>
      </w:pPr>
    </w:p>
    <w:p w:rsidR="00463884" w:rsidP="00CA52E2" w14:paraId="150E8873" w14:textId="77777777">
      <w:pPr>
        <w:pStyle w:val="Heading1"/>
        <w:rPr>
          <w:rFonts w:eastAsia="DejaVu Sans"/>
          <w:lang w:val="nl-NL" w:eastAsia="nl-NL"/>
        </w:rPr>
      </w:pPr>
    </w:p>
    <w:p w:rsidR="00463884" w:rsidP="00CA52E2" w14:paraId="237D308D" w14:textId="77777777">
      <w:pPr>
        <w:pStyle w:val="Heading1"/>
        <w:rPr>
          <w:rFonts w:eastAsia="DejaVu Sans"/>
          <w:lang w:val="nl-NL" w:eastAsia="nl-NL"/>
        </w:rPr>
      </w:pPr>
    </w:p>
    <w:p w:rsidR="00463884" w:rsidP="00CA52E2" w14:paraId="19281039" w14:textId="77777777">
      <w:pPr>
        <w:pStyle w:val="Heading1"/>
        <w:rPr>
          <w:rFonts w:eastAsia="DejaVu Sans"/>
          <w:lang w:val="nl-NL" w:eastAsia="nl-NL"/>
        </w:rPr>
      </w:pPr>
    </w:p>
    <w:p w:rsidR="00463884" w:rsidP="00CA52E2" w14:paraId="5F5D7A8F" w14:textId="77777777">
      <w:pPr>
        <w:pStyle w:val="Heading1"/>
        <w:rPr>
          <w:rFonts w:eastAsia="DejaVu Sans"/>
          <w:lang w:val="nl-NL" w:eastAsia="nl-NL"/>
        </w:rPr>
      </w:pPr>
    </w:p>
    <w:p w:rsidR="00463884" w:rsidP="00CA52E2" w14:paraId="7BCCD06F" w14:textId="77777777">
      <w:pPr>
        <w:pStyle w:val="Heading1"/>
        <w:rPr>
          <w:rFonts w:eastAsia="DejaVu Sans"/>
          <w:lang w:val="nl-NL" w:eastAsia="nl-NL"/>
        </w:rPr>
      </w:pPr>
    </w:p>
    <w:p w:rsidR="00463884" w:rsidP="00CA52E2" w14:paraId="713F7A2B" w14:textId="77777777">
      <w:pPr>
        <w:pStyle w:val="Heading1"/>
        <w:rPr>
          <w:rFonts w:eastAsia="DejaVu Sans"/>
          <w:lang w:val="nl-NL" w:eastAsia="nl-NL"/>
        </w:rPr>
      </w:pPr>
    </w:p>
    <w:p w:rsidR="00463884" w:rsidP="00CA52E2" w14:paraId="2013DC9C" w14:textId="77777777">
      <w:pPr>
        <w:pStyle w:val="Heading1"/>
        <w:rPr>
          <w:rFonts w:eastAsia="DejaVu Sans"/>
          <w:lang w:val="nl-NL" w:eastAsia="nl-NL"/>
        </w:rPr>
      </w:pPr>
    </w:p>
    <w:p w:rsidR="00463884" w:rsidP="00CA52E2" w14:paraId="53AFEF5B" w14:textId="77777777">
      <w:pPr>
        <w:pStyle w:val="Heading1"/>
        <w:rPr>
          <w:rFonts w:eastAsia="DejaVu Sans"/>
          <w:lang w:val="nl-NL" w:eastAsia="nl-NL"/>
        </w:rPr>
      </w:pPr>
    </w:p>
    <w:p w:rsidR="00463884" w:rsidP="00CA52E2" w14:paraId="72E82288" w14:textId="77777777">
      <w:pPr>
        <w:pStyle w:val="Heading1"/>
        <w:rPr>
          <w:rFonts w:eastAsia="DejaVu Sans"/>
          <w:lang w:val="nl-NL" w:eastAsia="nl-NL"/>
        </w:rPr>
      </w:pPr>
    </w:p>
    <w:p w:rsidR="00463884" w:rsidP="00CA52E2" w14:paraId="509323A9" w14:textId="77777777">
      <w:pPr>
        <w:pStyle w:val="Heading1"/>
        <w:rPr>
          <w:rFonts w:eastAsia="DejaVu Sans"/>
          <w:lang w:val="nl-NL" w:eastAsia="nl-NL"/>
        </w:rPr>
      </w:pPr>
    </w:p>
    <w:p w:rsidR="00463884" w:rsidP="00463884" w14:paraId="3AC26C90" w14:textId="77777777">
      <w:pPr>
        <w:rPr>
          <w:lang w:val="nl-NL" w:eastAsia="nl-NL"/>
        </w:rPr>
      </w:pPr>
    </w:p>
    <w:p w:rsidR="00463884" w:rsidP="00463884" w14:paraId="5248B77A" w14:textId="77777777">
      <w:pPr>
        <w:rPr>
          <w:lang w:val="nl-NL" w:eastAsia="nl-NL"/>
        </w:rPr>
      </w:pPr>
    </w:p>
    <w:p w:rsidRPr="00463884" w:rsidR="00463884" w:rsidP="00463884" w14:paraId="6B66D41C" w14:textId="77777777">
      <w:pPr>
        <w:rPr>
          <w:lang w:val="nl-NL" w:eastAsia="nl-NL"/>
        </w:rPr>
      </w:pPr>
    </w:p>
    <w:p w:rsidRPr="00257BCA" w:rsidR="00257BCA" w:rsidP="00257BCA" w14:paraId="00C544BF" w14:textId="77777777">
      <w:pPr>
        <w:keepNext/>
        <w:keepLines/>
        <w:spacing w:before="240" w:after="0"/>
        <w:outlineLvl w:val="0"/>
        <w:rPr>
          <w:rFonts w:eastAsia="DejaVu Sans" w:cstheme="majorBidi"/>
          <w:b/>
          <w:sz w:val="22"/>
          <w:szCs w:val="32"/>
          <w:lang w:val="nl-NL" w:eastAsia="nl-NL"/>
        </w:rPr>
      </w:pPr>
      <w:bookmarkStart w:name="_Toc219197437" w:id="0"/>
      <w:r w:rsidRPr="00257BCA">
        <w:rPr>
          <w:rFonts w:eastAsia="DejaVu Sans" w:cstheme="majorBidi"/>
          <w:b/>
          <w:sz w:val="22"/>
          <w:szCs w:val="32"/>
          <w:lang w:val="nl-NL" w:eastAsia="nl-NL"/>
        </w:rPr>
        <w:t>Landelijk afspraken Woningbouw en Mobiliteit</w:t>
      </w:r>
      <w:bookmarkEnd w:id="0"/>
    </w:p>
    <w:p w:rsidRPr="00257BCA" w:rsidR="00257BCA" w:rsidP="00257BCA" w14:paraId="2AEB0823" w14:textId="77777777">
      <w:pPr>
        <w:rPr>
          <w:i/>
          <w:lang w:val="nl-NL" w:eastAsia="nl-NL"/>
        </w:rPr>
      </w:pPr>
      <w:r w:rsidRPr="00257BCA">
        <w:rPr>
          <w:i/>
          <w:lang w:val="nl-NL" w:eastAsia="nl-NL"/>
        </w:rPr>
        <w:t>Onderstaande afspraken zijn met alle regio’s gemaakt. Nadere regiospecifieke afspraken zijn per regio terug te vinden.</w:t>
      </w:r>
    </w:p>
    <w:tbl>
      <w:tblPr>
        <w:tblStyle w:val="TableGrid"/>
        <w:tblW w:w="0" w:type="auto"/>
        <w:tblInd w:w="0" w:type="dxa"/>
        <w:tblLook w:val="04A0"/>
      </w:tblPr>
      <w:tblGrid>
        <w:gridCol w:w="561"/>
        <w:gridCol w:w="8453"/>
      </w:tblGrid>
      <w:tr w:rsidTr="00E64472" w14:paraId="32BE4C7D" w14:textId="77777777">
        <w:tblPrEx>
          <w:tblW w:w="0" w:type="auto"/>
          <w:tblInd w:w="0" w:type="dxa"/>
          <w:tblLook w:val="04A0"/>
        </w:tblPrEx>
        <w:tc>
          <w:tcPr>
            <w:tcW w:w="561" w:type="dxa"/>
          </w:tcPr>
          <w:p w:rsidRPr="00257BCA" w:rsidR="00257BCA" w:rsidP="00257BCA" w14:paraId="01E58C77" w14:textId="1487CF8D">
            <w:pPr>
              <w:autoSpaceDN/>
              <w:spacing w:after="160" w:line="240" w:lineRule="exact"/>
              <w:textAlignment w:val="auto"/>
              <w:rPr>
                <w:rFonts w:eastAsiaTheme="minorHAnsi" w:cstheme="minorBidi"/>
                <w:b/>
                <w:bCs/>
                <w:color w:val="auto"/>
                <w:szCs w:val="22"/>
                <w:lang w:val="en-US" w:eastAsia="en-US"/>
              </w:rPr>
            </w:pPr>
            <w:r w:rsidRPr="00257BCA">
              <w:rPr>
                <w:rFonts w:eastAsiaTheme="minorHAnsi" w:cstheme="minorBidi"/>
                <w:b/>
                <w:bCs/>
                <w:color w:val="auto"/>
                <w:szCs w:val="22"/>
                <w:lang w:val="en-US" w:eastAsia="en-US"/>
              </w:rPr>
              <w:t>1</w:t>
            </w:r>
          </w:p>
        </w:tc>
        <w:tc>
          <w:tcPr>
            <w:tcW w:w="8453" w:type="dxa"/>
          </w:tcPr>
          <w:p w:rsidRPr="00257BCA" w:rsidR="00257BCA" w:rsidP="00257BCA" w14:paraId="5E4A6441" w14:textId="77777777">
            <w:pPr>
              <w:keepNext/>
              <w:keepLines/>
              <w:autoSpaceDN/>
              <w:spacing w:before="40"/>
              <w:contextualSpacing/>
              <w:textAlignment w:val="auto"/>
              <w:outlineLvl w:val="2"/>
              <w:rPr>
                <w:rFonts w:eastAsiaTheme="majorEastAsia" w:cstheme="majorBidi"/>
                <w:b/>
                <w:bCs/>
                <w:color w:val="auto"/>
                <w:lang w:eastAsia="en-US"/>
              </w:rPr>
            </w:pPr>
            <w:bookmarkStart w:name="_Toc216884626" w:id="1"/>
            <w:bookmarkStart w:name="_Toc217048127" w:id="2"/>
            <w:bookmarkStart w:name="_Toc219197438" w:id="3"/>
            <w:r w:rsidRPr="00257BCA">
              <w:rPr>
                <w:rFonts w:eastAsiaTheme="majorEastAsia" w:cstheme="majorBidi"/>
                <w:b/>
                <w:bCs/>
                <w:color w:val="auto"/>
                <w:lang w:eastAsia="en-US"/>
              </w:rPr>
              <w:t>Risicoverdeling, beheersing, programmasturing en monitoring</w:t>
            </w:r>
            <w:bookmarkEnd w:id="1"/>
            <w:bookmarkEnd w:id="2"/>
            <w:bookmarkEnd w:id="3"/>
          </w:p>
          <w:p w:rsidRPr="00257BCA" w:rsidR="00257BCA" w:rsidP="00EF0DC4" w14:paraId="66F50634" w14:textId="77777777">
            <w:pPr>
              <w:numPr>
                <w:ilvl w:val="0"/>
                <w:numId w:val="10"/>
              </w:numPr>
              <w:autoSpaceDN/>
              <w:spacing w:after="160"/>
              <w:contextualSpacing/>
              <w:textAlignment w:val="auto"/>
              <w:rPr>
                <w:rFonts w:eastAsia="Times New Roman" w:cstheme="minorBidi"/>
                <w:color w:val="auto"/>
                <w:szCs w:val="22"/>
                <w:lang w:eastAsia="en-US"/>
              </w:rPr>
            </w:pPr>
            <w:bookmarkStart w:name="_Hlk213241156" w:id="4"/>
            <w:r w:rsidRPr="00257BCA">
              <w:rPr>
                <w:rFonts w:eastAsia="Times New Roman" w:cstheme="minorBidi"/>
                <w:color w:val="auto"/>
                <w:szCs w:val="22"/>
                <w:lang w:eastAsia="en-US"/>
              </w:rPr>
              <w:t xml:space="preserve">De rijksbijdragen uit de € 2,5 miljard worden, tenzij anders afgesproken, via een specifieke uitkering beschikbaar gesteld, waarbij de compensabele btw wordt afgedragen aan het btw-compensatiefonds. </w:t>
            </w:r>
          </w:p>
          <w:p w:rsidRPr="00257BCA" w:rsidR="00257BCA" w:rsidP="00EF0DC4" w14:paraId="60FBDBA5"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Alle bedragen uit de afsprakenlijst zijn in prijspeil 2025, inclusief btw.</w:t>
            </w:r>
          </w:p>
          <w:p w:rsidRPr="00257BCA" w:rsidR="00257BCA" w:rsidP="00EF0DC4" w14:paraId="39263237"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Tot aan het moment van uitkeren wordt de Rijksbijdrage jaarlijks geïndexeerd met het door het ministerie van Financiën uitgekeerde Index Bruto Overheidsinvesteringen (IBOI)-percentage. Over de rijksbijdrage van het Gebiedsbudget vindt geen indexatie vanuit het Rijk plaats. </w:t>
            </w:r>
          </w:p>
          <w:p w:rsidRPr="00257BCA" w:rsidR="00257BCA" w:rsidP="00EF0DC4" w14:paraId="096149B1"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De rijksbijdrage vanuit de € 2,5 miljard en het Gebiedsbudget is taakstellend en de (financiële) risico’s zijn voor de gemeenten. Dit geldt voor alle afspraken, tenzij hierover expliciet een andere bestuurlijke afspraak is gemaakt. </w:t>
            </w:r>
          </w:p>
          <w:p w:rsidRPr="00257BCA" w:rsidR="00257BCA" w:rsidP="00EF0DC4" w14:paraId="7454B961" w14:textId="77777777">
            <w:pPr>
              <w:numPr>
                <w:ilvl w:val="0"/>
                <w:numId w:val="10"/>
              </w:numPr>
              <w:autoSpaceDN/>
              <w:spacing w:after="160"/>
              <w:contextualSpacing/>
              <w:textAlignment w:val="auto"/>
              <w:rPr>
                <w:rFonts w:eastAsia="Times New Roman" w:cstheme="minorBidi"/>
                <w:color w:val="auto"/>
                <w:szCs w:val="22"/>
                <w:lang w:val="en-US" w:eastAsia="en-US"/>
              </w:rPr>
            </w:pPr>
            <w:r w:rsidRPr="00257BCA">
              <w:rPr>
                <w:rFonts w:eastAsia="Times New Roman" w:cstheme="minorBidi"/>
                <w:color w:val="auto"/>
                <w:szCs w:val="22"/>
                <w:lang w:eastAsia="en-US"/>
              </w:rPr>
              <w:t xml:space="preserve">Om de scope en taakstellend budget bij deze projecten in evenwicht te houden, zullen de risico’s actief gemanaged moeten worden, uitgaande van taakstellende budgetten van rijk en regio. </w:t>
            </w:r>
            <w:r w:rsidRPr="00257BCA">
              <w:rPr>
                <w:rFonts w:eastAsia="Times New Roman" w:cstheme="minorBidi"/>
                <w:color w:val="auto"/>
                <w:szCs w:val="22"/>
                <w:lang w:val="en-US" w:eastAsia="en-US"/>
              </w:rPr>
              <w:t>Bij onvermijdbare kostenstijgingen gelden de volgende principes:</w:t>
            </w:r>
          </w:p>
          <w:p w:rsidRPr="00257BCA" w:rsidR="00257BCA" w:rsidP="00EF0DC4" w14:paraId="7158B346" w14:textId="77777777">
            <w:pPr>
              <w:numPr>
                <w:ilvl w:val="1"/>
                <w:numId w:val="12"/>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Optimaliseren binnen de gewenste scope.</w:t>
            </w:r>
          </w:p>
          <w:p w:rsidRPr="00257BCA" w:rsidR="00257BCA" w:rsidP="00EF0DC4" w14:paraId="72E27A24" w14:textId="77777777">
            <w:pPr>
              <w:numPr>
                <w:ilvl w:val="1"/>
                <w:numId w:val="12"/>
              </w:numPr>
              <w:autoSpaceDN/>
              <w:spacing w:after="160"/>
              <w:contextualSpacing/>
              <w:textAlignment w:val="auto"/>
              <w:rPr>
                <w:rFonts w:eastAsia="Times New Roman" w:cstheme="minorBidi"/>
                <w:color w:val="auto"/>
                <w:szCs w:val="22"/>
                <w:lang w:val="en-US" w:eastAsia="en-US"/>
              </w:rPr>
            </w:pPr>
            <w:r w:rsidRPr="00257BCA">
              <w:rPr>
                <w:rFonts w:eastAsia="Times New Roman" w:cstheme="minorBidi"/>
                <w:color w:val="auto"/>
                <w:szCs w:val="22"/>
                <w:lang w:val="en-US" w:eastAsia="en-US"/>
              </w:rPr>
              <w:t>Aanpassen van de scope.</w:t>
            </w:r>
          </w:p>
          <w:p w:rsidRPr="00257BCA" w:rsidR="00257BCA" w:rsidP="00EF0DC4" w14:paraId="75749EB3" w14:textId="77777777">
            <w:pPr>
              <w:numPr>
                <w:ilvl w:val="1"/>
                <w:numId w:val="12"/>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Project faseren, uitstellen of stopzetten.</w:t>
            </w:r>
          </w:p>
          <w:p w:rsidRPr="00257BCA" w:rsidR="00257BCA" w:rsidP="00EF0DC4" w14:paraId="15F94153" w14:textId="77777777">
            <w:pPr>
              <w:numPr>
                <w:ilvl w:val="1"/>
                <w:numId w:val="12"/>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Programmatisch faseren van projectenportefeuille in de regio.</w:t>
            </w:r>
          </w:p>
          <w:p w:rsidRPr="00257BCA" w:rsidR="00257BCA" w:rsidP="00EF0DC4" w14:paraId="164BD037" w14:textId="77777777">
            <w:pPr>
              <w:numPr>
                <w:ilvl w:val="1"/>
                <w:numId w:val="12"/>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Rijk en regio treden in overleg over een combinatie van deze maatregelen op basis van het dan beschikbare budget.</w:t>
            </w:r>
          </w:p>
          <w:p w:rsidRPr="00257BCA" w:rsidR="00257BCA" w:rsidP="00EF0DC4" w14:paraId="757F9742"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Vanuit de beheersing worden periodieke voortgangsgesprekken gevoerd met gemeenten of projectorganisaties over de te realiseren mobiliteitsmaatregelen en woningen. Tijdens deze voortgangsgesprekken wordt onder andere gesproken over het mitigeren van risico’s en het benutten van kansen, of adaptief anders inzetten van middelen voor een optimale bereikbaarheid van de woningbouwlocaties.</w:t>
            </w:r>
          </w:p>
          <w:p w:rsidRPr="00257BCA" w:rsidR="00257BCA" w:rsidP="00EF0DC4" w14:paraId="2DFF35C3" w14:textId="722CCA37">
            <w:pPr>
              <w:numPr>
                <w:ilvl w:val="0"/>
                <w:numId w:val="10"/>
              </w:numPr>
              <w:autoSpaceDN/>
              <w:spacing w:after="160"/>
              <w:contextualSpacing/>
              <w:textAlignment w:val="auto"/>
              <w:rPr>
                <w:rFonts w:eastAsia="Calibri" w:cs="Times New Roman"/>
                <w:color w:val="auto"/>
                <w:kern w:val="2"/>
                <w:szCs w:val="22"/>
                <w:lang w:eastAsia="en-US"/>
              </w:rPr>
            </w:pPr>
            <w:r w:rsidRPr="00257BCA">
              <w:rPr>
                <w:rFonts w:eastAsia="Times New Roman" w:cstheme="minorBidi"/>
                <w:color w:val="auto"/>
                <w:szCs w:val="22"/>
                <w:lang w:eastAsia="en-US"/>
              </w:rPr>
              <w:t>Voor de borging van de wederzijdse afspraken vindt verantwoording en rapportage over alle afspraken plaats conform de verantwoordingssystematiek SiSa en via een jaarlijkse uitvraag van beleidsinformatie.</w:t>
            </w:r>
            <w:bookmarkEnd w:id="4"/>
          </w:p>
        </w:tc>
      </w:tr>
      <w:tr w:rsidTr="00E64472" w14:paraId="3F44A5C7" w14:textId="77777777">
        <w:tblPrEx>
          <w:tblW w:w="0" w:type="auto"/>
          <w:tblInd w:w="0" w:type="dxa"/>
          <w:tblLook w:val="04A0"/>
        </w:tblPrEx>
        <w:tc>
          <w:tcPr>
            <w:tcW w:w="561" w:type="dxa"/>
          </w:tcPr>
          <w:p w:rsidRPr="00257BCA" w:rsidR="00257BCA" w:rsidP="00257BCA" w14:paraId="4989184C" w14:textId="51D3B360">
            <w:pPr>
              <w:autoSpaceDN/>
              <w:spacing w:after="160" w:line="240" w:lineRule="exact"/>
              <w:textAlignment w:val="auto"/>
              <w:rPr>
                <w:rFonts w:eastAsiaTheme="minorHAnsi" w:cstheme="minorBidi"/>
                <w:b/>
                <w:bCs/>
                <w:color w:val="auto"/>
                <w:szCs w:val="22"/>
                <w:highlight w:val="yellow"/>
                <w:lang w:val="en-US" w:eastAsia="en-US"/>
              </w:rPr>
            </w:pPr>
            <w:r w:rsidRPr="00257BCA">
              <w:rPr>
                <w:rFonts w:eastAsiaTheme="minorHAnsi" w:cstheme="minorBidi"/>
                <w:b/>
                <w:bCs/>
                <w:color w:val="auto"/>
                <w:szCs w:val="22"/>
                <w:lang w:val="en-US" w:eastAsia="en-US"/>
              </w:rPr>
              <w:t>2</w:t>
            </w:r>
          </w:p>
        </w:tc>
        <w:tc>
          <w:tcPr>
            <w:tcW w:w="8453" w:type="dxa"/>
          </w:tcPr>
          <w:p w:rsidRPr="00257BCA" w:rsidR="00257BCA" w:rsidP="00257BCA" w14:paraId="2B7600FD" w14:textId="77777777">
            <w:pPr>
              <w:keepNext/>
              <w:keepLines/>
              <w:autoSpaceDN/>
              <w:spacing w:before="40"/>
              <w:textAlignment w:val="auto"/>
              <w:outlineLvl w:val="2"/>
              <w:rPr>
                <w:rFonts w:eastAsiaTheme="majorEastAsia" w:cstheme="majorBidi"/>
                <w:b/>
                <w:bCs/>
                <w:color w:val="auto"/>
                <w:lang w:eastAsia="en-US"/>
              </w:rPr>
            </w:pPr>
            <w:bookmarkStart w:name="_Toc216884627" w:id="5"/>
            <w:bookmarkStart w:name="_Toc217048128" w:id="6"/>
            <w:bookmarkStart w:name="_Toc219197439" w:id="7"/>
            <w:r w:rsidRPr="00257BCA">
              <w:rPr>
                <w:rFonts w:eastAsiaTheme="majorEastAsia" w:cstheme="majorBidi"/>
                <w:b/>
                <w:bCs/>
                <w:color w:val="auto"/>
                <w:lang w:eastAsia="en-US"/>
              </w:rPr>
              <w:t>Woningbouw op korte termijn (WoKT)</w:t>
            </w:r>
            <w:bookmarkEnd w:id="5"/>
            <w:bookmarkEnd w:id="6"/>
            <w:bookmarkEnd w:id="7"/>
          </w:p>
          <w:p w:rsidRPr="00257BCA" w:rsidR="00257BCA" w:rsidP="00EF0DC4" w14:paraId="6910BA88" w14:textId="77777777">
            <w:pPr>
              <w:numPr>
                <w:ilvl w:val="0"/>
                <w:numId w:val="10"/>
              </w:numPr>
              <w:autoSpaceDN/>
              <w:spacing w:after="160"/>
              <w:ind w:hanging="357"/>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Van de € 2,5 miljard is ca € 1,3 miljard beschikbaar gesteld voor Woningbouw op Korte Termijn (WoKT) afspraken. Hierbij gaat het om bovenplanse nationale, regionale en lokale infrastructuurmaatregelen die nodig zijn om woningbouwlocaties in heel Nederland te ontsluiten en bereikbaar te maken. </w:t>
            </w:r>
          </w:p>
          <w:p w:rsidRPr="00257BCA" w:rsidR="00257BCA" w:rsidP="00EF0DC4" w14:paraId="41D0DE54" w14:textId="77777777">
            <w:pPr>
              <w:numPr>
                <w:ilvl w:val="0"/>
                <w:numId w:val="10"/>
              </w:numPr>
              <w:autoSpaceDN/>
              <w:spacing w:after="160"/>
              <w:ind w:hanging="357"/>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Alle Nederlandse gemeenten hebben een aanvraag in kunnen dienen om aanspraak te maken op de WoKT. </w:t>
            </w:r>
          </w:p>
          <w:p w:rsidRPr="00257BCA" w:rsidR="00257BCA" w:rsidP="00EF0DC4" w14:paraId="04EE1E14" w14:textId="77777777">
            <w:pPr>
              <w:numPr>
                <w:ilvl w:val="0"/>
                <w:numId w:val="10"/>
              </w:numPr>
              <w:autoSpaceDN/>
              <w:spacing w:after="160"/>
              <w:ind w:hanging="357"/>
              <w:contextualSpacing/>
              <w:textAlignment w:val="auto"/>
              <w:rPr>
                <w:rFonts w:eastAsia="Times New Roman" w:cstheme="minorBidi"/>
                <w:color w:val="auto"/>
                <w:szCs w:val="22"/>
                <w:lang w:val="en-US" w:eastAsia="en-US"/>
              </w:rPr>
            </w:pPr>
            <w:r w:rsidRPr="00257BCA">
              <w:rPr>
                <w:rFonts w:eastAsia="Times New Roman" w:cstheme="minorBidi"/>
                <w:color w:val="auto"/>
                <w:szCs w:val="22"/>
                <w:lang w:eastAsia="en-US"/>
              </w:rPr>
              <w:t xml:space="preserve">De ingediende aanvragen zijn beoordeeld en geprioriteerd op basis van de criteria die zijn vastgesteld in de Ministerraad van 14 maart 2025. </w:t>
            </w:r>
            <w:r w:rsidRPr="00257BCA">
              <w:rPr>
                <w:rFonts w:eastAsia="Times New Roman" w:cstheme="minorBidi"/>
                <w:color w:val="auto"/>
                <w:szCs w:val="22"/>
                <w:lang w:val="en-US" w:eastAsia="en-US"/>
              </w:rPr>
              <w:t xml:space="preserve">De knock-out criteria zijn: </w:t>
            </w:r>
          </w:p>
          <w:p w:rsidRPr="00257BCA" w:rsidR="00257BCA" w:rsidP="00EF0DC4" w14:paraId="3E048569" w14:textId="77777777">
            <w:pPr>
              <w:numPr>
                <w:ilvl w:val="1"/>
                <w:numId w:val="12"/>
              </w:numPr>
              <w:autoSpaceDN/>
              <w:spacing w:after="160"/>
              <w:ind w:hanging="357"/>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Snelheid: Startbouw woningen binnen 5 jaar.</w:t>
            </w:r>
          </w:p>
          <w:p w:rsidRPr="00257BCA" w:rsidR="00257BCA" w:rsidP="00EF0DC4" w14:paraId="4E7EE410" w14:textId="77777777">
            <w:pPr>
              <w:numPr>
                <w:ilvl w:val="1"/>
                <w:numId w:val="12"/>
              </w:numPr>
              <w:autoSpaceDN/>
              <w:spacing w:after="160"/>
              <w:ind w:hanging="357"/>
              <w:contextualSpacing/>
              <w:textAlignment w:val="auto"/>
              <w:rPr>
                <w:rFonts w:eastAsia="Times New Roman" w:cstheme="minorBidi"/>
                <w:color w:val="auto"/>
                <w:szCs w:val="22"/>
                <w:lang w:val="en-US" w:eastAsia="en-US"/>
              </w:rPr>
            </w:pPr>
            <w:r w:rsidRPr="00257BCA">
              <w:rPr>
                <w:rFonts w:eastAsia="Times New Roman" w:cstheme="minorBidi"/>
                <w:color w:val="auto"/>
                <w:szCs w:val="22"/>
                <w:lang w:val="en-US" w:eastAsia="en-US"/>
              </w:rPr>
              <w:t>Minimaal 200 woningen.</w:t>
            </w:r>
          </w:p>
          <w:p w:rsidRPr="00257BCA" w:rsidR="00257BCA" w:rsidP="00EF0DC4" w14:paraId="75000842" w14:textId="77777777">
            <w:pPr>
              <w:numPr>
                <w:ilvl w:val="1"/>
                <w:numId w:val="12"/>
              </w:numPr>
              <w:autoSpaceDN/>
              <w:spacing w:after="160"/>
              <w:ind w:hanging="357"/>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Maximale percentage rijksbijdrage van 65% van het financieel tekort.</w:t>
            </w:r>
          </w:p>
          <w:p w:rsidRPr="00257BCA" w:rsidR="00257BCA" w:rsidP="00EF0DC4" w14:paraId="1D49D300" w14:textId="77777777">
            <w:pPr>
              <w:numPr>
                <w:ilvl w:val="1"/>
                <w:numId w:val="12"/>
              </w:numPr>
              <w:autoSpaceDN/>
              <w:spacing w:after="160"/>
              <w:ind w:hanging="357"/>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Rendement: maximale rijksbijdrage van 20.000 euro per woning (inclusief btw).</w:t>
            </w:r>
          </w:p>
          <w:p w:rsidRPr="00257BCA" w:rsidR="00257BCA" w:rsidP="00EF0DC4" w14:paraId="343066C4" w14:textId="77777777">
            <w:pPr>
              <w:numPr>
                <w:ilvl w:val="0"/>
                <w:numId w:val="10"/>
              </w:numPr>
              <w:autoSpaceDN/>
              <w:spacing w:after="160"/>
              <w:ind w:hanging="357"/>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Vervolgens zijn de voorstellen beoordeeld op de link tussen de te realiseren infrastructuur en de woningbouw, maakbaarheid/realisme, een uitvoerbaarheidstoets door ProRail en Rijkswaterstaat en de effecten op de hoofdnetwerken. </w:t>
            </w:r>
          </w:p>
          <w:p w:rsidRPr="00257BCA" w:rsidR="00257BCA" w:rsidP="00EF0DC4" w14:paraId="3FE336C8" w14:textId="77777777">
            <w:pPr>
              <w:numPr>
                <w:ilvl w:val="0"/>
                <w:numId w:val="10"/>
              </w:numPr>
              <w:autoSpaceDN/>
              <w:spacing w:after="160"/>
              <w:ind w:hanging="357"/>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Hierop volgend heeft besluitvorming over de verdeling van de middelen door het kabinet plaatsgevonden. </w:t>
            </w:r>
          </w:p>
          <w:p w:rsidRPr="00257BCA" w:rsidR="00257BCA" w:rsidP="00EF0DC4" w14:paraId="0AB97EBC" w14:textId="77777777">
            <w:pPr>
              <w:numPr>
                <w:ilvl w:val="0"/>
                <w:numId w:val="10"/>
              </w:numPr>
              <w:autoSpaceDN/>
              <w:spacing w:after="160"/>
              <w:ind w:hanging="357"/>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De volgende realisatietermijnen zijn van toepassing:</w:t>
            </w:r>
          </w:p>
          <w:p w:rsidRPr="00257BCA" w:rsidR="00257BCA" w:rsidP="00EF0DC4" w14:paraId="093FB13E" w14:textId="77777777">
            <w:pPr>
              <w:numPr>
                <w:ilvl w:val="1"/>
                <w:numId w:val="12"/>
              </w:numPr>
              <w:autoSpaceDN/>
              <w:spacing w:after="160"/>
              <w:ind w:hanging="357"/>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Start bouw eerste woning uiterlijk in 2030.</w:t>
            </w:r>
          </w:p>
          <w:p w:rsidRPr="00257BCA" w:rsidR="00257BCA" w:rsidP="00EF0DC4" w14:paraId="6B7F3AD0" w14:textId="77777777">
            <w:pPr>
              <w:numPr>
                <w:ilvl w:val="1"/>
                <w:numId w:val="12"/>
              </w:numPr>
              <w:autoSpaceDN/>
              <w:spacing w:after="160"/>
              <w:ind w:hanging="357"/>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Start realisatie van de eerste infrastructurele maatregelen uit het pakket uiterlijk in 2030. </w:t>
            </w:r>
          </w:p>
          <w:p w:rsidRPr="00257BCA" w:rsidR="00257BCA" w:rsidP="00EF0DC4" w14:paraId="0B002C9C" w14:textId="77777777">
            <w:pPr>
              <w:numPr>
                <w:ilvl w:val="1"/>
                <w:numId w:val="12"/>
              </w:numPr>
              <w:autoSpaceDN/>
              <w:spacing w:after="160"/>
              <w:ind w:hanging="357"/>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Start realisatie laatste woning uiterlijk in 2033. </w:t>
            </w:r>
          </w:p>
          <w:p w:rsidRPr="00257BCA" w:rsidR="00257BCA" w:rsidP="00EF0DC4" w14:paraId="20BC17A5" w14:textId="77777777">
            <w:pPr>
              <w:numPr>
                <w:ilvl w:val="1"/>
                <w:numId w:val="12"/>
              </w:numPr>
              <w:autoSpaceDN/>
              <w:spacing w:after="160"/>
              <w:ind w:hanging="357"/>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Afronding realisatie infrastructurele maatregelen uiterlijk in 2038.</w:t>
            </w:r>
          </w:p>
          <w:p w:rsidRPr="00257BCA" w:rsidR="00257BCA" w:rsidP="00EF0DC4" w14:paraId="6AE3C68B" w14:textId="77777777">
            <w:pPr>
              <w:numPr>
                <w:ilvl w:val="0"/>
                <w:numId w:val="10"/>
              </w:numPr>
              <w:autoSpaceDN/>
              <w:spacing w:after="160"/>
              <w:ind w:hanging="357"/>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Met de rijksbijdrage wordt maximaal 65% van het financiële tekort op de maatregelen bekostigd, met een maximum van € 20.000 rijksbijdrage per woning waarvan de bouw wordt mogelijk gemaakt. </w:t>
            </w:r>
          </w:p>
        </w:tc>
      </w:tr>
      <w:tr w:rsidTr="00E64472" w14:paraId="2FBFC5D7" w14:textId="77777777">
        <w:tblPrEx>
          <w:tblW w:w="0" w:type="auto"/>
          <w:tblInd w:w="0" w:type="dxa"/>
          <w:tblLook w:val="04A0"/>
        </w:tblPrEx>
        <w:tc>
          <w:tcPr>
            <w:tcW w:w="561" w:type="dxa"/>
          </w:tcPr>
          <w:p w:rsidRPr="00257BCA" w:rsidR="00257BCA" w:rsidP="00257BCA" w14:paraId="479890B2" w14:textId="18FCD681">
            <w:pPr>
              <w:autoSpaceDN/>
              <w:spacing w:after="160" w:line="240" w:lineRule="exact"/>
              <w:textAlignment w:val="auto"/>
              <w:rPr>
                <w:rFonts w:eastAsiaTheme="minorHAnsi" w:cstheme="minorBidi"/>
                <w:b/>
                <w:bCs/>
                <w:color w:val="auto"/>
                <w:szCs w:val="22"/>
                <w:highlight w:val="yellow"/>
                <w:lang w:val="en-US" w:eastAsia="en-US"/>
              </w:rPr>
            </w:pPr>
            <w:r w:rsidRPr="00257BCA">
              <w:rPr>
                <w:rFonts w:eastAsiaTheme="minorHAnsi" w:cstheme="minorBidi"/>
                <w:b/>
                <w:bCs/>
                <w:color w:val="auto"/>
                <w:szCs w:val="22"/>
                <w:lang w:val="en-US" w:eastAsia="en-US"/>
              </w:rPr>
              <w:t>3</w:t>
            </w:r>
          </w:p>
        </w:tc>
        <w:tc>
          <w:tcPr>
            <w:tcW w:w="8453" w:type="dxa"/>
          </w:tcPr>
          <w:p w:rsidRPr="00257BCA" w:rsidR="00257BCA" w:rsidP="00257BCA" w14:paraId="42F3C87E" w14:textId="77777777">
            <w:pPr>
              <w:keepNext/>
              <w:keepLines/>
              <w:autoSpaceDN/>
              <w:spacing w:before="40"/>
              <w:contextualSpacing/>
              <w:textAlignment w:val="auto"/>
              <w:outlineLvl w:val="2"/>
              <w:rPr>
                <w:rFonts w:eastAsiaTheme="majorEastAsia" w:cstheme="majorBidi"/>
                <w:b/>
                <w:bCs/>
                <w:color w:val="auto"/>
                <w:lang w:val="en-US" w:eastAsia="en-US"/>
              </w:rPr>
            </w:pPr>
            <w:bookmarkStart w:name="_Toc216884628" w:id="8"/>
            <w:bookmarkStart w:name="_Toc217048129" w:id="9"/>
            <w:bookmarkStart w:name="_Toc219197440" w:id="10"/>
            <w:r w:rsidRPr="00257BCA">
              <w:rPr>
                <w:rFonts w:eastAsiaTheme="majorEastAsia" w:cstheme="majorBidi"/>
                <w:b/>
                <w:bCs/>
                <w:color w:val="auto"/>
                <w:lang w:val="en-US" w:eastAsia="en-US"/>
              </w:rPr>
              <w:t>Nationaal grootschalige woningbouw</w:t>
            </w:r>
            <w:bookmarkEnd w:id="8"/>
            <w:bookmarkEnd w:id="9"/>
            <w:bookmarkEnd w:id="10"/>
          </w:p>
          <w:p w:rsidRPr="00257BCA" w:rsidR="00257BCA" w:rsidP="00EF0DC4" w14:paraId="1D5F5CB9"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In 2022 zijn 17 nationaal grootschalige woningbouwgebieden in Nederland aangewezen. In de ontwerp Nota Ruimte komen daar vier nationaal grootschalige </w:t>
            </w:r>
            <w:r w:rsidRPr="00257BCA">
              <w:rPr>
                <w:rFonts w:eastAsia="Times New Roman" w:cstheme="minorBidi"/>
                <w:color w:val="auto"/>
                <w:szCs w:val="22"/>
                <w:lang w:eastAsia="en-US"/>
              </w:rPr>
              <w:t xml:space="preserve">woningbouwgebieden bij: Alkmaars Kanaal, Apeldoorn Binnenstad, Spoor- en Kanaalzone (BSK), Helmond Centrum+ en Spoorzone Hengelo-Enschede (SHE). </w:t>
            </w:r>
          </w:p>
          <w:p w:rsidRPr="00257BCA" w:rsidR="00257BCA" w:rsidP="00EF0DC4" w14:paraId="6E74DB9A"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De regio heeft in gesprek met het Rijk het afgelopen half jaar gewerkt aan het actualiseren of opstellen van de businesscases van alle nationaal grootschalige woningbouwgebieden. Het doel daarbij was om de woningbouwpotentie tot en met 2034 en de daarvoor benodigde maatregelen in beeld te krijgen. </w:t>
            </w:r>
          </w:p>
          <w:p w:rsidRPr="00257BCA" w:rsidR="00257BCA" w:rsidP="00EF0DC4" w14:paraId="14199E35"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De 21 nationaal grootschalige woningbouwgebieden hebben een aanvraag in kunnen dienen om aanspraak te maken op de inframiddelen van IenW en het Gebiedsbudget van VRO.</w:t>
            </w:r>
          </w:p>
          <w:p w:rsidRPr="00257BCA" w:rsidR="00257BCA" w:rsidP="00EF0DC4" w14:paraId="35D70317"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De aanvragen en onderliggende maatregelen zijn beoordeeld op basis van het ‘Afweegkader middellange termijn’ voor de nationaal grootschalige woningbouwgebieden. Dit betekent dat de plannen onder meer getoetst zijn op woningbouwwaarde, bereikbaarheidswaarde en uitvoerbaarheid.</w:t>
            </w:r>
          </w:p>
          <w:p w:rsidRPr="00257BCA" w:rsidR="00257BCA" w:rsidP="00EF0DC4" w14:paraId="149E46CD"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Hierop volgend heeft besluitvorming over de verdeling van de middelen door het kabinet plaatsgevonden. </w:t>
            </w:r>
          </w:p>
          <w:p w:rsidRPr="00257BCA" w:rsidR="00257BCA" w:rsidP="00EF0DC4" w14:paraId="170ED7DA" w14:textId="77777777">
            <w:pPr>
              <w:numPr>
                <w:ilvl w:val="0"/>
                <w:numId w:val="10"/>
              </w:numPr>
              <w:autoSpaceDN/>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Daarbij is prioriteit gegeven aan het waarmaken van de woningbouw in de in 2022 vastgestelde 17 nationaal grootschalige woningbouwgebieden. De inzet van de schaarse infra-middelen wordt daarom tot deze 17 gebieden beperkt. </w:t>
            </w:r>
          </w:p>
          <w:p w:rsidRPr="00011E5D" w:rsidR="00011E5D" w:rsidP="00EF0DC4" w14:paraId="27907EA6" w14:textId="0CD8236C">
            <w:pPr>
              <w:pStyle w:val="ListParagraph"/>
              <w:numPr>
                <w:ilvl w:val="0"/>
                <w:numId w:val="10"/>
              </w:numPr>
              <w:rPr>
                <w:rFonts w:eastAsia="Times New Roman"/>
              </w:rPr>
            </w:pPr>
            <w:r w:rsidRPr="00011E5D">
              <w:rPr>
                <w:rFonts w:eastAsia="Times New Roman"/>
              </w:rPr>
              <w:t xml:space="preserve">De vier nieuwe nationaal grootschalige woningbouwgebieden ontvangen een bijdrage uit het Gebiedsbudget. Dit is de eerste stap die het Rijk voor deze gebieden neemt ten behoeve van de woningbouw. </w:t>
            </w:r>
            <w:r w:rsidR="00C21500">
              <w:rPr>
                <w:rFonts w:eastAsia="Times New Roman"/>
              </w:rPr>
              <w:t>Het is aan een nieuw Kabinet om te bezien hoe de noodzakelijke mobiliteitsmaatregelen alsnog geborgd kunnen worden.</w:t>
            </w:r>
          </w:p>
          <w:p w:rsidRPr="00257BCA" w:rsidR="00257BCA" w:rsidP="00257BCA" w14:paraId="32FF7EBB" w14:textId="77777777">
            <w:pPr>
              <w:keepNext/>
              <w:keepLines/>
              <w:autoSpaceDN/>
              <w:spacing w:before="40"/>
              <w:contextualSpacing/>
              <w:textAlignment w:val="auto"/>
              <w:outlineLvl w:val="2"/>
              <w:rPr>
                <w:rFonts w:eastAsiaTheme="majorEastAsia" w:cstheme="majorBidi"/>
                <w:b/>
                <w:bCs/>
                <w:color w:val="auto"/>
                <w:lang w:eastAsia="en-US"/>
              </w:rPr>
            </w:pPr>
          </w:p>
          <w:p w:rsidRPr="009A36E6" w:rsidR="00257BCA" w:rsidP="00257BCA" w14:paraId="0EAD8FAC" w14:textId="77777777">
            <w:pPr>
              <w:autoSpaceDN/>
              <w:spacing w:after="160"/>
              <w:contextualSpacing/>
              <w:textAlignment w:val="auto"/>
              <w:rPr>
                <w:rFonts w:eastAsia="Calibri" w:cs="Times New Roman"/>
                <w:b/>
                <w:bCs/>
                <w:i/>
                <w:iCs/>
                <w:color w:val="auto"/>
                <w:kern w:val="2"/>
                <w:szCs w:val="22"/>
                <w:lang w:val="en-US" w:eastAsia="en-US"/>
              </w:rPr>
            </w:pPr>
            <w:r w:rsidRPr="009A36E6">
              <w:rPr>
                <w:rFonts w:eastAsia="Calibri" w:cs="Times New Roman"/>
                <w:b/>
                <w:bCs/>
                <w:i/>
                <w:iCs/>
                <w:color w:val="auto"/>
                <w:kern w:val="2"/>
                <w:szCs w:val="22"/>
                <w:lang w:val="en-US" w:eastAsia="en-US"/>
              </w:rPr>
              <w:t>Inframiddelen</w:t>
            </w:r>
          </w:p>
          <w:p w:rsidRPr="00257BCA" w:rsidR="00257BCA" w:rsidP="00EF0DC4" w14:paraId="336D74C1"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De inframiddelen zijn bedoeld voor het bereikbaar maken van extra woningbouw tot en met 2034 in de nationaal grootschalige woningbouwgebieden. “Extra woningen” zijn woningen waarover op het BO MIRT in 2022 en het BO Leefomgeving in 2023 nog geen financiële afspraken zijn gemaakt in het kader van de € 7,5 miljard voor woningbouw en mobiliteit. </w:t>
            </w:r>
          </w:p>
          <w:p w:rsidRPr="00257BCA" w:rsidR="00257BCA" w:rsidP="00EF0DC4" w14:paraId="0924DD98"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In totaal is er ca € 1,2 miljard beschikbaar gesteld voor inframaatregelen die komen te vallen onder de reikwijdte van de regeling.</w:t>
            </w:r>
          </w:p>
          <w:p w:rsidRPr="00257BCA" w:rsidR="00257BCA" w:rsidP="00EF0DC4" w14:paraId="6655BCA6"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Daarmee kunnen ongeveer 40.000 extra woningen worden gerealiseerd tot en met 2034. </w:t>
            </w:r>
          </w:p>
          <w:p w:rsidRPr="00257BCA" w:rsidR="00257BCA" w:rsidP="00EF0DC4" w14:paraId="0233217F"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De volgende realisatietermijnen zijn van toepassing:</w:t>
            </w:r>
          </w:p>
          <w:p w:rsidRPr="00257BCA" w:rsidR="00257BCA" w:rsidP="00EF0DC4" w14:paraId="7E98BBE8" w14:textId="77777777">
            <w:pPr>
              <w:numPr>
                <w:ilvl w:val="0"/>
                <w:numId w:val="13"/>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Start realisatie laatste woning uiterlijk in 2034. </w:t>
            </w:r>
          </w:p>
          <w:p w:rsidRPr="00257BCA" w:rsidR="00257BCA" w:rsidP="00EF0DC4" w14:paraId="446DAB05" w14:textId="77777777">
            <w:pPr>
              <w:numPr>
                <w:ilvl w:val="0"/>
                <w:numId w:val="13"/>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Afronding realisatie infrastructurele maatregelen uiterlijk in 2038.</w:t>
            </w:r>
          </w:p>
          <w:p w:rsidRPr="00257BCA" w:rsidR="00257BCA" w:rsidP="00EF0DC4" w14:paraId="3E46B369" w14:textId="77777777">
            <w:pPr>
              <w:numPr>
                <w:ilvl w:val="0"/>
                <w:numId w:val="13"/>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Met de rijksbijdrage wordt maximaal 50% van het financiële tekort op regionale maatregelen bekostigd. Voor projecten met betrekking op de hoofdnetten is in sommige gevallen een andere verdeling toegepast. In deze gevallen wordt dit expliciet vermeld in de besluittekst.</w:t>
            </w:r>
          </w:p>
          <w:p w:rsidRPr="00257BCA" w:rsidR="00257BCA" w:rsidP="00257BCA" w14:paraId="395D9FC2" w14:textId="77777777">
            <w:pPr>
              <w:autoSpaceDN/>
              <w:spacing w:after="160"/>
              <w:contextualSpacing/>
              <w:textAlignment w:val="auto"/>
              <w:rPr>
                <w:rFonts w:eastAsia="Calibri" w:cs="Times New Roman"/>
                <w:i/>
                <w:iCs/>
                <w:color w:val="auto"/>
                <w:kern w:val="2"/>
                <w:szCs w:val="22"/>
                <w:lang w:eastAsia="en-US"/>
              </w:rPr>
            </w:pPr>
          </w:p>
          <w:p w:rsidRPr="009A36E6" w:rsidR="00257BCA" w:rsidP="00257BCA" w14:paraId="57C69C6F" w14:textId="77777777">
            <w:pPr>
              <w:autoSpaceDN/>
              <w:spacing w:after="160"/>
              <w:contextualSpacing/>
              <w:textAlignment w:val="auto"/>
              <w:rPr>
                <w:rFonts w:eastAsia="Calibri" w:cs="Times New Roman"/>
                <w:b/>
                <w:bCs/>
                <w:i/>
                <w:iCs/>
                <w:color w:val="auto"/>
                <w:kern w:val="2"/>
                <w:szCs w:val="22"/>
                <w:lang w:val="en-US" w:eastAsia="en-US"/>
              </w:rPr>
            </w:pPr>
            <w:r w:rsidRPr="009A36E6">
              <w:rPr>
                <w:rFonts w:eastAsia="Calibri" w:cs="Times New Roman"/>
                <w:b/>
                <w:bCs/>
                <w:i/>
                <w:iCs/>
                <w:color w:val="auto"/>
                <w:kern w:val="2"/>
                <w:szCs w:val="22"/>
                <w:lang w:val="en-US" w:eastAsia="en-US"/>
              </w:rPr>
              <w:t>Gebiedsbudget</w:t>
            </w:r>
          </w:p>
          <w:p w:rsidRPr="00257BCA" w:rsidR="00257BCA" w:rsidP="00EF0DC4" w14:paraId="796C28AF"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Het Gebiedsbudget is bedoeld voor gebiedsgerichte maatregelen, niet zijnde mobiliteits- en bereikbaarheidsmaatregelen, die nodig zijn voor de realisatie van woningen in de 21 nationaal grootschalige woningbouwgebieden en onderliggende locaties.</w:t>
            </w:r>
          </w:p>
          <w:p w:rsidRPr="00257BCA" w:rsidR="00257BCA" w:rsidP="00EF0DC4" w14:paraId="4561C406"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Deze investeringen in gebiedsgerichte maatregelen zijn als randvoorwaarden noodzakelijk om woningbouw in nationaal grootschalige woningbouwgebieden gerealiseerd te krijgen.</w:t>
            </w:r>
          </w:p>
          <w:p w:rsidRPr="00257BCA" w:rsidR="00257BCA" w:rsidP="00EF0DC4" w14:paraId="52A9FD29"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Met een bijdrage uit het Gebiedsbudget kan enerzijds woningbouw waarover eerder op het BO MIRT in 2022 en het BO leefomgeving 2023 afspraken zijn gemaakt afgemaakt worden, en anderzijds aanvullende woningbouw gerealiseerd worden tot en met 2034 in deze gebieden.</w:t>
            </w:r>
          </w:p>
          <w:p w:rsidRPr="00257BCA" w:rsidR="00257BCA" w:rsidP="00EF0DC4" w14:paraId="5E61E5B5"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Met de rijksbijdrage wordt maximaal 50% van het financiële tekort op gebiedsgerichte maatregelen bekostigd.</w:t>
            </w:r>
          </w:p>
          <w:p w:rsidRPr="00257BCA" w:rsidR="00257BCA" w:rsidP="00EF0DC4" w14:paraId="6CB64C75"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Er is circa € 877 miljoen aan Gebiedsbudget gereserveerd door dit kabinet. </w:t>
            </w:r>
          </w:p>
          <w:p w:rsidRPr="00257BCA" w:rsidR="00257BCA" w:rsidP="00EF0DC4" w14:paraId="28A02070"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 xml:space="preserve">Met de bijdrage uit Gebiedsbudget kunnen, al dan niet in combinatie met de inframiddelen, in totaal circa 128.000 woningen tot en met 2034 worden gerealiseerd. In de beschikkingen zal per gebied het aantal woningen – die samenhangen met de gebiedsmaatregelen – nader worden uitgesplitst. </w:t>
            </w:r>
          </w:p>
          <w:p w:rsidRPr="00257BCA" w:rsidR="00257BCA" w:rsidP="00EF0DC4" w14:paraId="22092CF3" w14:textId="77777777">
            <w:pPr>
              <w:numPr>
                <w:ilvl w:val="0"/>
                <w:numId w:val="10"/>
              </w:numPr>
              <w:autoSpaceDN/>
              <w:spacing w:after="160"/>
              <w:contextualSpacing/>
              <w:textAlignment w:val="auto"/>
              <w:rPr>
                <w:rFonts w:eastAsia="Times New Roman" w:cstheme="minorBidi"/>
                <w:color w:val="auto"/>
                <w:szCs w:val="22"/>
                <w:lang w:eastAsia="en-US"/>
              </w:rPr>
            </w:pPr>
            <w:r w:rsidRPr="00257BCA">
              <w:rPr>
                <w:rFonts w:eastAsia="Times New Roman" w:cstheme="minorBidi"/>
                <w:color w:val="auto"/>
                <w:szCs w:val="22"/>
                <w:lang w:eastAsia="en-US"/>
              </w:rPr>
              <w:t>In deze bijdrage zal ook rekening worden gehouden met een inschatting van de nog beschikbaar komende en toe te kennen realisatiestimulans.</w:t>
            </w:r>
          </w:p>
          <w:p w:rsidRPr="00257BCA" w:rsidR="00257BCA" w:rsidP="00EF0DC4" w14:paraId="1BB9535D" w14:textId="09E2331E">
            <w:pPr>
              <w:numPr>
                <w:ilvl w:val="0"/>
                <w:numId w:val="10"/>
              </w:numPr>
              <w:autoSpaceDN/>
              <w:spacing w:after="160"/>
              <w:contextualSpacing/>
              <w:textAlignment w:val="auto"/>
              <w:rPr>
                <w:rFonts w:eastAsiaTheme="minorHAnsi" w:cstheme="minorBidi"/>
                <w:color w:val="auto"/>
                <w:szCs w:val="22"/>
                <w:lang w:eastAsia="en-US"/>
              </w:rPr>
            </w:pPr>
            <w:r w:rsidRPr="00257BCA">
              <w:rPr>
                <w:rFonts w:eastAsia="Times New Roman" w:cstheme="minorBidi"/>
                <w:color w:val="auto"/>
                <w:szCs w:val="22"/>
                <w:lang w:eastAsia="en-US"/>
              </w:rPr>
              <w:t xml:space="preserve">Het aandeel betaalbare woningen in de nationaal grootschalige woningbouwgebieden moet passen binnen de randvoorwaarde om op regionale schaal 2/3 betaalbaar te </w:t>
            </w:r>
            <w:r w:rsidRPr="00257BCA">
              <w:rPr>
                <w:rFonts w:eastAsia="Times New Roman" w:cstheme="minorBidi"/>
                <w:color w:val="auto"/>
                <w:szCs w:val="22"/>
                <w:lang w:eastAsia="en-US"/>
              </w:rPr>
              <w:t>realiseren. Minimaal 50% van de woningen in de nationaal grootschalige woningbouwgebieden moet in het segment betaalbaar vallen.</w:t>
            </w:r>
          </w:p>
        </w:tc>
      </w:tr>
    </w:tbl>
    <w:p w:rsidR="00D50F44" w:rsidP="00D50F44" w14:paraId="44D44224" w14:textId="7D29E2D4">
      <w:pPr>
        <w:pStyle w:val="Heading1"/>
        <w:rPr>
          <w:rFonts w:eastAsia="DejaVu Sans"/>
          <w:lang w:val="nl-NL" w:eastAsia="nl-NL"/>
        </w:rPr>
      </w:pPr>
      <w:bookmarkStart w:name="_Toc219197441" w:id="11"/>
      <w:r w:rsidRPr="00FC0D88">
        <w:rPr>
          <w:rFonts w:eastAsia="DejaVu Sans"/>
          <w:lang w:val="nl-NL" w:eastAsia="nl-NL"/>
        </w:rPr>
        <w:t xml:space="preserve">Regio </w:t>
      </w:r>
      <w:r>
        <w:rPr>
          <w:rFonts w:eastAsia="DejaVu Sans"/>
          <w:lang w:val="nl-NL" w:eastAsia="nl-NL"/>
        </w:rPr>
        <w:t>Oost</w:t>
      </w:r>
      <w:r w:rsidRPr="00FC0D88">
        <w:rPr>
          <w:rFonts w:eastAsia="DejaVu Sans"/>
          <w:lang w:val="nl-NL" w:eastAsia="nl-NL"/>
        </w:rPr>
        <w:t>-Nederland</w:t>
      </w:r>
      <w:bookmarkEnd w:id="11"/>
    </w:p>
    <w:p w:rsidRPr="007F2C17" w:rsidR="007F2C17" w:rsidP="007F2C17" w14:paraId="5B57C3FE" w14:textId="77777777">
      <w:pPr>
        <w:rPr>
          <w:lang w:val="nl-NL" w:eastAsia="nl-NL"/>
        </w:rPr>
      </w:pPr>
    </w:p>
    <w:tbl>
      <w:tblPr>
        <w:tblStyle w:val="TableGrid"/>
        <w:tblW w:w="9014" w:type="dxa"/>
        <w:tblInd w:w="0" w:type="dxa"/>
        <w:tblLayout w:type="fixed"/>
        <w:tblLook w:val="04A0"/>
      </w:tblPr>
      <w:tblGrid>
        <w:gridCol w:w="561"/>
        <w:gridCol w:w="8453"/>
      </w:tblGrid>
      <w:tr w:rsidTr="008D44D3" w14:paraId="7033A48A" w14:textId="77777777">
        <w:tblPrEx>
          <w:tblW w:w="9014" w:type="dxa"/>
          <w:tblInd w:w="0" w:type="dxa"/>
          <w:tblLayout w:type="fixed"/>
          <w:tblLook w:val="04A0"/>
        </w:tblPrEx>
        <w:tc>
          <w:tcPr>
            <w:tcW w:w="561" w:type="dxa"/>
          </w:tcPr>
          <w:p w:rsidRPr="00FC0D88" w:rsidR="00D50F44" w:rsidP="000145C7" w14:paraId="1DFA3CBE" w14:textId="77777777">
            <w:pPr>
              <w:spacing w:line="240" w:lineRule="exact"/>
              <w:rPr>
                <w:b/>
                <w:bCs/>
              </w:rPr>
            </w:pPr>
            <w:r w:rsidRPr="00FC0D88">
              <w:rPr>
                <w:b/>
                <w:bCs/>
              </w:rPr>
              <w:t>1</w:t>
            </w:r>
          </w:p>
        </w:tc>
        <w:tc>
          <w:tcPr>
            <w:tcW w:w="8453" w:type="dxa"/>
          </w:tcPr>
          <w:p w:rsidRPr="003E1518" w:rsidR="00A3300F" w:rsidP="00DA57E9" w14:paraId="4DB68E5B" w14:textId="773E4708">
            <w:pPr>
              <w:pStyle w:val="NoSpacing"/>
              <w:rPr>
                <w:b/>
                <w:bCs/>
              </w:rPr>
            </w:pPr>
            <w:r w:rsidRPr="003E1518">
              <w:rPr>
                <w:b/>
                <w:bCs/>
              </w:rPr>
              <w:t>WoMo-afspraken Oost-Nederland</w:t>
            </w:r>
          </w:p>
          <w:p w:rsidRPr="003E1518" w:rsidR="00A3300F" w:rsidP="00DA57E9" w14:paraId="1B7E8821" w14:textId="77777777">
            <w:pPr>
              <w:pStyle w:val="NoSpacing"/>
              <w:rPr>
                <w:b/>
                <w:bCs/>
              </w:rPr>
            </w:pPr>
          </w:p>
          <w:p w:rsidRPr="009A36E6" w:rsidR="00D50F44" w:rsidP="00DA57E9" w14:paraId="6D7A7E42" w14:textId="70E64A20">
            <w:pPr>
              <w:pStyle w:val="NoSpacing"/>
              <w:rPr>
                <w:b/>
                <w:bCs/>
                <w:i/>
                <w:iCs/>
              </w:rPr>
            </w:pPr>
            <w:r w:rsidRPr="009A36E6">
              <w:rPr>
                <w:b/>
                <w:bCs/>
                <w:i/>
                <w:iCs/>
              </w:rPr>
              <w:t>WoKT-afspraken Oost-Nederland</w:t>
            </w:r>
          </w:p>
          <w:p w:rsidRPr="003E1518" w:rsidR="00A3300F" w:rsidP="00DA57E9" w14:paraId="279EEC54" w14:textId="77777777">
            <w:pPr>
              <w:pStyle w:val="NoSpacing"/>
              <w:rPr>
                <w:u w:val="single"/>
              </w:rPr>
            </w:pPr>
          </w:p>
          <w:tbl>
            <w:tblPr>
              <w:tblStyle w:val="TableGrid"/>
              <w:tblW w:w="8497" w:type="dxa"/>
              <w:tblInd w:w="0" w:type="dxa"/>
              <w:tblLayout w:type="fixed"/>
              <w:tblLook w:val="04A0"/>
            </w:tblPr>
            <w:tblGrid>
              <w:gridCol w:w="1372"/>
              <w:gridCol w:w="1865"/>
              <w:gridCol w:w="913"/>
              <w:gridCol w:w="1259"/>
              <w:gridCol w:w="1259"/>
              <w:gridCol w:w="1829"/>
            </w:tblGrid>
            <w:tr w:rsidTr="009935CA" w14:paraId="3F05DC29" w14:textId="77777777">
              <w:tblPrEx>
                <w:tblW w:w="8497" w:type="dxa"/>
                <w:tblInd w:w="0" w:type="dxa"/>
                <w:tblLayout w:type="fixed"/>
                <w:tblLook w:val="04A0"/>
              </w:tblPrEx>
              <w:trPr>
                <w:trHeight w:val="20"/>
              </w:trPr>
              <w:tc>
                <w:tcPr>
                  <w:tcW w:w="1372" w:type="dxa"/>
                </w:tcPr>
                <w:p w:rsidRPr="003E1518" w:rsidR="00A3300F" w:rsidP="00A3300F" w14:paraId="74D42FFB" w14:textId="77777777">
                  <w:pPr>
                    <w:rPr>
                      <w:b/>
                      <w:bCs/>
                      <w:sz w:val="16"/>
                      <w:szCs w:val="16"/>
                    </w:rPr>
                  </w:pPr>
                  <w:r w:rsidRPr="003E1518">
                    <w:rPr>
                      <w:b/>
                      <w:bCs/>
                      <w:sz w:val="16"/>
                      <w:szCs w:val="16"/>
                    </w:rPr>
                    <w:t>Naam indienende gemeente/</w:t>
                  </w:r>
                </w:p>
                <w:p w:rsidRPr="003E1518" w:rsidR="00A3300F" w:rsidP="00A3300F" w14:paraId="0B41A945" w14:textId="77777777">
                  <w:pPr>
                    <w:rPr>
                      <w:b/>
                      <w:bCs/>
                      <w:sz w:val="16"/>
                      <w:szCs w:val="16"/>
                    </w:rPr>
                  </w:pPr>
                  <w:r w:rsidRPr="003E1518">
                    <w:rPr>
                      <w:b/>
                      <w:bCs/>
                      <w:sz w:val="16"/>
                      <w:szCs w:val="16"/>
                    </w:rPr>
                    <w:t>penvoerder</w:t>
                  </w:r>
                </w:p>
                <w:p w:rsidRPr="003E1518" w:rsidR="00A3300F" w:rsidP="00A3300F" w14:paraId="710783EC" w14:textId="77777777">
                  <w:pPr>
                    <w:rPr>
                      <w:sz w:val="16"/>
                      <w:szCs w:val="16"/>
                    </w:rPr>
                  </w:pPr>
                  <w:r w:rsidRPr="003E1518">
                    <w:rPr>
                      <w:b/>
                      <w:bCs/>
                      <w:sz w:val="16"/>
                      <w:szCs w:val="16"/>
                    </w:rPr>
                    <w:t xml:space="preserve"> </w:t>
                  </w:r>
                </w:p>
              </w:tc>
              <w:tc>
                <w:tcPr>
                  <w:tcW w:w="1865" w:type="dxa"/>
                </w:tcPr>
                <w:p w:rsidRPr="003E1518" w:rsidR="00A3300F" w:rsidP="00A3300F" w14:paraId="485CD5FE" w14:textId="77777777">
                  <w:pPr>
                    <w:rPr>
                      <w:sz w:val="16"/>
                      <w:szCs w:val="16"/>
                    </w:rPr>
                  </w:pPr>
                  <w:r w:rsidRPr="003E1518">
                    <w:rPr>
                      <w:b/>
                      <w:bCs/>
                      <w:sz w:val="16"/>
                      <w:szCs w:val="16"/>
                    </w:rPr>
                    <w:t>Naam voorstel</w:t>
                  </w:r>
                </w:p>
              </w:tc>
              <w:tc>
                <w:tcPr>
                  <w:tcW w:w="913" w:type="dxa"/>
                </w:tcPr>
                <w:p w:rsidRPr="003E1518" w:rsidR="00A3300F" w:rsidP="00A3300F" w14:paraId="2C8A426C" w14:textId="77777777">
                  <w:pPr>
                    <w:rPr>
                      <w:sz w:val="16"/>
                      <w:szCs w:val="16"/>
                    </w:rPr>
                  </w:pPr>
                  <w:r w:rsidRPr="003E1518">
                    <w:rPr>
                      <w:b/>
                      <w:bCs/>
                      <w:sz w:val="16"/>
                      <w:szCs w:val="16"/>
                    </w:rPr>
                    <w:t xml:space="preserve">Aantal woningen </w:t>
                  </w:r>
                </w:p>
              </w:tc>
              <w:tc>
                <w:tcPr>
                  <w:tcW w:w="1259" w:type="dxa"/>
                </w:tcPr>
                <w:p w:rsidRPr="003E1518" w:rsidR="00A3300F" w:rsidP="00A3300F" w14:paraId="4F22F835" w14:textId="77777777">
                  <w:pPr>
                    <w:rPr>
                      <w:sz w:val="16"/>
                      <w:szCs w:val="16"/>
                    </w:rPr>
                  </w:pPr>
                  <w:r w:rsidRPr="003E1518">
                    <w:rPr>
                      <w:b/>
                      <w:bCs/>
                      <w:sz w:val="16"/>
                      <w:szCs w:val="16"/>
                    </w:rPr>
                    <w:t>Rijksbijdrage (incl. btw, prijspeil 2025)</w:t>
                  </w:r>
                </w:p>
              </w:tc>
              <w:tc>
                <w:tcPr>
                  <w:tcW w:w="1259" w:type="dxa"/>
                </w:tcPr>
                <w:p w:rsidRPr="003E1518" w:rsidR="00A3300F" w:rsidP="00A3300F" w14:paraId="0B98F454" w14:textId="77777777">
                  <w:pPr>
                    <w:rPr>
                      <w:sz w:val="16"/>
                      <w:szCs w:val="16"/>
                    </w:rPr>
                  </w:pPr>
                  <w:r w:rsidRPr="003E1518">
                    <w:rPr>
                      <w:b/>
                      <w:bCs/>
                      <w:sz w:val="16"/>
                      <w:szCs w:val="16"/>
                    </w:rPr>
                    <w:t>Regionale bijdrage (incl. btw, prijspeil 2025)</w:t>
                  </w:r>
                </w:p>
              </w:tc>
              <w:tc>
                <w:tcPr>
                  <w:tcW w:w="1829" w:type="dxa"/>
                </w:tcPr>
                <w:p w:rsidRPr="003E1518" w:rsidR="00A3300F" w:rsidP="00A3300F" w14:paraId="05E203A6" w14:textId="77777777">
                  <w:pPr>
                    <w:rPr>
                      <w:b/>
                      <w:bCs/>
                      <w:sz w:val="16"/>
                      <w:szCs w:val="16"/>
                    </w:rPr>
                  </w:pPr>
                  <w:r w:rsidRPr="003E1518">
                    <w:rPr>
                      <w:b/>
                      <w:bCs/>
                      <w:sz w:val="16"/>
                      <w:szCs w:val="16"/>
                    </w:rPr>
                    <w:t xml:space="preserve">Maatregelen </w:t>
                  </w:r>
                </w:p>
                <w:p w:rsidRPr="003E1518" w:rsidR="00A3300F" w:rsidP="00A3300F" w14:paraId="4AB2B592" w14:textId="77777777">
                  <w:pPr>
                    <w:rPr>
                      <w:b/>
                      <w:bCs/>
                      <w:sz w:val="16"/>
                      <w:szCs w:val="16"/>
                    </w:rPr>
                  </w:pPr>
                </w:p>
                <w:p w:rsidRPr="003E1518" w:rsidR="00A3300F" w:rsidP="00A3300F" w14:paraId="44EC79B5" w14:textId="77777777">
                  <w:pPr>
                    <w:rPr>
                      <w:sz w:val="16"/>
                      <w:szCs w:val="16"/>
                    </w:rPr>
                  </w:pPr>
                </w:p>
              </w:tc>
            </w:tr>
            <w:tr w:rsidTr="009935CA" w14:paraId="5CFD7CCA" w14:textId="77777777">
              <w:tblPrEx>
                <w:tblW w:w="8497" w:type="dxa"/>
                <w:tblInd w:w="0" w:type="dxa"/>
                <w:tblLayout w:type="fixed"/>
                <w:tblLook w:val="04A0"/>
              </w:tblPrEx>
              <w:trPr>
                <w:trHeight w:val="20"/>
              </w:trPr>
              <w:tc>
                <w:tcPr>
                  <w:tcW w:w="1372" w:type="dxa"/>
                  <w:hideMark/>
                </w:tcPr>
                <w:p w:rsidRPr="003E1518" w:rsidR="00A3300F" w:rsidP="00A3300F" w14:paraId="5EDBEEB4" w14:textId="77777777">
                  <w:pPr>
                    <w:rPr>
                      <w:rFonts w:eastAsia="Times New Roman" w:cs="Calibri"/>
                      <w:sz w:val="16"/>
                      <w:szCs w:val="16"/>
                    </w:rPr>
                  </w:pPr>
                  <w:r w:rsidRPr="003E1518">
                    <w:rPr>
                      <w:rFonts w:eastAsia="Times New Roman" w:cs="Calibri"/>
                      <w:sz w:val="16"/>
                      <w:szCs w:val="16"/>
                    </w:rPr>
                    <w:t>Apeldoorn</w:t>
                  </w:r>
                </w:p>
              </w:tc>
              <w:tc>
                <w:tcPr>
                  <w:tcW w:w="1865" w:type="dxa"/>
                  <w:hideMark/>
                </w:tcPr>
                <w:p w:rsidRPr="003E1518" w:rsidR="00A3300F" w:rsidP="00A3300F" w14:paraId="3661591E" w14:textId="77777777">
                  <w:pPr>
                    <w:rPr>
                      <w:rFonts w:eastAsia="Times New Roman" w:cs="Calibri"/>
                      <w:sz w:val="16"/>
                      <w:szCs w:val="16"/>
                    </w:rPr>
                  </w:pPr>
                  <w:r w:rsidRPr="003E1518">
                    <w:rPr>
                      <w:rFonts w:eastAsia="Times New Roman" w:cs="Calibri"/>
                      <w:sz w:val="16"/>
                      <w:szCs w:val="16"/>
                    </w:rPr>
                    <w:t>Ontsluiting en</w:t>
                  </w:r>
                  <w:r w:rsidRPr="003E1518">
                    <w:rPr>
                      <w:rFonts w:eastAsia="Times New Roman" w:cs="Calibri"/>
                      <w:sz w:val="16"/>
                      <w:szCs w:val="16"/>
                    </w:rPr>
                    <w:br/>
                    <w:t>geluidsschermen Host-City</w:t>
                  </w:r>
                </w:p>
              </w:tc>
              <w:tc>
                <w:tcPr>
                  <w:tcW w:w="913" w:type="dxa"/>
                </w:tcPr>
                <w:p w:rsidRPr="003E1518" w:rsidR="00A3300F" w:rsidP="00A3300F" w14:paraId="4FA492B0" w14:textId="77777777">
                  <w:pPr>
                    <w:rPr>
                      <w:rFonts w:eastAsia="Times New Roman" w:cs="Times New Roman"/>
                      <w:sz w:val="16"/>
                      <w:szCs w:val="16"/>
                    </w:rPr>
                  </w:pPr>
                  <w:r w:rsidRPr="003E1518">
                    <w:rPr>
                      <w:rFonts w:cs="Calibri"/>
                      <w:sz w:val="16"/>
                      <w:szCs w:val="16"/>
                    </w:rPr>
                    <w:t>300</w:t>
                  </w:r>
                </w:p>
              </w:tc>
              <w:tc>
                <w:tcPr>
                  <w:tcW w:w="1259" w:type="dxa"/>
                </w:tcPr>
                <w:p w:rsidRPr="003E1518" w:rsidR="00A3300F" w:rsidP="00A3300F" w14:paraId="779C4C04" w14:textId="77777777">
                  <w:pPr>
                    <w:rPr>
                      <w:rFonts w:eastAsia="Times New Roman" w:cs="Times New Roman"/>
                      <w:sz w:val="16"/>
                      <w:szCs w:val="16"/>
                    </w:rPr>
                  </w:pPr>
                  <w:r w:rsidRPr="003E1518">
                    <w:rPr>
                      <w:rFonts w:cs="Calibri"/>
                      <w:sz w:val="16"/>
                      <w:szCs w:val="16"/>
                    </w:rPr>
                    <w:t>€ 2.980.915</w:t>
                  </w:r>
                </w:p>
              </w:tc>
              <w:tc>
                <w:tcPr>
                  <w:tcW w:w="1259" w:type="dxa"/>
                </w:tcPr>
                <w:p w:rsidRPr="003E1518" w:rsidR="00A3300F" w:rsidP="00A3300F" w14:paraId="421D2CBD" w14:textId="77777777">
                  <w:pPr>
                    <w:rPr>
                      <w:rFonts w:eastAsia="Times New Roman" w:cs="Times New Roman"/>
                      <w:sz w:val="16"/>
                      <w:szCs w:val="16"/>
                    </w:rPr>
                  </w:pPr>
                  <w:r w:rsidRPr="003E1518">
                    <w:rPr>
                      <w:rFonts w:cs="Calibri"/>
                      <w:sz w:val="16"/>
                      <w:szCs w:val="16"/>
                    </w:rPr>
                    <w:t>€ 11.983.577</w:t>
                  </w:r>
                </w:p>
              </w:tc>
              <w:tc>
                <w:tcPr>
                  <w:tcW w:w="1829" w:type="dxa"/>
                </w:tcPr>
                <w:p w:rsidRPr="003E1518" w:rsidR="00A3300F" w:rsidP="00A3300F" w14:paraId="744A2F17" w14:textId="77777777">
                  <w:pPr>
                    <w:rPr>
                      <w:rFonts w:eastAsia="Times New Roman" w:cs="Times New Roman"/>
                      <w:sz w:val="16"/>
                      <w:szCs w:val="16"/>
                    </w:rPr>
                  </w:pPr>
                  <w:r w:rsidRPr="003E1518">
                    <w:rPr>
                      <w:rFonts w:cs="Calibri"/>
                      <w:sz w:val="16"/>
                      <w:szCs w:val="16"/>
                    </w:rPr>
                    <w:t>Aanleg ontsluitingsweg, herinrichting vanen kruisingen, aanleg geluidsschermen</w:t>
                  </w:r>
                </w:p>
              </w:tc>
            </w:tr>
            <w:tr w:rsidTr="009935CA" w14:paraId="0D759B51" w14:textId="77777777">
              <w:tblPrEx>
                <w:tblW w:w="8497" w:type="dxa"/>
                <w:tblInd w:w="0" w:type="dxa"/>
                <w:tblLayout w:type="fixed"/>
                <w:tblLook w:val="04A0"/>
              </w:tblPrEx>
              <w:trPr>
                <w:trHeight w:val="20"/>
              </w:trPr>
              <w:tc>
                <w:tcPr>
                  <w:tcW w:w="1372" w:type="dxa"/>
                  <w:hideMark/>
                </w:tcPr>
                <w:p w:rsidRPr="003E1518" w:rsidR="00A3300F" w:rsidP="00A3300F" w14:paraId="03A93FE8" w14:textId="77777777">
                  <w:pPr>
                    <w:rPr>
                      <w:rFonts w:eastAsia="Times New Roman" w:cs="Calibri"/>
                      <w:sz w:val="16"/>
                      <w:szCs w:val="16"/>
                    </w:rPr>
                  </w:pPr>
                  <w:r w:rsidRPr="003E1518">
                    <w:rPr>
                      <w:rFonts w:eastAsia="Times New Roman" w:cs="Calibri"/>
                      <w:sz w:val="16"/>
                      <w:szCs w:val="16"/>
                    </w:rPr>
                    <w:t>Arnhem</w:t>
                  </w:r>
                </w:p>
              </w:tc>
              <w:tc>
                <w:tcPr>
                  <w:tcW w:w="1865" w:type="dxa"/>
                  <w:hideMark/>
                </w:tcPr>
                <w:p w:rsidRPr="003E1518" w:rsidR="00A3300F" w:rsidP="00A3300F" w14:paraId="0F0557B0" w14:textId="77777777">
                  <w:pPr>
                    <w:rPr>
                      <w:rFonts w:eastAsia="Times New Roman" w:cs="Calibri"/>
                      <w:sz w:val="16"/>
                      <w:szCs w:val="16"/>
                    </w:rPr>
                  </w:pPr>
                  <w:r w:rsidRPr="003E1518">
                    <w:rPr>
                      <w:rFonts w:eastAsia="Times New Roman" w:cs="Calibri"/>
                      <w:sz w:val="16"/>
                      <w:szCs w:val="16"/>
                    </w:rPr>
                    <w:t>Veluwewaalpad</w:t>
                  </w:r>
                </w:p>
              </w:tc>
              <w:tc>
                <w:tcPr>
                  <w:tcW w:w="913" w:type="dxa"/>
                </w:tcPr>
                <w:p w:rsidRPr="003E1518" w:rsidR="00A3300F" w:rsidP="00A3300F" w14:paraId="5B01BB73" w14:textId="77777777">
                  <w:pPr>
                    <w:rPr>
                      <w:rFonts w:eastAsia="Times New Roman" w:cs="Times New Roman"/>
                      <w:sz w:val="16"/>
                      <w:szCs w:val="16"/>
                    </w:rPr>
                  </w:pPr>
                  <w:r w:rsidRPr="003E1518">
                    <w:rPr>
                      <w:rFonts w:cs="Calibri"/>
                      <w:sz w:val="16"/>
                      <w:szCs w:val="16"/>
                    </w:rPr>
                    <w:t>5.203</w:t>
                  </w:r>
                </w:p>
              </w:tc>
              <w:tc>
                <w:tcPr>
                  <w:tcW w:w="1259" w:type="dxa"/>
                </w:tcPr>
                <w:p w:rsidRPr="003E1518" w:rsidR="00A3300F" w:rsidP="00A3300F" w14:paraId="6C8113AD" w14:textId="77777777">
                  <w:pPr>
                    <w:rPr>
                      <w:rFonts w:eastAsia="Times New Roman" w:cs="Times New Roman"/>
                      <w:sz w:val="16"/>
                      <w:szCs w:val="16"/>
                    </w:rPr>
                  </w:pPr>
                  <w:r w:rsidRPr="003E1518">
                    <w:rPr>
                      <w:rFonts w:cs="Calibri"/>
                      <w:sz w:val="16"/>
                      <w:szCs w:val="16"/>
                    </w:rPr>
                    <w:t>€ 64.675.000</w:t>
                  </w:r>
                </w:p>
              </w:tc>
              <w:tc>
                <w:tcPr>
                  <w:tcW w:w="1259" w:type="dxa"/>
                </w:tcPr>
                <w:p w:rsidRPr="003E1518" w:rsidR="00A3300F" w:rsidP="00A3300F" w14:paraId="2EDCB914" w14:textId="77777777">
                  <w:pPr>
                    <w:rPr>
                      <w:rFonts w:eastAsia="Times New Roman" w:cs="Times New Roman"/>
                      <w:sz w:val="16"/>
                      <w:szCs w:val="16"/>
                    </w:rPr>
                  </w:pPr>
                  <w:r w:rsidRPr="003E1518">
                    <w:rPr>
                      <w:rFonts w:cs="Calibri"/>
                      <w:sz w:val="16"/>
                      <w:szCs w:val="16"/>
                    </w:rPr>
                    <w:t>€ 69.189.000</w:t>
                  </w:r>
                </w:p>
              </w:tc>
              <w:tc>
                <w:tcPr>
                  <w:tcW w:w="1829" w:type="dxa"/>
                </w:tcPr>
                <w:p w:rsidRPr="003E1518" w:rsidR="00A3300F" w:rsidP="00A3300F" w14:paraId="64B4F706" w14:textId="77777777">
                  <w:pPr>
                    <w:rPr>
                      <w:rFonts w:eastAsia="Times New Roman" w:cs="Times New Roman"/>
                      <w:sz w:val="16"/>
                      <w:szCs w:val="16"/>
                    </w:rPr>
                  </w:pPr>
                  <w:r w:rsidRPr="003E1518">
                    <w:rPr>
                      <w:rFonts w:cs="Calibri"/>
                      <w:sz w:val="16"/>
                      <w:szCs w:val="16"/>
                    </w:rPr>
                    <w:t>Herinrichting fietspaden, aanleg fietspaden, aanleg fietsbrug</w:t>
                  </w:r>
                </w:p>
              </w:tc>
            </w:tr>
            <w:tr w:rsidTr="009935CA" w14:paraId="646DF1AC" w14:textId="77777777">
              <w:tblPrEx>
                <w:tblW w:w="8497" w:type="dxa"/>
                <w:tblInd w:w="0" w:type="dxa"/>
                <w:tblLayout w:type="fixed"/>
                <w:tblLook w:val="04A0"/>
              </w:tblPrEx>
              <w:trPr>
                <w:trHeight w:val="20"/>
              </w:trPr>
              <w:tc>
                <w:tcPr>
                  <w:tcW w:w="1372" w:type="dxa"/>
                  <w:hideMark/>
                </w:tcPr>
                <w:p w:rsidRPr="003E1518" w:rsidR="00A3300F" w:rsidP="00A3300F" w14:paraId="73D428BF" w14:textId="77777777">
                  <w:pPr>
                    <w:rPr>
                      <w:rFonts w:eastAsia="Times New Roman" w:cs="Calibri"/>
                      <w:sz w:val="16"/>
                      <w:szCs w:val="16"/>
                    </w:rPr>
                  </w:pPr>
                  <w:r w:rsidRPr="003E1518">
                    <w:rPr>
                      <w:rFonts w:eastAsia="Times New Roman" w:cs="Calibri"/>
                      <w:sz w:val="16"/>
                      <w:szCs w:val="16"/>
                    </w:rPr>
                    <w:t>Beuningen</w:t>
                  </w:r>
                </w:p>
              </w:tc>
              <w:tc>
                <w:tcPr>
                  <w:tcW w:w="1865" w:type="dxa"/>
                  <w:hideMark/>
                </w:tcPr>
                <w:p w:rsidRPr="003E1518" w:rsidR="00A3300F" w:rsidP="00A3300F" w14:paraId="2D2C1BAD" w14:textId="77777777">
                  <w:pPr>
                    <w:rPr>
                      <w:rFonts w:eastAsia="Times New Roman" w:cs="Calibri"/>
                      <w:sz w:val="16"/>
                      <w:szCs w:val="16"/>
                    </w:rPr>
                  </w:pPr>
                  <w:r w:rsidRPr="003E1518">
                    <w:rPr>
                      <w:rFonts w:eastAsia="Times New Roman" w:cs="Calibri"/>
                      <w:sz w:val="16"/>
                      <w:szCs w:val="16"/>
                    </w:rPr>
                    <w:t>Duurzame</w:t>
                  </w:r>
                  <w:r w:rsidRPr="003E1518">
                    <w:rPr>
                      <w:rFonts w:eastAsia="Times New Roman" w:cs="Calibri"/>
                      <w:sz w:val="16"/>
                      <w:szCs w:val="16"/>
                    </w:rPr>
                    <w:br/>
                    <w:t>verkeersafwikkeling Ewijk</w:t>
                  </w:r>
                </w:p>
              </w:tc>
              <w:tc>
                <w:tcPr>
                  <w:tcW w:w="913" w:type="dxa"/>
                </w:tcPr>
                <w:p w:rsidRPr="003E1518" w:rsidR="00A3300F" w:rsidP="00A3300F" w14:paraId="102E9218" w14:textId="77777777">
                  <w:pPr>
                    <w:rPr>
                      <w:rFonts w:eastAsia="Times New Roman" w:cs="Times New Roman"/>
                      <w:sz w:val="16"/>
                      <w:szCs w:val="16"/>
                    </w:rPr>
                  </w:pPr>
                  <w:r w:rsidRPr="003E1518">
                    <w:rPr>
                      <w:rFonts w:cs="Calibri"/>
                      <w:sz w:val="16"/>
                      <w:szCs w:val="16"/>
                    </w:rPr>
                    <w:t>590</w:t>
                  </w:r>
                </w:p>
              </w:tc>
              <w:tc>
                <w:tcPr>
                  <w:tcW w:w="1259" w:type="dxa"/>
                </w:tcPr>
                <w:p w:rsidRPr="003E1518" w:rsidR="00A3300F" w:rsidP="00A3300F" w14:paraId="65A758D1" w14:textId="77777777">
                  <w:pPr>
                    <w:rPr>
                      <w:rFonts w:eastAsia="Times New Roman" w:cs="Times New Roman"/>
                      <w:sz w:val="16"/>
                      <w:szCs w:val="16"/>
                    </w:rPr>
                  </w:pPr>
                  <w:r w:rsidRPr="003E1518">
                    <w:rPr>
                      <w:rFonts w:cs="Calibri"/>
                      <w:sz w:val="16"/>
                      <w:szCs w:val="16"/>
                    </w:rPr>
                    <w:t>€ 6.502.745</w:t>
                  </w:r>
                </w:p>
              </w:tc>
              <w:tc>
                <w:tcPr>
                  <w:tcW w:w="1259" w:type="dxa"/>
                </w:tcPr>
                <w:p w:rsidRPr="003E1518" w:rsidR="00A3300F" w:rsidP="00A3300F" w14:paraId="6007294F" w14:textId="77777777">
                  <w:pPr>
                    <w:rPr>
                      <w:rFonts w:eastAsia="Times New Roman" w:cs="Times New Roman"/>
                      <w:sz w:val="16"/>
                      <w:szCs w:val="16"/>
                    </w:rPr>
                  </w:pPr>
                  <w:r w:rsidRPr="003E1518">
                    <w:rPr>
                      <w:rFonts w:cs="Calibri"/>
                      <w:sz w:val="16"/>
                      <w:szCs w:val="16"/>
                    </w:rPr>
                    <w:t>€ 3.519.073</w:t>
                  </w:r>
                </w:p>
              </w:tc>
              <w:tc>
                <w:tcPr>
                  <w:tcW w:w="1829" w:type="dxa"/>
                </w:tcPr>
                <w:p w:rsidRPr="003E1518" w:rsidR="00A3300F" w:rsidP="00A3300F" w14:paraId="0DC89E4F" w14:textId="77777777">
                  <w:pPr>
                    <w:rPr>
                      <w:rFonts w:eastAsia="Times New Roman" w:cs="Times New Roman"/>
                      <w:sz w:val="16"/>
                      <w:szCs w:val="16"/>
                    </w:rPr>
                  </w:pPr>
                  <w:r w:rsidRPr="003E1518">
                    <w:rPr>
                      <w:rFonts w:cs="Calibri"/>
                      <w:sz w:val="16"/>
                      <w:szCs w:val="16"/>
                    </w:rPr>
                    <w:t>Aanleg ontsluitingsweg, aanleg fietspaden, herinrichting erftoegangsweg tot fietsstraat</w:t>
                  </w:r>
                </w:p>
              </w:tc>
            </w:tr>
            <w:tr w:rsidTr="009935CA" w14:paraId="303EBEDC" w14:textId="77777777">
              <w:tblPrEx>
                <w:tblW w:w="8497" w:type="dxa"/>
                <w:tblInd w:w="0" w:type="dxa"/>
                <w:tblLayout w:type="fixed"/>
                <w:tblLook w:val="04A0"/>
              </w:tblPrEx>
              <w:trPr>
                <w:trHeight w:val="20"/>
              </w:trPr>
              <w:tc>
                <w:tcPr>
                  <w:tcW w:w="1372" w:type="dxa"/>
                  <w:hideMark/>
                </w:tcPr>
                <w:p w:rsidRPr="003E1518" w:rsidR="00A3300F" w:rsidP="00A3300F" w14:paraId="68DD3D6E" w14:textId="77777777">
                  <w:pPr>
                    <w:rPr>
                      <w:rFonts w:eastAsia="Times New Roman" w:cs="Calibri"/>
                      <w:sz w:val="16"/>
                      <w:szCs w:val="16"/>
                    </w:rPr>
                  </w:pPr>
                  <w:r w:rsidRPr="003E1518">
                    <w:rPr>
                      <w:rFonts w:eastAsia="Times New Roman" w:cs="Calibri"/>
                      <w:sz w:val="16"/>
                      <w:szCs w:val="16"/>
                    </w:rPr>
                    <w:t>Buren</w:t>
                  </w:r>
                </w:p>
              </w:tc>
              <w:tc>
                <w:tcPr>
                  <w:tcW w:w="1865" w:type="dxa"/>
                  <w:hideMark/>
                </w:tcPr>
                <w:p w:rsidRPr="003E1518" w:rsidR="00A3300F" w:rsidP="00A3300F" w14:paraId="0A8A9F06" w14:textId="77777777">
                  <w:pPr>
                    <w:rPr>
                      <w:rFonts w:eastAsia="Times New Roman" w:cs="Calibri"/>
                      <w:sz w:val="16"/>
                      <w:szCs w:val="16"/>
                    </w:rPr>
                  </w:pPr>
                  <w:r w:rsidRPr="003E1518">
                    <w:rPr>
                      <w:rFonts w:eastAsia="Times New Roman" w:cs="Calibri"/>
                      <w:sz w:val="16"/>
                      <w:szCs w:val="16"/>
                    </w:rPr>
                    <w:t>Teisterbant II Kerk-Avezaath</w:t>
                  </w:r>
                </w:p>
              </w:tc>
              <w:tc>
                <w:tcPr>
                  <w:tcW w:w="913" w:type="dxa"/>
                </w:tcPr>
                <w:p w:rsidRPr="003E1518" w:rsidR="00A3300F" w:rsidP="00A3300F" w14:paraId="0303588A" w14:textId="77777777">
                  <w:pPr>
                    <w:rPr>
                      <w:rFonts w:eastAsia="Times New Roman" w:cs="Times New Roman"/>
                      <w:sz w:val="16"/>
                      <w:szCs w:val="16"/>
                    </w:rPr>
                  </w:pPr>
                  <w:r w:rsidRPr="003E1518">
                    <w:rPr>
                      <w:rFonts w:cs="Calibri"/>
                      <w:sz w:val="16"/>
                      <w:szCs w:val="16"/>
                    </w:rPr>
                    <w:t>268</w:t>
                  </w:r>
                </w:p>
              </w:tc>
              <w:tc>
                <w:tcPr>
                  <w:tcW w:w="1259" w:type="dxa"/>
                </w:tcPr>
                <w:p w:rsidRPr="003E1518" w:rsidR="00A3300F" w:rsidP="00A3300F" w14:paraId="326851D1" w14:textId="77777777">
                  <w:pPr>
                    <w:rPr>
                      <w:rFonts w:eastAsia="Times New Roman" w:cs="Times New Roman"/>
                      <w:sz w:val="16"/>
                      <w:szCs w:val="16"/>
                    </w:rPr>
                  </w:pPr>
                  <w:r w:rsidRPr="003E1518">
                    <w:rPr>
                      <w:rFonts w:cs="Calibri"/>
                      <w:sz w:val="16"/>
                      <w:szCs w:val="16"/>
                    </w:rPr>
                    <w:t>€ 379.759</w:t>
                  </w:r>
                </w:p>
              </w:tc>
              <w:tc>
                <w:tcPr>
                  <w:tcW w:w="1259" w:type="dxa"/>
                </w:tcPr>
                <w:p w:rsidRPr="003E1518" w:rsidR="00A3300F" w:rsidP="00A3300F" w14:paraId="671794CB" w14:textId="77777777">
                  <w:pPr>
                    <w:rPr>
                      <w:rFonts w:eastAsia="Times New Roman" w:cs="Times New Roman"/>
                      <w:sz w:val="16"/>
                      <w:szCs w:val="16"/>
                    </w:rPr>
                  </w:pPr>
                  <w:r w:rsidRPr="003E1518">
                    <w:rPr>
                      <w:rFonts w:cs="Calibri"/>
                      <w:sz w:val="16"/>
                      <w:szCs w:val="16"/>
                    </w:rPr>
                    <w:t>€ 350.000</w:t>
                  </w:r>
                </w:p>
              </w:tc>
              <w:tc>
                <w:tcPr>
                  <w:tcW w:w="1829" w:type="dxa"/>
                </w:tcPr>
                <w:p w:rsidRPr="003E1518" w:rsidR="00A3300F" w:rsidP="00A3300F" w14:paraId="0EB426BC" w14:textId="77777777">
                  <w:pPr>
                    <w:rPr>
                      <w:rFonts w:eastAsia="Times New Roman" w:cs="Times New Roman"/>
                      <w:sz w:val="16"/>
                      <w:szCs w:val="16"/>
                    </w:rPr>
                  </w:pPr>
                  <w:r w:rsidRPr="003E1518">
                    <w:rPr>
                      <w:rFonts w:cs="Calibri"/>
                      <w:sz w:val="16"/>
                      <w:szCs w:val="16"/>
                    </w:rPr>
                    <w:t>Aanleg rotonde</w:t>
                  </w:r>
                </w:p>
              </w:tc>
            </w:tr>
            <w:tr w:rsidTr="009935CA" w14:paraId="204B627D" w14:textId="77777777">
              <w:tblPrEx>
                <w:tblW w:w="8497" w:type="dxa"/>
                <w:tblInd w:w="0" w:type="dxa"/>
                <w:tblLayout w:type="fixed"/>
                <w:tblLook w:val="04A0"/>
              </w:tblPrEx>
              <w:trPr>
                <w:trHeight w:val="20"/>
              </w:trPr>
              <w:tc>
                <w:tcPr>
                  <w:tcW w:w="1372" w:type="dxa"/>
                  <w:hideMark/>
                </w:tcPr>
                <w:p w:rsidRPr="003E1518" w:rsidR="00A3300F" w:rsidP="00A3300F" w14:paraId="722CB91D" w14:textId="77777777">
                  <w:pPr>
                    <w:rPr>
                      <w:rFonts w:eastAsia="Times New Roman" w:cs="Calibri"/>
                      <w:sz w:val="16"/>
                      <w:szCs w:val="16"/>
                    </w:rPr>
                  </w:pPr>
                  <w:r w:rsidRPr="003E1518">
                    <w:rPr>
                      <w:rFonts w:eastAsia="Times New Roman" w:cs="Calibri"/>
                      <w:sz w:val="16"/>
                      <w:szCs w:val="16"/>
                    </w:rPr>
                    <w:t>Dalfsen</w:t>
                  </w:r>
                </w:p>
              </w:tc>
              <w:tc>
                <w:tcPr>
                  <w:tcW w:w="1865" w:type="dxa"/>
                  <w:hideMark/>
                </w:tcPr>
                <w:p w:rsidRPr="003E1518" w:rsidR="00A3300F" w:rsidP="00A3300F" w14:paraId="38C67A68" w14:textId="77777777">
                  <w:pPr>
                    <w:rPr>
                      <w:rFonts w:eastAsia="Times New Roman" w:cs="Calibri"/>
                      <w:sz w:val="16"/>
                      <w:szCs w:val="16"/>
                    </w:rPr>
                  </w:pPr>
                  <w:r w:rsidRPr="003E1518">
                    <w:rPr>
                      <w:rFonts w:eastAsia="Times New Roman" w:cs="Calibri"/>
                      <w:sz w:val="16"/>
                      <w:szCs w:val="16"/>
                    </w:rPr>
                    <w:t>Palthelanden Nieuwleusen</w:t>
                  </w:r>
                </w:p>
              </w:tc>
              <w:tc>
                <w:tcPr>
                  <w:tcW w:w="913" w:type="dxa"/>
                </w:tcPr>
                <w:p w:rsidRPr="003E1518" w:rsidR="00A3300F" w:rsidP="00A3300F" w14:paraId="3152BEC6" w14:textId="77777777">
                  <w:pPr>
                    <w:rPr>
                      <w:rFonts w:eastAsia="Times New Roman" w:cs="Times New Roman"/>
                      <w:sz w:val="16"/>
                      <w:szCs w:val="16"/>
                    </w:rPr>
                  </w:pPr>
                  <w:r w:rsidRPr="003E1518">
                    <w:rPr>
                      <w:rFonts w:cs="Calibri"/>
                      <w:sz w:val="16"/>
                      <w:szCs w:val="16"/>
                    </w:rPr>
                    <w:t>600</w:t>
                  </w:r>
                </w:p>
              </w:tc>
              <w:tc>
                <w:tcPr>
                  <w:tcW w:w="1259" w:type="dxa"/>
                </w:tcPr>
                <w:p w:rsidRPr="003E1518" w:rsidR="00A3300F" w:rsidP="00A3300F" w14:paraId="4E6D8759" w14:textId="77777777">
                  <w:pPr>
                    <w:rPr>
                      <w:rFonts w:eastAsia="Times New Roman" w:cs="Times New Roman"/>
                      <w:sz w:val="16"/>
                      <w:szCs w:val="16"/>
                    </w:rPr>
                  </w:pPr>
                  <w:r w:rsidRPr="003E1518">
                    <w:rPr>
                      <w:rFonts w:cs="Calibri"/>
                      <w:sz w:val="16"/>
                      <w:szCs w:val="16"/>
                    </w:rPr>
                    <w:t>€ 6.208.800</w:t>
                  </w:r>
                </w:p>
              </w:tc>
              <w:tc>
                <w:tcPr>
                  <w:tcW w:w="1259" w:type="dxa"/>
                </w:tcPr>
                <w:p w:rsidRPr="003E1518" w:rsidR="00A3300F" w:rsidP="00A3300F" w14:paraId="5AEE3DDE" w14:textId="77777777">
                  <w:pPr>
                    <w:rPr>
                      <w:rFonts w:eastAsia="Times New Roman" w:cs="Times New Roman"/>
                      <w:sz w:val="16"/>
                      <w:szCs w:val="16"/>
                    </w:rPr>
                  </w:pPr>
                  <w:r w:rsidRPr="003E1518">
                    <w:rPr>
                      <w:rFonts w:cs="Calibri"/>
                      <w:sz w:val="16"/>
                      <w:szCs w:val="16"/>
                    </w:rPr>
                    <w:t>€ 4.960.000</w:t>
                  </w:r>
                </w:p>
              </w:tc>
              <w:tc>
                <w:tcPr>
                  <w:tcW w:w="1829" w:type="dxa"/>
                </w:tcPr>
                <w:p w:rsidRPr="003E1518" w:rsidR="00A3300F" w:rsidP="00A3300F" w14:paraId="00C85401" w14:textId="77777777">
                  <w:pPr>
                    <w:rPr>
                      <w:rFonts w:eastAsia="Times New Roman" w:cs="Times New Roman"/>
                      <w:sz w:val="16"/>
                      <w:szCs w:val="16"/>
                    </w:rPr>
                  </w:pPr>
                  <w:r w:rsidRPr="003E1518">
                    <w:rPr>
                      <w:rFonts w:cs="Calibri"/>
                      <w:sz w:val="16"/>
                      <w:szCs w:val="16"/>
                    </w:rPr>
                    <w:t>Aanleg ontsluitingsweg</w:t>
                  </w:r>
                </w:p>
              </w:tc>
            </w:tr>
            <w:tr w:rsidTr="009935CA" w14:paraId="720B104F" w14:textId="77777777">
              <w:tblPrEx>
                <w:tblW w:w="8497" w:type="dxa"/>
                <w:tblInd w:w="0" w:type="dxa"/>
                <w:tblLayout w:type="fixed"/>
                <w:tblLook w:val="04A0"/>
              </w:tblPrEx>
              <w:trPr>
                <w:trHeight w:val="20"/>
              </w:trPr>
              <w:tc>
                <w:tcPr>
                  <w:tcW w:w="1372" w:type="dxa"/>
                  <w:hideMark/>
                </w:tcPr>
                <w:p w:rsidRPr="003E1518" w:rsidR="00A3300F" w:rsidP="00A3300F" w14:paraId="070E0AC4" w14:textId="77777777">
                  <w:pPr>
                    <w:rPr>
                      <w:rFonts w:eastAsia="Times New Roman" w:cs="Calibri"/>
                      <w:sz w:val="16"/>
                      <w:szCs w:val="16"/>
                    </w:rPr>
                  </w:pPr>
                  <w:r w:rsidRPr="003E1518">
                    <w:rPr>
                      <w:rFonts w:eastAsia="Times New Roman" w:cs="Calibri"/>
                      <w:sz w:val="16"/>
                      <w:szCs w:val="16"/>
                    </w:rPr>
                    <w:t>Doetinchem</w:t>
                  </w:r>
                </w:p>
              </w:tc>
              <w:tc>
                <w:tcPr>
                  <w:tcW w:w="1865" w:type="dxa"/>
                  <w:hideMark/>
                </w:tcPr>
                <w:p w:rsidRPr="003E1518" w:rsidR="00A3300F" w:rsidP="00A3300F" w14:paraId="40BFA668" w14:textId="77777777">
                  <w:pPr>
                    <w:rPr>
                      <w:rFonts w:eastAsia="Times New Roman" w:cs="Calibri"/>
                      <w:sz w:val="16"/>
                      <w:szCs w:val="16"/>
                    </w:rPr>
                  </w:pPr>
                  <w:r w:rsidRPr="003E1518">
                    <w:rPr>
                      <w:rFonts w:eastAsia="Times New Roman" w:cs="Calibri"/>
                      <w:sz w:val="16"/>
                      <w:szCs w:val="16"/>
                    </w:rPr>
                    <w:t>WoKT-propositie</w:t>
                  </w:r>
                  <w:r w:rsidRPr="003E1518">
                    <w:rPr>
                      <w:rFonts w:eastAsia="Times New Roman" w:cs="Calibri"/>
                      <w:sz w:val="16"/>
                      <w:szCs w:val="16"/>
                    </w:rPr>
                    <w:br/>
                    <w:t>Doetinchem</w:t>
                  </w:r>
                </w:p>
              </w:tc>
              <w:tc>
                <w:tcPr>
                  <w:tcW w:w="913" w:type="dxa"/>
                </w:tcPr>
                <w:p w:rsidRPr="003E1518" w:rsidR="00A3300F" w:rsidP="00A3300F" w14:paraId="135FB186" w14:textId="77777777">
                  <w:pPr>
                    <w:rPr>
                      <w:rFonts w:eastAsia="Times New Roman" w:cs="Times New Roman"/>
                      <w:sz w:val="16"/>
                      <w:szCs w:val="16"/>
                    </w:rPr>
                  </w:pPr>
                  <w:r w:rsidRPr="003E1518">
                    <w:rPr>
                      <w:rFonts w:cs="Calibri"/>
                      <w:sz w:val="16"/>
                      <w:szCs w:val="16"/>
                    </w:rPr>
                    <w:t>1.974</w:t>
                  </w:r>
                </w:p>
              </w:tc>
              <w:tc>
                <w:tcPr>
                  <w:tcW w:w="1259" w:type="dxa"/>
                </w:tcPr>
                <w:p w:rsidRPr="003E1518" w:rsidR="00A3300F" w:rsidP="00A3300F" w14:paraId="592A1348" w14:textId="77777777">
                  <w:pPr>
                    <w:rPr>
                      <w:rFonts w:eastAsia="Times New Roman" w:cs="Times New Roman"/>
                      <w:sz w:val="16"/>
                      <w:szCs w:val="16"/>
                    </w:rPr>
                  </w:pPr>
                  <w:r w:rsidRPr="003E1518">
                    <w:rPr>
                      <w:rFonts w:cs="Calibri"/>
                      <w:sz w:val="16"/>
                      <w:szCs w:val="16"/>
                    </w:rPr>
                    <w:t>€ 19.624.385</w:t>
                  </w:r>
                </w:p>
              </w:tc>
              <w:tc>
                <w:tcPr>
                  <w:tcW w:w="1259" w:type="dxa"/>
                </w:tcPr>
                <w:p w:rsidRPr="003E1518" w:rsidR="00A3300F" w:rsidP="00A3300F" w14:paraId="3E329470" w14:textId="77777777">
                  <w:pPr>
                    <w:rPr>
                      <w:rFonts w:eastAsia="Times New Roman" w:cs="Times New Roman"/>
                      <w:sz w:val="16"/>
                      <w:szCs w:val="16"/>
                    </w:rPr>
                  </w:pPr>
                  <w:r w:rsidRPr="003E1518">
                    <w:rPr>
                      <w:rFonts w:cs="Calibri"/>
                      <w:sz w:val="16"/>
                      <w:szCs w:val="16"/>
                    </w:rPr>
                    <w:t>€ 10.648.000</w:t>
                  </w:r>
                </w:p>
              </w:tc>
              <w:tc>
                <w:tcPr>
                  <w:tcW w:w="1829" w:type="dxa"/>
                </w:tcPr>
                <w:p w:rsidRPr="003E1518" w:rsidR="00A3300F" w:rsidP="00A3300F" w14:paraId="35755A04" w14:textId="77777777">
                  <w:pPr>
                    <w:rPr>
                      <w:rFonts w:eastAsia="Times New Roman" w:cs="Times New Roman"/>
                      <w:sz w:val="16"/>
                      <w:szCs w:val="16"/>
                    </w:rPr>
                  </w:pPr>
                  <w:r w:rsidRPr="003E1518">
                    <w:rPr>
                      <w:rFonts w:cs="Calibri"/>
                      <w:sz w:val="16"/>
                      <w:szCs w:val="16"/>
                    </w:rPr>
                    <w:t>Vervangen rotondes door kruisingen, herinrichting ontsluitingswegen, aanleg voetgangerstunnel (spoor), aanleg fietsenstalling, herinrichting busstation</w:t>
                  </w:r>
                </w:p>
              </w:tc>
            </w:tr>
            <w:tr w:rsidTr="009935CA" w14:paraId="33CA2ECB" w14:textId="77777777">
              <w:tblPrEx>
                <w:tblW w:w="8497" w:type="dxa"/>
                <w:tblInd w:w="0" w:type="dxa"/>
                <w:tblLayout w:type="fixed"/>
                <w:tblLook w:val="04A0"/>
              </w:tblPrEx>
              <w:trPr>
                <w:trHeight w:val="20"/>
              </w:trPr>
              <w:tc>
                <w:tcPr>
                  <w:tcW w:w="1372" w:type="dxa"/>
                  <w:hideMark/>
                </w:tcPr>
                <w:p w:rsidRPr="003E1518" w:rsidR="00A3300F" w:rsidP="00A3300F" w14:paraId="2D7DA421" w14:textId="77777777">
                  <w:pPr>
                    <w:rPr>
                      <w:rFonts w:eastAsia="Times New Roman" w:cs="Calibri"/>
                      <w:sz w:val="16"/>
                      <w:szCs w:val="16"/>
                    </w:rPr>
                  </w:pPr>
                  <w:r w:rsidRPr="003E1518">
                    <w:rPr>
                      <w:rFonts w:eastAsia="Times New Roman" w:cs="Calibri"/>
                      <w:sz w:val="16"/>
                      <w:szCs w:val="16"/>
                    </w:rPr>
                    <w:t>Duiven</w:t>
                  </w:r>
                </w:p>
              </w:tc>
              <w:tc>
                <w:tcPr>
                  <w:tcW w:w="1865" w:type="dxa"/>
                  <w:hideMark/>
                </w:tcPr>
                <w:p w:rsidRPr="003E1518" w:rsidR="00A3300F" w:rsidP="00A3300F" w14:paraId="480E6286" w14:textId="77777777">
                  <w:pPr>
                    <w:rPr>
                      <w:rFonts w:eastAsia="Times New Roman" w:cs="Calibri"/>
                      <w:sz w:val="16"/>
                      <w:szCs w:val="16"/>
                    </w:rPr>
                  </w:pPr>
                  <w:r w:rsidRPr="003E1518">
                    <w:rPr>
                      <w:rFonts w:eastAsia="Times New Roman" w:cs="Calibri"/>
                      <w:sz w:val="16"/>
                      <w:szCs w:val="16"/>
                    </w:rPr>
                    <w:t>Duiven -</w:t>
                  </w:r>
                  <w:r w:rsidRPr="003E1518">
                    <w:rPr>
                      <w:rFonts w:eastAsia="Times New Roman" w:cs="Calibri"/>
                      <w:sz w:val="16"/>
                      <w:szCs w:val="16"/>
                    </w:rPr>
                    <w:br/>
                    <w:t>Mobiliteitsaanpassingen</w:t>
                  </w:r>
                </w:p>
              </w:tc>
              <w:tc>
                <w:tcPr>
                  <w:tcW w:w="913" w:type="dxa"/>
                </w:tcPr>
                <w:p w:rsidRPr="003E1518" w:rsidR="00A3300F" w:rsidP="00A3300F" w14:paraId="6AE69508" w14:textId="77777777">
                  <w:pPr>
                    <w:rPr>
                      <w:rFonts w:eastAsia="Times New Roman" w:cs="Times New Roman"/>
                      <w:sz w:val="16"/>
                      <w:szCs w:val="16"/>
                    </w:rPr>
                  </w:pPr>
                  <w:r w:rsidRPr="003E1518">
                    <w:rPr>
                      <w:rFonts w:cs="Calibri"/>
                      <w:sz w:val="16"/>
                      <w:szCs w:val="16"/>
                    </w:rPr>
                    <w:t>317</w:t>
                  </w:r>
                </w:p>
              </w:tc>
              <w:tc>
                <w:tcPr>
                  <w:tcW w:w="1259" w:type="dxa"/>
                </w:tcPr>
                <w:p w:rsidRPr="003E1518" w:rsidR="00A3300F" w:rsidP="00A3300F" w14:paraId="2AF03264" w14:textId="77777777">
                  <w:pPr>
                    <w:rPr>
                      <w:rFonts w:eastAsia="Times New Roman" w:cs="Times New Roman"/>
                      <w:sz w:val="16"/>
                      <w:szCs w:val="16"/>
                    </w:rPr>
                  </w:pPr>
                  <w:r w:rsidRPr="003E1518">
                    <w:rPr>
                      <w:rFonts w:cs="Calibri"/>
                      <w:sz w:val="16"/>
                      <w:szCs w:val="16"/>
                    </w:rPr>
                    <w:t>€ 2.776.084</w:t>
                  </w:r>
                </w:p>
              </w:tc>
              <w:tc>
                <w:tcPr>
                  <w:tcW w:w="1259" w:type="dxa"/>
                </w:tcPr>
                <w:p w:rsidRPr="003E1518" w:rsidR="00A3300F" w:rsidP="00A3300F" w14:paraId="5BCA021D" w14:textId="77777777">
                  <w:pPr>
                    <w:rPr>
                      <w:rFonts w:eastAsia="Times New Roman" w:cs="Times New Roman"/>
                      <w:sz w:val="16"/>
                      <w:szCs w:val="16"/>
                    </w:rPr>
                  </w:pPr>
                  <w:r w:rsidRPr="003E1518">
                    <w:rPr>
                      <w:rFonts w:cs="Calibri"/>
                      <w:sz w:val="16"/>
                      <w:szCs w:val="16"/>
                    </w:rPr>
                    <w:t>€ 1.502.326</w:t>
                  </w:r>
                </w:p>
              </w:tc>
              <w:tc>
                <w:tcPr>
                  <w:tcW w:w="1829" w:type="dxa"/>
                </w:tcPr>
                <w:p w:rsidRPr="003E1518" w:rsidR="00A3300F" w:rsidP="00A3300F" w14:paraId="6FBFFFEE" w14:textId="77777777">
                  <w:pPr>
                    <w:rPr>
                      <w:rFonts w:eastAsia="Times New Roman" w:cs="Times New Roman"/>
                      <w:sz w:val="16"/>
                      <w:szCs w:val="16"/>
                    </w:rPr>
                  </w:pPr>
                  <w:r w:rsidRPr="003E1518">
                    <w:rPr>
                      <w:rFonts w:cs="Calibri"/>
                      <w:sz w:val="16"/>
                      <w:szCs w:val="16"/>
                    </w:rPr>
                    <w:t>Aanleg ontsluitingsweg, aanleg fietstunnel, aanleg fietspaden</w:t>
                  </w:r>
                </w:p>
              </w:tc>
            </w:tr>
            <w:tr w:rsidTr="009935CA" w14:paraId="53C40C18" w14:textId="77777777">
              <w:tblPrEx>
                <w:tblW w:w="8497" w:type="dxa"/>
                <w:tblInd w:w="0" w:type="dxa"/>
                <w:tblLayout w:type="fixed"/>
                <w:tblLook w:val="04A0"/>
              </w:tblPrEx>
              <w:trPr>
                <w:trHeight w:val="20"/>
              </w:trPr>
              <w:tc>
                <w:tcPr>
                  <w:tcW w:w="1372" w:type="dxa"/>
                  <w:hideMark/>
                </w:tcPr>
                <w:p w:rsidRPr="003E1518" w:rsidR="00A3300F" w:rsidP="00A3300F" w14:paraId="6E71F9C9" w14:textId="77777777">
                  <w:pPr>
                    <w:rPr>
                      <w:rFonts w:eastAsia="Times New Roman" w:cs="Calibri"/>
                      <w:sz w:val="16"/>
                      <w:szCs w:val="16"/>
                    </w:rPr>
                  </w:pPr>
                  <w:r w:rsidRPr="003E1518">
                    <w:rPr>
                      <w:rFonts w:eastAsia="Times New Roman" w:cs="Calibri"/>
                      <w:sz w:val="16"/>
                      <w:szCs w:val="16"/>
                    </w:rPr>
                    <w:t>Epe</w:t>
                  </w:r>
                </w:p>
              </w:tc>
              <w:tc>
                <w:tcPr>
                  <w:tcW w:w="1865" w:type="dxa"/>
                  <w:hideMark/>
                </w:tcPr>
                <w:p w:rsidRPr="003E1518" w:rsidR="00A3300F" w:rsidP="00A3300F" w14:paraId="25887E45" w14:textId="46FC155A">
                  <w:pPr>
                    <w:rPr>
                      <w:rFonts w:eastAsia="Times New Roman" w:cs="Calibri"/>
                      <w:sz w:val="16"/>
                      <w:szCs w:val="16"/>
                    </w:rPr>
                  </w:pPr>
                  <w:r w:rsidRPr="003E1518">
                    <w:rPr>
                      <w:rFonts w:eastAsia="Times New Roman" w:cs="Calibri"/>
                      <w:sz w:val="16"/>
                      <w:szCs w:val="16"/>
                    </w:rPr>
                    <w:t>Aanpak centrumring Epe en realisatie ﬁetstunnel Eekterweg (F50</w:t>
                  </w:r>
                  <w:r w:rsidR="00830123">
                    <w:rPr>
                      <w:rFonts w:eastAsia="Times New Roman" w:cs="Calibri"/>
                      <w:sz w:val="16"/>
                      <w:szCs w:val="16"/>
                    </w:rPr>
                    <w:t xml:space="preserve"> Apeldoorn-Zwolle)</w:t>
                  </w:r>
                </w:p>
              </w:tc>
              <w:tc>
                <w:tcPr>
                  <w:tcW w:w="913" w:type="dxa"/>
                </w:tcPr>
                <w:p w:rsidRPr="003E1518" w:rsidR="00A3300F" w:rsidP="00A3300F" w14:paraId="0060E66D" w14:textId="77777777">
                  <w:pPr>
                    <w:rPr>
                      <w:rFonts w:eastAsia="Times New Roman" w:cs="Times New Roman"/>
                      <w:sz w:val="16"/>
                      <w:szCs w:val="16"/>
                    </w:rPr>
                  </w:pPr>
                  <w:r w:rsidRPr="003E1518">
                    <w:rPr>
                      <w:rFonts w:cs="Calibri"/>
                      <w:sz w:val="16"/>
                      <w:szCs w:val="16"/>
                    </w:rPr>
                    <w:t>871</w:t>
                  </w:r>
                </w:p>
              </w:tc>
              <w:tc>
                <w:tcPr>
                  <w:tcW w:w="1259" w:type="dxa"/>
                </w:tcPr>
                <w:p w:rsidRPr="003E1518" w:rsidR="00A3300F" w:rsidP="00A3300F" w14:paraId="20749068" w14:textId="77777777">
                  <w:pPr>
                    <w:rPr>
                      <w:rFonts w:eastAsia="Times New Roman" w:cs="Times New Roman"/>
                      <w:sz w:val="16"/>
                      <w:szCs w:val="16"/>
                    </w:rPr>
                  </w:pPr>
                  <w:r w:rsidRPr="003E1518">
                    <w:rPr>
                      <w:rFonts w:cs="Calibri"/>
                      <w:sz w:val="16"/>
                      <w:szCs w:val="16"/>
                    </w:rPr>
                    <w:t>€ 3.616.825</w:t>
                  </w:r>
                </w:p>
              </w:tc>
              <w:tc>
                <w:tcPr>
                  <w:tcW w:w="1259" w:type="dxa"/>
                </w:tcPr>
                <w:p w:rsidRPr="003E1518" w:rsidR="00A3300F" w:rsidP="00A3300F" w14:paraId="32D4B116" w14:textId="77777777">
                  <w:pPr>
                    <w:rPr>
                      <w:rFonts w:eastAsia="Times New Roman" w:cs="Times New Roman"/>
                      <w:sz w:val="16"/>
                      <w:szCs w:val="16"/>
                    </w:rPr>
                  </w:pPr>
                  <w:r w:rsidRPr="003E1518">
                    <w:rPr>
                      <w:rFonts w:cs="Calibri"/>
                      <w:sz w:val="16"/>
                      <w:szCs w:val="16"/>
                    </w:rPr>
                    <w:t>€ 4.235.000</w:t>
                  </w:r>
                </w:p>
              </w:tc>
              <w:tc>
                <w:tcPr>
                  <w:tcW w:w="1829" w:type="dxa"/>
                </w:tcPr>
                <w:p w:rsidRPr="003E1518" w:rsidR="00A3300F" w:rsidP="00A3300F" w14:paraId="249A6FE9" w14:textId="77777777">
                  <w:pPr>
                    <w:rPr>
                      <w:rFonts w:eastAsia="Times New Roman" w:cs="Times New Roman"/>
                      <w:sz w:val="16"/>
                      <w:szCs w:val="16"/>
                    </w:rPr>
                  </w:pPr>
                  <w:r w:rsidRPr="003E1518">
                    <w:rPr>
                      <w:rFonts w:cs="Calibri"/>
                      <w:sz w:val="16"/>
                      <w:szCs w:val="16"/>
                    </w:rPr>
                    <w:t>Aanleg regionale fietsroute</w:t>
                  </w:r>
                </w:p>
              </w:tc>
            </w:tr>
            <w:tr w:rsidTr="009935CA" w14:paraId="44F6B244" w14:textId="77777777">
              <w:tblPrEx>
                <w:tblW w:w="8497" w:type="dxa"/>
                <w:tblInd w:w="0" w:type="dxa"/>
                <w:tblLayout w:type="fixed"/>
                <w:tblLook w:val="04A0"/>
              </w:tblPrEx>
              <w:trPr>
                <w:trHeight w:val="20"/>
              </w:trPr>
              <w:tc>
                <w:tcPr>
                  <w:tcW w:w="1372" w:type="dxa"/>
                  <w:hideMark/>
                </w:tcPr>
                <w:p w:rsidRPr="003E1518" w:rsidR="00A3300F" w:rsidP="00A3300F" w14:paraId="2310D561" w14:textId="77777777">
                  <w:pPr>
                    <w:rPr>
                      <w:rFonts w:eastAsia="Times New Roman" w:cs="Calibri"/>
                      <w:sz w:val="16"/>
                      <w:szCs w:val="16"/>
                    </w:rPr>
                  </w:pPr>
                  <w:r w:rsidRPr="003E1518">
                    <w:rPr>
                      <w:rFonts w:eastAsia="Times New Roman" w:cs="Calibri"/>
                      <w:sz w:val="16"/>
                      <w:szCs w:val="16"/>
                    </w:rPr>
                    <w:t>Harderwijk + partners</w:t>
                  </w:r>
                </w:p>
              </w:tc>
              <w:tc>
                <w:tcPr>
                  <w:tcW w:w="1865" w:type="dxa"/>
                  <w:hideMark/>
                </w:tcPr>
                <w:p w:rsidRPr="003E1518" w:rsidR="00A3300F" w:rsidP="00A3300F" w14:paraId="57D6A9DA" w14:textId="77777777">
                  <w:pPr>
                    <w:rPr>
                      <w:rFonts w:eastAsia="Times New Roman" w:cs="Calibri"/>
                      <w:sz w:val="16"/>
                      <w:szCs w:val="16"/>
                    </w:rPr>
                  </w:pPr>
                  <w:r w:rsidRPr="003E1518">
                    <w:rPr>
                      <w:rFonts w:eastAsia="Times New Roman" w:cs="Calibri"/>
                      <w:sz w:val="16"/>
                      <w:szCs w:val="16"/>
                    </w:rPr>
                    <w:t>Veluwelijn</w:t>
                  </w:r>
                </w:p>
              </w:tc>
              <w:tc>
                <w:tcPr>
                  <w:tcW w:w="913" w:type="dxa"/>
                </w:tcPr>
                <w:p w:rsidRPr="003E1518" w:rsidR="00A3300F" w:rsidP="00A3300F" w14:paraId="613EF233" w14:textId="77777777">
                  <w:pPr>
                    <w:rPr>
                      <w:rFonts w:eastAsia="Times New Roman" w:cs="Times New Roman"/>
                      <w:sz w:val="16"/>
                      <w:szCs w:val="16"/>
                    </w:rPr>
                  </w:pPr>
                  <w:r w:rsidRPr="003E1518">
                    <w:rPr>
                      <w:rFonts w:cs="Calibri"/>
                      <w:sz w:val="16"/>
                      <w:szCs w:val="16"/>
                    </w:rPr>
                    <w:t>10.817</w:t>
                  </w:r>
                </w:p>
              </w:tc>
              <w:tc>
                <w:tcPr>
                  <w:tcW w:w="1259" w:type="dxa"/>
                </w:tcPr>
                <w:p w:rsidRPr="003E1518" w:rsidR="00A3300F" w:rsidP="00A3300F" w14:paraId="46DE7ED8" w14:textId="77777777">
                  <w:pPr>
                    <w:rPr>
                      <w:rFonts w:eastAsia="Times New Roman" w:cs="Times New Roman"/>
                      <w:sz w:val="16"/>
                      <w:szCs w:val="16"/>
                    </w:rPr>
                  </w:pPr>
                  <w:r w:rsidRPr="003E1518">
                    <w:rPr>
                      <w:rFonts w:cs="Calibri"/>
                      <w:sz w:val="16"/>
                      <w:szCs w:val="16"/>
                    </w:rPr>
                    <w:t>€ 98.704.000</w:t>
                  </w:r>
                </w:p>
              </w:tc>
              <w:tc>
                <w:tcPr>
                  <w:tcW w:w="1259" w:type="dxa"/>
                </w:tcPr>
                <w:p w:rsidRPr="003E1518" w:rsidR="00A3300F" w:rsidP="00A3300F" w14:paraId="60B50905" w14:textId="77777777">
                  <w:pPr>
                    <w:rPr>
                      <w:rFonts w:eastAsia="Times New Roman" w:cs="Times New Roman"/>
                      <w:sz w:val="16"/>
                      <w:szCs w:val="16"/>
                    </w:rPr>
                  </w:pPr>
                  <w:r w:rsidRPr="003E1518">
                    <w:rPr>
                      <w:rFonts w:cs="Calibri"/>
                      <w:sz w:val="16"/>
                      <w:szCs w:val="16"/>
                    </w:rPr>
                    <w:t>€ 70.800.000</w:t>
                  </w:r>
                </w:p>
              </w:tc>
              <w:tc>
                <w:tcPr>
                  <w:tcW w:w="1829" w:type="dxa"/>
                </w:tcPr>
                <w:p w:rsidRPr="003E1518" w:rsidR="00A3300F" w:rsidP="00A3300F" w14:paraId="1C27FBE1" w14:textId="77777777">
                  <w:pPr>
                    <w:rPr>
                      <w:rFonts w:eastAsia="Times New Roman" w:cs="Times New Roman"/>
                      <w:sz w:val="16"/>
                      <w:szCs w:val="16"/>
                    </w:rPr>
                  </w:pPr>
                  <w:r w:rsidRPr="003E1518">
                    <w:rPr>
                      <w:rFonts w:cs="Calibri"/>
                      <w:sz w:val="16"/>
                      <w:szCs w:val="16"/>
                    </w:rPr>
                    <w:t>Aanpassingen spoor t.b.v. frequentieverhoging trein</w:t>
                  </w:r>
                </w:p>
              </w:tc>
            </w:tr>
            <w:tr w:rsidTr="009935CA" w14:paraId="2835F170" w14:textId="77777777">
              <w:tblPrEx>
                <w:tblW w:w="8497" w:type="dxa"/>
                <w:tblInd w:w="0" w:type="dxa"/>
                <w:tblLayout w:type="fixed"/>
                <w:tblLook w:val="04A0"/>
              </w:tblPrEx>
              <w:trPr>
                <w:trHeight w:val="20"/>
              </w:trPr>
              <w:tc>
                <w:tcPr>
                  <w:tcW w:w="1372" w:type="dxa"/>
                  <w:hideMark/>
                </w:tcPr>
                <w:p w:rsidRPr="003E1518" w:rsidR="00A3300F" w:rsidP="00A3300F" w14:paraId="4721B823" w14:textId="77777777">
                  <w:pPr>
                    <w:rPr>
                      <w:rFonts w:eastAsia="Times New Roman" w:cs="Calibri"/>
                      <w:sz w:val="16"/>
                      <w:szCs w:val="16"/>
                    </w:rPr>
                  </w:pPr>
                  <w:r w:rsidRPr="003E1518">
                    <w:rPr>
                      <w:rFonts w:eastAsia="Times New Roman" w:cs="Calibri"/>
                      <w:sz w:val="16"/>
                      <w:szCs w:val="16"/>
                    </w:rPr>
                    <w:t>Heumen</w:t>
                  </w:r>
                </w:p>
              </w:tc>
              <w:tc>
                <w:tcPr>
                  <w:tcW w:w="1865" w:type="dxa"/>
                  <w:hideMark/>
                </w:tcPr>
                <w:p w:rsidRPr="003E1518" w:rsidR="00A3300F" w:rsidP="00A3300F" w14:paraId="73A203F5" w14:textId="77777777">
                  <w:pPr>
                    <w:rPr>
                      <w:rFonts w:eastAsia="Times New Roman" w:cs="Calibri"/>
                      <w:sz w:val="16"/>
                      <w:szCs w:val="16"/>
                    </w:rPr>
                  </w:pPr>
                  <w:r w:rsidRPr="003E1518">
                    <w:rPr>
                      <w:rFonts w:eastAsia="Times New Roman" w:cs="Calibri"/>
                      <w:sz w:val="16"/>
                      <w:szCs w:val="16"/>
                    </w:rPr>
                    <w:t>Doorﬁetsroute Maas- Waalkanaal</w:t>
                  </w:r>
                </w:p>
              </w:tc>
              <w:tc>
                <w:tcPr>
                  <w:tcW w:w="913" w:type="dxa"/>
                </w:tcPr>
                <w:p w:rsidRPr="003E1518" w:rsidR="00A3300F" w:rsidP="00A3300F" w14:paraId="297EC7C4" w14:textId="77777777">
                  <w:pPr>
                    <w:rPr>
                      <w:rFonts w:eastAsia="Times New Roman" w:cs="Times New Roman"/>
                      <w:sz w:val="16"/>
                      <w:szCs w:val="16"/>
                    </w:rPr>
                  </w:pPr>
                  <w:r w:rsidRPr="003E1518">
                    <w:rPr>
                      <w:rFonts w:cs="Calibri"/>
                      <w:sz w:val="16"/>
                      <w:szCs w:val="16"/>
                    </w:rPr>
                    <w:t>639</w:t>
                  </w:r>
                </w:p>
              </w:tc>
              <w:tc>
                <w:tcPr>
                  <w:tcW w:w="1259" w:type="dxa"/>
                </w:tcPr>
                <w:p w:rsidRPr="003E1518" w:rsidR="00A3300F" w:rsidP="00A3300F" w14:paraId="7FC2641E" w14:textId="77777777">
                  <w:pPr>
                    <w:rPr>
                      <w:rFonts w:eastAsia="Times New Roman" w:cs="Times New Roman"/>
                      <w:sz w:val="16"/>
                      <w:szCs w:val="16"/>
                    </w:rPr>
                  </w:pPr>
                  <w:r w:rsidRPr="003E1518">
                    <w:rPr>
                      <w:rFonts w:cs="Calibri"/>
                      <w:sz w:val="16"/>
                      <w:szCs w:val="16"/>
                    </w:rPr>
                    <w:t>€ 4.481.498</w:t>
                  </w:r>
                </w:p>
              </w:tc>
              <w:tc>
                <w:tcPr>
                  <w:tcW w:w="1259" w:type="dxa"/>
                </w:tcPr>
                <w:p w:rsidRPr="003E1518" w:rsidR="00A3300F" w:rsidP="00A3300F" w14:paraId="5F87E2C2" w14:textId="77777777">
                  <w:pPr>
                    <w:rPr>
                      <w:rFonts w:eastAsia="Times New Roman" w:cs="Times New Roman"/>
                      <w:sz w:val="16"/>
                      <w:szCs w:val="16"/>
                    </w:rPr>
                  </w:pPr>
                  <w:r w:rsidRPr="003E1518">
                    <w:rPr>
                      <w:rFonts w:cs="Calibri"/>
                      <w:sz w:val="16"/>
                      <w:szCs w:val="16"/>
                    </w:rPr>
                    <w:t>€ 2.425.241</w:t>
                  </w:r>
                </w:p>
              </w:tc>
              <w:tc>
                <w:tcPr>
                  <w:tcW w:w="1829" w:type="dxa"/>
                </w:tcPr>
                <w:p w:rsidRPr="003E1518" w:rsidR="00A3300F" w:rsidP="00A3300F" w14:paraId="7B132316" w14:textId="77777777">
                  <w:pPr>
                    <w:rPr>
                      <w:rFonts w:eastAsia="Times New Roman" w:cs="Times New Roman"/>
                      <w:sz w:val="16"/>
                      <w:szCs w:val="16"/>
                    </w:rPr>
                  </w:pPr>
                  <w:r w:rsidRPr="003E1518">
                    <w:rPr>
                      <w:rFonts w:cs="Calibri"/>
                      <w:sz w:val="16"/>
                      <w:szCs w:val="16"/>
                    </w:rPr>
                    <w:t>Aanleg regionale fietsroute</w:t>
                  </w:r>
                </w:p>
              </w:tc>
            </w:tr>
            <w:tr w:rsidTr="009935CA" w14:paraId="6501480A" w14:textId="77777777">
              <w:tblPrEx>
                <w:tblW w:w="8497" w:type="dxa"/>
                <w:tblInd w:w="0" w:type="dxa"/>
                <w:tblLayout w:type="fixed"/>
                <w:tblLook w:val="04A0"/>
              </w:tblPrEx>
              <w:trPr>
                <w:trHeight w:val="20"/>
              </w:trPr>
              <w:tc>
                <w:tcPr>
                  <w:tcW w:w="1372" w:type="dxa"/>
                  <w:hideMark/>
                </w:tcPr>
                <w:p w:rsidRPr="003E1518" w:rsidR="00A3300F" w:rsidP="00A3300F" w14:paraId="387C25A3" w14:textId="77777777">
                  <w:pPr>
                    <w:rPr>
                      <w:rFonts w:eastAsia="Times New Roman" w:cs="Calibri"/>
                      <w:sz w:val="16"/>
                      <w:szCs w:val="16"/>
                    </w:rPr>
                  </w:pPr>
                  <w:r w:rsidRPr="003E1518">
                    <w:rPr>
                      <w:rFonts w:eastAsia="Times New Roman" w:cs="Calibri"/>
                      <w:sz w:val="16"/>
                      <w:szCs w:val="16"/>
                    </w:rPr>
                    <w:t>Nijmegen</w:t>
                  </w:r>
                </w:p>
              </w:tc>
              <w:tc>
                <w:tcPr>
                  <w:tcW w:w="1865" w:type="dxa"/>
                  <w:hideMark/>
                </w:tcPr>
                <w:p w:rsidRPr="003E1518" w:rsidR="00A3300F" w:rsidP="00A3300F" w14:paraId="0DBCB0CA" w14:textId="77777777">
                  <w:pPr>
                    <w:rPr>
                      <w:rFonts w:eastAsia="Times New Roman" w:cs="Calibri"/>
                      <w:sz w:val="16"/>
                      <w:szCs w:val="16"/>
                    </w:rPr>
                  </w:pPr>
                  <w:r w:rsidRPr="003E1518">
                    <w:rPr>
                      <w:rFonts w:eastAsia="Times New Roman" w:cs="Calibri"/>
                      <w:sz w:val="16"/>
                      <w:szCs w:val="16"/>
                    </w:rPr>
                    <w:t>Stadsrandhub ‘Nijmegen- West’</w:t>
                  </w:r>
                </w:p>
              </w:tc>
              <w:tc>
                <w:tcPr>
                  <w:tcW w:w="913" w:type="dxa"/>
                </w:tcPr>
                <w:p w:rsidRPr="003E1518" w:rsidR="00A3300F" w:rsidP="00A3300F" w14:paraId="1AD6EF4E" w14:textId="77777777">
                  <w:pPr>
                    <w:rPr>
                      <w:rFonts w:eastAsia="Times New Roman" w:cs="Times New Roman"/>
                      <w:sz w:val="16"/>
                      <w:szCs w:val="16"/>
                    </w:rPr>
                  </w:pPr>
                  <w:r w:rsidRPr="003E1518">
                    <w:rPr>
                      <w:rFonts w:cs="Calibri"/>
                      <w:sz w:val="16"/>
                      <w:szCs w:val="16"/>
                    </w:rPr>
                    <w:t>1.000</w:t>
                  </w:r>
                </w:p>
              </w:tc>
              <w:tc>
                <w:tcPr>
                  <w:tcW w:w="1259" w:type="dxa"/>
                </w:tcPr>
                <w:p w:rsidRPr="003E1518" w:rsidR="00A3300F" w:rsidP="00A3300F" w14:paraId="42A74679" w14:textId="77777777">
                  <w:pPr>
                    <w:rPr>
                      <w:rFonts w:eastAsia="Times New Roman" w:cs="Times New Roman"/>
                      <w:sz w:val="16"/>
                      <w:szCs w:val="16"/>
                    </w:rPr>
                  </w:pPr>
                  <w:r w:rsidRPr="003E1518">
                    <w:rPr>
                      <w:rFonts w:cs="Calibri"/>
                      <w:sz w:val="16"/>
                      <w:szCs w:val="16"/>
                    </w:rPr>
                    <w:t>€ 9.701.250</w:t>
                  </w:r>
                </w:p>
              </w:tc>
              <w:tc>
                <w:tcPr>
                  <w:tcW w:w="1259" w:type="dxa"/>
                </w:tcPr>
                <w:p w:rsidRPr="003E1518" w:rsidR="00A3300F" w:rsidP="00A3300F" w14:paraId="26476035" w14:textId="77777777">
                  <w:pPr>
                    <w:rPr>
                      <w:rFonts w:eastAsia="Times New Roman" w:cs="Times New Roman"/>
                      <w:sz w:val="16"/>
                      <w:szCs w:val="16"/>
                    </w:rPr>
                  </w:pPr>
                  <w:r w:rsidRPr="003E1518">
                    <w:rPr>
                      <w:rFonts w:cs="Calibri"/>
                      <w:sz w:val="16"/>
                      <w:szCs w:val="16"/>
                    </w:rPr>
                    <w:t>€ 5.250.000</w:t>
                  </w:r>
                </w:p>
              </w:tc>
              <w:tc>
                <w:tcPr>
                  <w:tcW w:w="1829" w:type="dxa"/>
                </w:tcPr>
                <w:p w:rsidRPr="003E1518" w:rsidR="00A3300F" w:rsidP="00A3300F" w14:paraId="1B429956" w14:textId="77777777">
                  <w:pPr>
                    <w:rPr>
                      <w:rFonts w:eastAsia="Times New Roman" w:cs="Times New Roman"/>
                      <w:sz w:val="16"/>
                      <w:szCs w:val="16"/>
                    </w:rPr>
                  </w:pPr>
                  <w:r w:rsidRPr="003E1518">
                    <w:rPr>
                      <w:rFonts w:cs="Calibri"/>
                      <w:sz w:val="16"/>
                      <w:szCs w:val="16"/>
                    </w:rPr>
                    <w:t>Mobiliteitshub</w:t>
                  </w:r>
                </w:p>
              </w:tc>
            </w:tr>
            <w:tr w:rsidTr="009935CA" w14:paraId="2F4F97C0" w14:textId="77777777">
              <w:tblPrEx>
                <w:tblW w:w="8497" w:type="dxa"/>
                <w:tblInd w:w="0" w:type="dxa"/>
                <w:tblLayout w:type="fixed"/>
                <w:tblLook w:val="04A0"/>
              </w:tblPrEx>
              <w:trPr>
                <w:trHeight w:val="20"/>
              </w:trPr>
              <w:tc>
                <w:tcPr>
                  <w:tcW w:w="1372" w:type="dxa"/>
                  <w:hideMark/>
                </w:tcPr>
                <w:p w:rsidRPr="003E1518" w:rsidR="00A3300F" w:rsidP="00A3300F" w14:paraId="7D3592A1" w14:textId="77777777">
                  <w:pPr>
                    <w:rPr>
                      <w:rFonts w:eastAsia="Times New Roman" w:cs="Calibri"/>
                      <w:sz w:val="16"/>
                      <w:szCs w:val="16"/>
                    </w:rPr>
                  </w:pPr>
                  <w:r w:rsidRPr="003E1518">
                    <w:rPr>
                      <w:rFonts w:eastAsia="Times New Roman" w:cs="Calibri"/>
                      <w:sz w:val="16"/>
                      <w:szCs w:val="16"/>
                    </w:rPr>
                    <w:t>Oldenzaal</w:t>
                  </w:r>
                </w:p>
              </w:tc>
              <w:tc>
                <w:tcPr>
                  <w:tcW w:w="1865" w:type="dxa"/>
                  <w:hideMark/>
                </w:tcPr>
                <w:p w:rsidRPr="003E1518" w:rsidR="00A3300F" w:rsidP="00A3300F" w14:paraId="0B471304" w14:textId="77777777">
                  <w:pPr>
                    <w:rPr>
                      <w:rFonts w:eastAsia="Times New Roman" w:cs="Calibri"/>
                      <w:sz w:val="16"/>
                      <w:szCs w:val="16"/>
                    </w:rPr>
                  </w:pPr>
                  <w:r w:rsidRPr="003E1518">
                    <w:rPr>
                      <w:rFonts w:eastAsia="Times New Roman" w:cs="Calibri"/>
                      <w:sz w:val="16"/>
                      <w:szCs w:val="16"/>
                    </w:rPr>
                    <w:t>Oldenzaal Zuid</w:t>
                  </w:r>
                </w:p>
              </w:tc>
              <w:tc>
                <w:tcPr>
                  <w:tcW w:w="913" w:type="dxa"/>
                </w:tcPr>
                <w:p w:rsidRPr="003E1518" w:rsidR="00A3300F" w:rsidP="00A3300F" w14:paraId="40B142EA" w14:textId="77777777">
                  <w:pPr>
                    <w:rPr>
                      <w:rFonts w:eastAsia="Times New Roman" w:cs="Times New Roman"/>
                      <w:sz w:val="16"/>
                      <w:szCs w:val="16"/>
                    </w:rPr>
                  </w:pPr>
                  <w:r w:rsidRPr="003E1518">
                    <w:rPr>
                      <w:rFonts w:cs="Calibri"/>
                      <w:sz w:val="16"/>
                      <w:szCs w:val="16"/>
                    </w:rPr>
                    <w:t>350</w:t>
                  </w:r>
                </w:p>
              </w:tc>
              <w:tc>
                <w:tcPr>
                  <w:tcW w:w="1259" w:type="dxa"/>
                </w:tcPr>
                <w:p w:rsidRPr="003E1518" w:rsidR="00A3300F" w:rsidP="00A3300F" w14:paraId="6B60E944" w14:textId="77777777">
                  <w:pPr>
                    <w:rPr>
                      <w:rFonts w:eastAsia="Times New Roman" w:cs="Times New Roman"/>
                      <w:sz w:val="16"/>
                      <w:szCs w:val="16"/>
                    </w:rPr>
                  </w:pPr>
                  <w:r w:rsidRPr="003E1518">
                    <w:rPr>
                      <w:rFonts w:cs="Calibri"/>
                      <w:sz w:val="16"/>
                      <w:szCs w:val="16"/>
                    </w:rPr>
                    <w:t>€ 4.354.989</w:t>
                  </w:r>
                </w:p>
              </w:tc>
              <w:tc>
                <w:tcPr>
                  <w:tcW w:w="1259" w:type="dxa"/>
                </w:tcPr>
                <w:p w:rsidRPr="003E1518" w:rsidR="00A3300F" w:rsidP="00A3300F" w14:paraId="7FE1C2DF" w14:textId="77777777">
                  <w:pPr>
                    <w:rPr>
                      <w:rFonts w:eastAsia="Times New Roman" w:cs="Times New Roman"/>
                      <w:sz w:val="16"/>
                      <w:szCs w:val="16"/>
                    </w:rPr>
                  </w:pPr>
                  <w:r w:rsidRPr="003E1518">
                    <w:rPr>
                      <w:rFonts w:cs="Calibri"/>
                      <w:sz w:val="16"/>
                      <w:szCs w:val="16"/>
                    </w:rPr>
                    <w:t>€ 2.356.777</w:t>
                  </w:r>
                </w:p>
              </w:tc>
              <w:tc>
                <w:tcPr>
                  <w:tcW w:w="1829" w:type="dxa"/>
                </w:tcPr>
                <w:p w:rsidRPr="003E1518" w:rsidR="00A3300F" w:rsidP="00A3300F" w14:paraId="12FDD7E1" w14:textId="77777777">
                  <w:pPr>
                    <w:rPr>
                      <w:rFonts w:eastAsia="Times New Roman" w:cs="Times New Roman"/>
                      <w:sz w:val="16"/>
                      <w:szCs w:val="16"/>
                    </w:rPr>
                  </w:pPr>
                  <w:r w:rsidRPr="003E1518">
                    <w:rPr>
                      <w:rFonts w:cs="Calibri"/>
                      <w:sz w:val="16"/>
                      <w:szCs w:val="16"/>
                    </w:rPr>
                    <w:t xml:space="preserve">Herinrichting rotonde, aanleg fietspaden, aanleg voetgangerspaden, herinrichting erftoegangswegen tot fietsstraat, herinrichting </w:t>
                  </w:r>
                  <w:r w:rsidRPr="003E1518">
                    <w:rPr>
                      <w:rFonts w:cs="Calibri"/>
                      <w:sz w:val="16"/>
                      <w:szCs w:val="16"/>
                    </w:rPr>
                    <w:t>ontsluitingswegen tot erftoegangsweg</w:t>
                  </w:r>
                </w:p>
              </w:tc>
            </w:tr>
            <w:tr w:rsidTr="009935CA" w14:paraId="4CB53900" w14:textId="77777777">
              <w:tblPrEx>
                <w:tblW w:w="8497" w:type="dxa"/>
                <w:tblInd w:w="0" w:type="dxa"/>
                <w:tblLayout w:type="fixed"/>
                <w:tblLook w:val="04A0"/>
              </w:tblPrEx>
              <w:trPr>
                <w:trHeight w:val="20"/>
              </w:trPr>
              <w:tc>
                <w:tcPr>
                  <w:tcW w:w="1372" w:type="dxa"/>
                  <w:hideMark/>
                </w:tcPr>
                <w:p w:rsidRPr="003E1518" w:rsidR="00A3300F" w:rsidP="00A3300F" w14:paraId="1B7D5F65" w14:textId="77777777">
                  <w:pPr>
                    <w:rPr>
                      <w:rFonts w:eastAsia="Times New Roman" w:cs="Calibri"/>
                      <w:sz w:val="16"/>
                      <w:szCs w:val="16"/>
                    </w:rPr>
                  </w:pPr>
                  <w:r w:rsidRPr="003E1518">
                    <w:rPr>
                      <w:rFonts w:eastAsia="Times New Roman" w:cs="Calibri"/>
                      <w:sz w:val="16"/>
                      <w:szCs w:val="16"/>
                    </w:rPr>
                    <w:t>Olst-Wijhe</w:t>
                  </w:r>
                </w:p>
              </w:tc>
              <w:tc>
                <w:tcPr>
                  <w:tcW w:w="1865" w:type="dxa"/>
                  <w:hideMark/>
                </w:tcPr>
                <w:p w:rsidRPr="003E1518" w:rsidR="00A3300F" w:rsidP="00A3300F" w14:paraId="33C15379" w14:textId="77777777">
                  <w:pPr>
                    <w:rPr>
                      <w:rFonts w:eastAsia="Times New Roman" w:cs="Calibri"/>
                      <w:sz w:val="16"/>
                      <w:szCs w:val="16"/>
                    </w:rPr>
                  </w:pPr>
                  <w:r w:rsidRPr="003E1518">
                    <w:rPr>
                      <w:rFonts w:eastAsia="Times New Roman" w:cs="Calibri"/>
                      <w:sz w:val="16"/>
                      <w:szCs w:val="16"/>
                    </w:rPr>
                    <w:t>Wijhe Noord, fase 1</w:t>
                  </w:r>
                </w:p>
              </w:tc>
              <w:tc>
                <w:tcPr>
                  <w:tcW w:w="913" w:type="dxa"/>
                </w:tcPr>
                <w:p w:rsidRPr="003E1518" w:rsidR="00A3300F" w:rsidP="00A3300F" w14:paraId="1AAC2220" w14:textId="77777777">
                  <w:pPr>
                    <w:rPr>
                      <w:rFonts w:eastAsia="Times New Roman" w:cs="Times New Roman"/>
                      <w:sz w:val="16"/>
                      <w:szCs w:val="16"/>
                    </w:rPr>
                  </w:pPr>
                  <w:r w:rsidRPr="003E1518">
                    <w:rPr>
                      <w:rFonts w:cs="Calibri"/>
                      <w:sz w:val="16"/>
                      <w:szCs w:val="16"/>
                    </w:rPr>
                    <w:t>300</w:t>
                  </w:r>
                </w:p>
              </w:tc>
              <w:tc>
                <w:tcPr>
                  <w:tcW w:w="1259" w:type="dxa"/>
                </w:tcPr>
                <w:p w:rsidRPr="003E1518" w:rsidR="00A3300F" w:rsidP="00A3300F" w14:paraId="58A5DEF2" w14:textId="77777777">
                  <w:pPr>
                    <w:rPr>
                      <w:rFonts w:eastAsia="Times New Roman" w:cs="Times New Roman"/>
                      <w:sz w:val="16"/>
                      <w:szCs w:val="16"/>
                    </w:rPr>
                  </w:pPr>
                  <w:r w:rsidRPr="003E1518">
                    <w:rPr>
                      <w:rFonts w:cs="Calibri"/>
                      <w:sz w:val="16"/>
                      <w:szCs w:val="16"/>
                    </w:rPr>
                    <w:t>€ 497.500</w:t>
                  </w:r>
                </w:p>
              </w:tc>
              <w:tc>
                <w:tcPr>
                  <w:tcW w:w="1259" w:type="dxa"/>
                </w:tcPr>
                <w:p w:rsidRPr="003E1518" w:rsidR="00A3300F" w:rsidP="00A3300F" w14:paraId="6E66C207" w14:textId="77777777">
                  <w:pPr>
                    <w:rPr>
                      <w:rFonts w:eastAsia="Times New Roman" w:cs="Times New Roman"/>
                      <w:sz w:val="16"/>
                      <w:szCs w:val="16"/>
                    </w:rPr>
                  </w:pPr>
                  <w:r w:rsidRPr="003E1518">
                    <w:rPr>
                      <w:rFonts w:cs="Calibri"/>
                      <w:sz w:val="16"/>
                      <w:szCs w:val="16"/>
                    </w:rPr>
                    <w:t>€ 390.000</w:t>
                  </w:r>
                </w:p>
              </w:tc>
              <w:tc>
                <w:tcPr>
                  <w:tcW w:w="1829" w:type="dxa"/>
                </w:tcPr>
                <w:p w:rsidRPr="003E1518" w:rsidR="00A3300F" w:rsidP="00A3300F" w14:paraId="772E77C2" w14:textId="77777777">
                  <w:pPr>
                    <w:rPr>
                      <w:rFonts w:eastAsia="Times New Roman" w:cs="Times New Roman"/>
                      <w:sz w:val="16"/>
                      <w:szCs w:val="16"/>
                    </w:rPr>
                  </w:pPr>
                  <w:r w:rsidRPr="003E1518">
                    <w:rPr>
                      <w:rFonts w:cs="Calibri"/>
                      <w:sz w:val="16"/>
                      <w:szCs w:val="16"/>
                    </w:rPr>
                    <w:t>Aanleg fietspad</w:t>
                  </w:r>
                </w:p>
              </w:tc>
            </w:tr>
            <w:tr w:rsidTr="009935CA" w14:paraId="5AF97000" w14:textId="77777777">
              <w:tblPrEx>
                <w:tblW w:w="8497" w:type="dxa"/>
                <w:tblInd w:w="0" w:type="dxa"/>
                <w:tblLayout w:type="fixed"/>
                <w:tblLook w:val="04A0"/>
              </w:tblPrEx>
              <w:trPr>
                <w:trHeight w:val="20"/>
              </w:trPr>
              <w:tc>
                <w:tcPr>
                  <w:tcW w:w="1372" w:type="dxa"/>
                  <w:hideMark/>
                </w:tcPr>
                <w:p w:rsidRPr="003E1518" w:rsidR="00A3300F" w:rsidP="00A3300F" w14:paraId="5F5881A6" w14:textId="77777777">
                  <w:pPr>
                    <w:rPr>
                      <w:rFonts w:eastAsia="Times New Roman" w:cs="Calibri"/>
                      <w:sz w:val="16"/>
                      <w:szCs w:val="16"/>
                    </w:rPr>
                  </w:pPr>
                  <w:r w:rsidRPr="003E1518">
                    <w:rPr>
                      <w:rFonts w:eastAsia="Times New Roman" w:cs="Calibri"/>
                      <w:sz w:val="16"/>
                      <w:szCs w:val="16"/>
                    </w:rPr>
                    <w:t>Ommen</w:t>
                  </w:r>
                </w:p>
              </w:tc>
              <w:tc>
                <w:tcPr>
                  <w:tcW w:w="1865" w:type="dxa"/>
                  <w:hideMark/>
                </w:tcPr>
                <w:p w:rsidRPr="003E1518" w:rsidR="00A3300F" w:rsidP="00A3300F" w14:paraId="6172B689" w14:textId="77777777">
                  <w:pPr>
                    <w:rPr>
                      <w:rFonts w:eastAsia="Times New Roman" w:cs="Calibri"/>
                      <w:sz w:val="16"/>
                      <w:szCs w:val="16"/>
                    </w:rPr>
                  </w:pPr>
                  <w:r w:rsidRPr="003E1518">
                    <w:rPr>
                      <w:rFonts w:eastAsia="Times New Roman" w:cs="Calibri"/>
                      <w:sz w:val="16"/>
                      <w:szCs w:val="16"/>
                    </w:rPr>
                    <w:t>Vlierland</w:t>
                  </w:r>
                </w:p>
              </w:tc>
              <w:tc>
                <w:tcPr>
                  <w:tcW w:w="913" w:type="dxa"/>
                </w:tcPr>
                <w:p w:rsidRPr="003E1518" w:rsidR="00A3300F" w:rsidP="00A3300F" w14:paraId="08D1A1EE" w14:textId="77777777">
                  <w:pPr>
                    <w:rPr>
                      <w:rFonts w:eastAsia="Times New Roman" w:cs="Times New Roman"/>
                      <w:sz w:val="16"/>
                      <w:szCs w:val="16"/>
                    </w:rPr>
                  </w:pPr>
                  <w:r w:rsidRPr="003E1518">
                    <w:rPr>
                      <w:rFonts w:cs="Calibri"/>
                      <w:sz w:val="16"/>
                      <w:szCs w:val="16"/>
                    </w:rPr>
                    <w:t>375</w:t>
                  </w:r>
                </w:p>
              </w:tc>
              <w:tc>
                <w:tcPr>
                  <w:tcW w:w="1259" w:type="dxa"/>
                </w:tcPr>
                <w:p w:rsidRPr="003E1518" w:rsidR="00A3300F" w:rsidP="00A3300F" w14:paraId="6D3DDA1C" w14:textId="77777777">
                  <w:pPr>
                    <w:rPr>
                      <w:rFonts w:eastAsia="Times New Roman" w:cs="Times New Roman"/>
                      <w:sz w:val="16"/>
                      <w:szCs w:val="16"/>
                    </w:rPr>
                  </w:pPr>
                  <w:r w:rsidRPr="003E1518">
                    <w:rPr>
                      <w:rFonts w:cs="Calibri"/>
                      <w:sz w:val="16"/>
                      <w:szCs w:val="16"/>
                    </w:rPr>
                    <w:t>€ 3.612.453</w:t>
                  </w:r>
                </w:p>
              </w:tc>
              <w:tc>
                <w:tcPr>
                  <w:tcW w:w="1259" w:type="dxa"/>
                </w:tcPr>
                <w:p w:rsidRPr="003E1518" w:rsidR="00A3300F" w:rsidP="00A3300F" w14:paraId="78E55C47" w14:textId="77777777">
                  <w:pPr>
                    <w:rPr>
                      <w:rFonts w:eastAsia="Times New Roman" w:cs="Times New Roman"/>
                      <w:sz w:val="16"/>
                      <w:szCs w:val="16"/>
                    </w:rPr>
                  </w:pPr>
                  <w:r w:rsidRPr="003E1518">
                    <w:rPr>
                      <w:rFonts w:cs="Calibri"/>
                      <w:sz w:val="16"/>
                      <w:szCs w:val="16"/>
                    </w:rPr>
                    <w:t>€ 5.000.000</w:t>
                  </w:r>
                </w:p>
              </w:tc>
              <w:tc>
                <w:tcPr>
                  <w:tcW w:w="1829" w:type="dxa"/>
                </w:tcPr>
                <w:p w:rsidRPr="003E1518" w:rsidR="00A3300F" w:rsidP="00A3300F" w14:paraId="12121698" w14:textId="77777777">
                  <w:pPr>
                    <w:rPr>
                      <w:rFonts w:eastAsia="Times New Roman" w:cs="Times New Roman"/>
                      <w:sz w:val="16"/>
                      <w:szCs w:val="16"/>
                    </w:rPr>
                  </w:pPr>
                  <w:r w:rsidRPr="003E1518">
                    <w:rPr>
                      <w:rFonts w:cs="Calibri"/>
                      <w:sz w:val="16"/>
                      <w:szCs w:val="16"/>
                    </w:rPr>
                    <w:t>Aanleg fietstunnel</w:t>
                  </w:r>
                </w:p>
              </w:tc>
            </w:tr>
            <w:tr w:rsidTr="009935CA" w14:paraId="0CA0F034" w14:textId="77777777">
              <w:tblPrEx>
                <w:tblW w:w="8497" w:type="dxa"/>
                <w:tblInd w:w="0" w:type="dxa"/>
                <w:tblLayout w:type="fixed"/>
                <w:tblLook w:val="04A0"/>
              </w:tblPrEx>
              <w:trPr>
                <w:trHeight w:val="20"/>
              </w:trPr>
              <w:tc>
                <w:tcPr>
                  <w:tcW w:w="1372" w:type="dxa"/>
                  <w:hideMark/>
                </w:tcPr>
                <w:p w:rsidRPr="003E1518" w:rsidR="00A3300F" w:rsidP="00A3300F" w14:paraId="2E4AA557" w14:textId="77777777">
                  <w:pPr>
                    <w:rPr>
                      <w:rFonts w:eastAsia="Times New Roman" w:cs="Calibri"/>
                      <w:sz w:val="16"/>
                      <w:szCs w:val="16"/>
                    </w:rPr>
                  </w:pPr>
                  <w:r w:rsidRPr="003E1518">
                    <w:rPr>
                      <w:rFonts w:eastAsia="Times New Roman" w:cs="Calibri"/>
                      <w:sz w:val="16"/>
                      <w:szCs w:val="16"/>
                    </w:rPr>
                    <w:t>Overbetuwe</w:t>
                  </w:r>
                </w:p>
              </w:tc>
              <w:tc>
                <w:tcPr>
                  <w:tcW w:w="1865" w:type="dxa"/>
                  <w:hideMark/>
                </w:tcPr>
                <w:p w:rsidRPr="003E1518" w:rsidR="00A3300F" w:rsidP="00A3300F" w14:paraId="00B5BF52" w14:textId="77777777">
                  <w:pPr>
                    <w:rPr>
                      <w:rFonts w:eastAsia="Times New Roman" w:cs="Calibri"/>
                      <w:sz w:val="16"/>
                      <w:szCs w:val="16"/>
                    </w:rPr>
                  </w:pPr>
                  <w:r w:rsidRPr="003E1518">
                    <w:rPr>
                      <w:rFonts w:eastAsia="Times New Roman" w:cs="Calibri"/>
                      <w:sz w:val="16"/>
                      <w:szCs w:val="16"/>
                    </w:rPr>
                    <w:t>Knooppunt Zetten</w:t>
                  </w:r>
                </w:p>
              </w:tc>
              <w:tc>
                <w:tcPr>
                  <w:tcW w:w="913" w:type="dxa"/>
                </w:tcPr>
                <w:p w:rsidRPr="003E1518" w:rsidR="00A3300F" w:rsidP="00A3300F" w14:paraId="57794F8E" w14:textId="77777777">
                  <w:pPr>
                    <w:rPr>
                      <w:rFonts w:eastAsia="Times New Roman" w:cs="Times New Roman"/>
                      <w:sz w:val="16"/>
                      <w:szCs w:val="16"/>
                    </w:rPr>
                  </w:pPr>
                  <w:r w:rsidRPr="003E1518">
                    <w:rPr>
                      <w:rFonts w:cs="Calibri"/>
                      <w:sz w:val="16"/>
                      <w:szCs w:val="16"/>
                    </w:rPr>
                    <w:t>468</w:t>
                  </w:r>
                </w:p>
              </w:tc>
              <w:tc>
                <w:tcPr>
                  <w:tcW w:w="1259" w:type="dxa"/>
                </w:tcPr>
                <w:p w:rsidRPr="003E1518" w:rsidR="00A3300F" w:rsidP="00A3300F" w14:paraId="63EDDF37" w14:textId="77777777">
                  <w:pPr>
                    <w:rPr>
                      <w:rFonts w:eastAsia="Times New Roman" w:cs="Times New Roman"/>
                      <w:sz w:val="16"/>
                      <w:szCs w:val="16"/>
                    </w:rPr>
                  </w:pPr>
                  <w:r w:rsidRPr="003E1518">
                    <w:rPr>
                      <w:rFonts w:cs="Calibri"/>
                      <w:sz w:val="16"/>
                      <w:szCs w:val="16"/>
                    </w:rPr>
                    <w:t>€ 2.868.971</w:t>
                  </w:r>
                </w:p>
              </w:tc>
              <w:tc>
                <w:tcPr>
                  <w:tcW w:w="1259" w:type="dxa"/>
                </w:tcPr>
                <w:p w:rsidRPr="003E1518" w:rsidR="00A3300F" w:rsidP="00A3300F" w14:paraId="3799241D" w14:textId="77777777">
                  <w:pPr>
                    <w:rPr>
                      <w:rFonts w:eastAsia="Times New Roman" w:cs="Times New Roman"/>
                      <w:sz w:val="16"/>
                      <w:szCs w:val="16"/>
                    </w:rPr>
                  </w:pPr>
                  <w:r w:rsidRPr="003E1518">
                    <w:rPr>
                      <w:rFonts w:cs="Calibri"/>
                      <w:sz w:val="16"/>
                      <w:szCs w:val="16"/>
                    </w:rPr>
                    <w:t>€ 1.552.592</w:t>
                  </w:r>
                </w:p>
              </w:tc>
              <w:tc>
                <w:tcPr>
                  <w:tcW w:w="1829" w:type="dxa"/>
                </w:tcPr>
                <w:p w:rsidRPr="003E1518" w:rsidR="00A3300F" w:rsidP="00A3300F" w14:paraId="090B2BEE" w14:textId="77777777">
                  <w:pPr>
                    <w:rPr>
                      <w:rFonts w:eastAsia="Times New Roman" w:cs="Times New Roman"/>
                      <w:sz w:val="16"/>
                      <w:szCs w:val="16"/>
                    </w:rPr>
                  </w:pPr>
                  <w:r w:rsidRPr="003E1518">
                    <w:rPr>
                      <w:rFonts w:cs="Calibri"/>
                      <w:sz w:val="16"/>
                      <w:szCs w:val="16"/>
                    </w:rPr>
                    <w:t>Aanleg ontsluitingsweg, aanleg rotonde, aanleg kruising, herinrichting stationsgbied, aanleg fiets- en voetgangerspad, herinrichting ontsluitingsweg, herinrichting kruising</w:t>
                  </w:r>
                </w:p>
              </w:tc>
            </w:tr>
            <w:tr w:rsidTr="009935CA" w14:paraId="20CA282B" w14:textId="77777777">
              <w:tblPrEx>
                <w:tblW w:w="8497" w:type="dxa"/>
                <w:tblInd w:w="0" w:type="dxa"/>
                <w:tblLayout w:type="fixed"/>
                <w:tblLook w:val="04A0"/>
              </w:tblPrEx>
              <w:trPr>
                <w:trHeight w:val="20"/>
              </w:trPr>
              <w:tc>
                <w:tcPr>
                  <w:tcW w:w="1372" w:type="dxa"/>
                  <w:hideMark/>
                </w:tcPr>
                <w:p w:rsidRPr="003E1518" w:rsidR="00A3300F" w:rsidP="00A3300F" w14:paraId="152BAAD9" w14:textId="77777777">
                  <w:pPr>
                    <w:rPr>
                      <w:rFonts w:eastAsia="Times New Roman" w:cs="Calibri"/>
                      <w:sz w:val="16"/>
                      <w:szCs w:val="16"/>
                    </w:rPr>
                  </w:pPr>
                  <w:r w:rsidRPr="003E1518">
                    <w:rPr>
                      <w:rFonts w:eastAsia="Times New Roman" w:cs="Calibri"/>
                      <w:sz w:val="16"/>
                      <w:szCs w:val="16"/>
                    </w:rPr>
                    <w:t>Raalte</w:t>
                  </w:r>
                </w:p>
              </w:tc>
              <w:tc>
                <w:tcPr>
                  <w:tcW w:w="1865" w:type="dxa"/>
                  <w:hideMark/>
                </w:tcPr>
                <w:p w:rsidRPr="003E1518" w:rsidR="00A3300F" w:rsidP="00A3300F" w14:paraId="474603E6" w14:textId="77777777">
                  <w:pPr>
                    <w:rPr>
                      <w:rFonts w:eastAsia="Times New Roman" w:cs="Calibri"/>
                      <w:sz w:val="16"/>
                      <w:szCs w:val="16"/>
                    </w:rPr>
                  </w:pPr>
                  <w:r w:rsidRPr="003E1518">
                    <w:rPr>
                      <w:rFonts w:eastAsia="Times New Roman" w:cs="Calibri"/>
                      <w:sz w:val="16"/>
                      <w:szCs w:val="16"/>
                    </w:rPr>
                    <w:t>Raalte - woningbouw korte termijn</w:t>
                  </w:r>
                </w:p>
              </w:tc>
              <w:tc>
                <w:tcPr>
                  <w:tcW w:w="913" w:type="dxa"/>
                </w:tcPr>
                <w:p w:rsidRPr="003E1518" w:rsidR="00A3300F" w:rsidP="00A3300F" w14:paraId="641069D1" w14:textId="77777777">
                  <w:pPr>
                    <w:rPr>
                      <w:rFonts w:eastAsia="Times New Roman" w:cs="Times New Roman"/>
                      <w:sz w:val="16"/>
                      <w:szCs w:val="16"/>
                    </w:rPr>
                  </w:pPr>
                  <w:r w:rsidRPr="003E1518">
                    <w:rPr>
                      <w:rFonts w:cs="Calibri"/>
                      <w:sz w:val="16"/>
                      <w:szCs w:val="16"/>
                    </w:rPr>
                    <w:t>1.300</w:t>
                  </w:r>
                </w:p>
              </w:tc>
              <w:tc>
                <w:tcPr>
                  <w:tcW w:w="1259" w:type="dxa"/>
                </w:tcPr>
                <w:p w:rsidRPr="003E1518" w:rsidR="00A3300F" w:rsidP="00A3300F" w14:paraId="64B859E7" w14:textId="77777777">
                  <w:pPr>
                    <w:rPr>
                      <w:rFonts w:eastAsia="Times New Roman" w:cs="Times New Roman"/>
                      <w:sz w:val="16"/>
                      <w:szCs w:val="16"/>
                    </w:rPr>
                  </w:pPr>
                  <w:r w:rsidRPr="003E1518">
                    <w:rPr>
                      <w:rFonts w:cs="Calibri"/>
                      <w:sz w:val="16"/>
                      <w:szCs w:val="16"/>
                    </w:rPr>
                    <w:t>€ 12.935.000</w:t>
                  </w:r>
                </w:p>
              </w:tc>
              <w:tc>
                <w:tcPr>
                  <w:tcW w:w="1259" w:type="dxa"/>
                </w:tcPr>
                <w:p w:rsidRPr="003E1518" w:rsidR="00A3300F" w:rsidP="00A3300F" w14:paraId="0F5DF11A" w14:textId="77777777">
                  <w:pPr>
                    <w:rPr>
                      <w:rFonts w:eastAsia="Times New Roman" w:cs="Times New Roman"/>
                      <w:sz w:val="16"/>
                      <w:szCs w:val="16"/>
                    </w:rPr>
                  </w:pPr>
                  <w:r w:rsidRPr="003E1518">
                    <w:rPr>
                      <w:rFonts w:cs="Calibri"/>
                      <w:sz w:val="16"/>
                      <w:szCs w:val="16"/>
                    </w:rPr>
                    <w:t>€ 8.555.044</w:t>
                  </w:r>
                </w:p>
              </w:tc>
              <w:tc>
                <w:tcPr>
                  <w:tcW w:w="1829" w:type="dxa"/>
                </w:tcPr>
                <w:p w:rsidRPr="003E1518" w:rsidR="00A3300F" w:rsidP="00A3300F" w14:paraId="21F7216D" w14:textId="77777777">
                  <w:pPr>
                    <w:rPr>
                      <w:rFonts w:eastAsia="Times New Roman" w:cs="Times New Roman"/>
                      <w:sz w:val="16"/>
                      <w:szCs w:val="16"/>
                    </w:rPr>
                  </w:pPr>
                  <w:r w:rsidRPr="003E1518">
                    <w:rPr>
                      <w:rFonts w:cs="Calibri"/>
                      <w:sz w:val="16"/>
                      <w:szCs w:val="16"/>
                    </w:rPr>
                    <w:t>Aanleg fiets- en voetgangerstunnel (weg), aanleg rotonde, aanleg ontsluitingsweg, aanleg fiets- en voetgangerspad</w:t>
                  </w:r>
                </w:p>
              </w:tc>
            </w:tr>
            <w:tr w:rsidTr="009935CA" w14:paraId="5FBEE1FA" w14:textId="77777777">
              <w:tblPrEx>
                <w:tblW w:w="8497" w:type="dxa"/>
                <w:tblInd w:w="0" w:type="dxa"/>
                <w:tblLayout w:type="fixed"/>
                <w:tblLook w:val="04A0"/>
              </w:tblPrEx>
              <w:trPr>
                <w:trHeight w:val="20"/>
              </w:trPr>
              <w:tc>
                <w:tcPr>
                  <w:tcW w:w="1372" w:type="dxa"/>
                  <w:hideMark/>
                </w:tcPr>
                <w:p w:rsidRPr="003E1518" w:rsidR="00A3300F" w:rsidP="00A3300F" w14:paraId="0673BDBC" w14:textId="77777777">
                  <w:pPr>
                    <w:rPr>
                      <w:rFonts w:eastAsia="Times New Roman" w:cs="Calibri"/>
                      <w:sz w:val="16"/>
                      <w:szCs w:val="16"/>
                    </w:rPr>
                  </w:pPr>
                  <w:r w:rsidRPr="003E1518">
                    <w:rPr>
                      <w:rFonts w:eastAsia="Times New Roman" w:cs="Calibri"/>
                      <w:sz w:val="16"/>
                      <w:szCs w:val="16"/>
                    </w:rPr>
                    <w:t>Regio Foodvalley</w:t>
                  </w:r>
                </w:p>
              </w:tc>
              <w:tc>
                <w:tcPr>
                  <w:tcW w:w="1865" w:type="dxa"/>
                  <w:hideMark/>
                </w:tcPr>
                <w:p w:rsidRPr="003E1518" w:rsidR="00A3300F" w:rsidP="00A3300F" w14:paraId="21428D0C" w14:textId="77777777">
                  <w:pPr>
                    <w:rPr>
                      <w:rFonts w:eastAsia="Times New Roman" w:cs="Calibri"/>
                      <w:sz w:val="16"/>
                      <w:szCs w:val="16"/>
                    </w:rPr>
                  </w:pPr>
                  <w:r w:rsidRPr="003E1518">
                    <w:rPr>
                      <w:rFonts w:eastAsia="Times New Roman" w:cs="Calibri"/>
                      <w:sz w:val="16"/>
                      <w:szCs w:val="16"/>
                    </w:rPr>
                    <w:t>Doorﬁetsroutes Regio Foodvalley, drager voor de verstedelijkingsopgave</w:t>
                  </w:r>
                </w:p>
              </w:tc>
              <w:tc>
                <w:tcPr>
                  <w:tcW w:w="913" w:type="dxa"/>
                </w:tcPr>
                <w:p w:rsidRPr="003E1518" w:rsidR="00A3300F" w:rsidP="00A3300F" w14:paraId="1129BE3C" w14:textId="77777777">
                  <w:pPr>
                    <w:rPr>
                      <w:rFonts w:eastAsia="Times New Roman" w:cs="Times New Roman"/>
                      <w:sz w:val="16"/>
                      <w:szCs w:val="16"/>
                    </w:rPr>
                  </w:pPr>
                  <w:r w:rsidRPr="003E1518">
                    <w:rPr>
                      <w:rFonts w:cs="Calibri"/>
                      <w:sz w:val="16"/>
                      <w:szCs w:val="16"/>
                    </w:rPr>
                    <w:t>4.060</w:t>
                  </w:r>
                </w:p>
              </w:tc>
              <w:tc>
                <w:tcPr>
                  <w:tcW w:w="1259" w:type="dxa"/>
                </w:tcPr>
                <w:p w:rsidRPr="003E1518" w:rsidR="00A3300F" w:rsidP="00A3300F" w14:paraId="0973B21B" w14:textId="77777777">
                  <w:pPr>
                    <w:rPr>
                      <w:rFonts w:eastAsia="Times New Roman" w:cs="Times New Roman"/>
                      <w:sz w:val="16"/>
                      <w:szCs w:val="16"/>
                    </w:rPr>
                  </w:pPr>
                  <w:r w:rsidRPr="003E1518">
                    <w:rPr>
                      <w:rFonts w:cs="Calibri"/>
                      <w:sz w:val="16"/>
                      <w:szCs w:val="16"/>
                    </w:rPr>
                    <w:t>€ 43.222.620</w:t>
                  </w:r>
                </w:p>
              </w:tc>
              <w:tc>
                <w:tcPr>
                  <w:tcW w:w="1259" w:type="dxa"/>
                </w:tcPr>
                <w:p w:rsidRPr="003E1518" w:rsidR="00A3300F" w:rsidP="00A3300F" w14:paraId="36847307" w14:textId="77777777">
                  <w:pPr>
                    <w:rPr>
                      <w:rFonts w:eastAsia="Times New Roman" w:cs="Times New Roman"/>
                      <w:sz w:val="16"/>
                      <w:szCs w:val="16"/>
                    </w:rPr>
                  </w:pPr>
                  <w:r w:rsidRPr="003E1518">
                    <w:rPr>
                      <w:rFonts w:cs="Calibri"/>
                      <w:sz w:val="16"/>
                      <w:szCs w:val="16"/>
                    </w:rPr>
                    <w:t>€ 23.390.672</w:t>
                  </w:r>
                </w:p>
              </w:tc>
              <w:tc>
                <w:tcPr>
                  <w:tcW w:w="1829" w:type="dxa"/>
                </w:tcPr>
                <w:p w:rsidRPr="003E1518" w:rsidR="00A3300F" w:rsidP="00A3300F" w14:paraId="123D9662" w14:textId="77777777">
                  <w:pPr>
                    <w:rPr>
                      <w:rFonts w:eastAsia="Times New Roman" w:cs="Times New Roman"/>
                      <w:sz w:val="16"/>
                      <w:szCs w:val="16"/>
                    </w:rPr>
                  </w:pPr>
                  <w:r w:rsidRPr="003E1518">
                    <w:rPr>
                      <w:rFonts w:cs="Calibri"/>
                      <w:sz w:val="16"/>
                      <w:szCs w:val="16"/>
                    </w:rPr>
                    <w:t>Aanleg fietsroutes, aanleg fietstunnel (spoor)</w:t>
                  </w:r>
                </w:p>
              </w:tc>
            </w:tr>
            <w:tr w:rsidTr="009935CA" w14:paraId="4D1334E2" w14:textId="77777777">
              <w:tblPrEx>
                <w:tblW w:w="8497" w:type="dxa"/>
                <w:tblInd w:w="0" w:type="dxa"/>
                <w:tblLayout w:type="fixed"/>
                <w:tblLook w:val="04A0"/>
              </w:tblPrEx>
              <w:trPr>
                <w:trHeight w:val="20"/>
              </w:trPr>
              <w:tc>
                <w:tcPr>
                  <w:tcW w:w="1372" w:type="dxa"/>
                  <w:hideMark/>
                </w:tcPr>
                <w:p w:rsidRPr="003E1518" w:rsidR="00A3300F" w:rsidP="00A3300F" w14:paraId="38F00C63" w14:textId="77777777">
                  <w:pPr>
                    <w:rPr>
                      <w:rFonts w:eastAsia="Times New Roman" w:cs="Calibri"/>
                      <w:sz w:val="16"/>
                      <w:szCs w:val="16"/>
                    </w:rPr>
                  </w:pPr>
                  <w:r w:rsidRPr="003E1518">
                    <w:rPr>
                      <w:rFonts w:eastAsia="Times New Roman" w:cs="Calibri"/>
                      <w:sz w:val="16"/>
                      <w:szCs w:val="16"/>
                    </w:rPr>
                    <w:t>Steenwijkerland</w:t>
                  </w:r>
                </w:p>
              </w:tc>
              <w:tc>
                <w:tcPr>
                  <w:tcW w:w="1865" w:type="dxa"/>
                  <w:hideMark/>
                </w:tcPr>
                <w:p w:rsidRPr="003E1518" w:rsidR="00A3300F" w:rsidP="00A3300F" w14:paraId="6C180043" w14:textId="77777777">
                  <w:pPr>
                    <w:rPr>
                      <w:rFonts w:eastAsia="Times New Roman" w:cs="Calibri"/>
                      <w:sz w:val="16"/>
                      <w:szCs w:val="16"/>
                    </w:rPr>
                  </w:pPr>
                  <w:r w:rsidRPr="003E1518">
                    <w:rPr>
                      <w:rFonts w:eastAsia="Times New Roman" w:cs="Calibri"/>
                      <w:sz w:val="16"/>
                      <w:szCs w:val="16"/>
                    </w:rPr>
                    <w:t>Steenwijk Zuidoost</w:t>
                  </w:r>
                </w:p>
              </w:tc>
              <w:tc>
                <w:tcPr>
                  <w:tcW w:w="913" w:type="dxa"/>
                </w:tcPr>
                <w:p w:rsidRPr="003E1518" w:rsidR="00A3300F" w:rsidP="00A3300F" w14:paraId="6FCF036C" w14:textId="77777777">
                  <w:pPr>
                    <w:rPr>
                      <w:rFonts w:eastAsia="Times New Roman" w:cs="Times New Roman"/>
                      <w:sz w:val="16"/>
                      <w:szCs w:val="16"/>
                    </w:rPr>
                  </w:pPr>
                  <w:r w:rsidRPr="003E1518">
                    <w:rPr>
                      <w:rFonts w:cs="Calibri"/>
                      <w:sz w:val="16"/>
                      <w:szCs w:val="16"/>
                    </w:rPr>
                    <w:t>375</w:t>
                  </w:r>
                </w:p>
              </w:tc>
              <w:tc>
                <w:tcPr>
                  <w:tcW w:w="1259" w:type="dxa"/>
                </w:tcPr>
                <w:p w:rsidRPr="003E1518" w:rsidR="00A3300F" w:rsidP="00A3300F" w14:paraId="73C33473" w14:textId="77777777">
                  <w:pPr>
                    <w:rPr>
                      <w:rFonts w:eastAsia="Times New Roman" w:cs="Times New Roman"/>
                      <w:sz w:val="16"/>
                      <w:szCs w:val="16"/>
                    </w:rPr>
                  </w:pPr>
                  <w:r w:rsidRPr="003E1518">
                    <w:rPr>
                      <w:rFonts w:cs="Calibri"/>
                      <w:sz w:val="16"/>
                      <w:szCs w:val="16"/>
                    </w:rPr>
                    <w:t>€ 1.442.750</w:t>
                  </w:r>
                </w:p>
              </w:tc>
              <w:tc>
                <w:tcPr>
                  <w:tcW w:w="1259" w:type="dxa"/>
                </w:tcPr>
                <w:p w:rsidRPr="003E1518" w:rsidR="00A3300F" w:rsidP="00A3300F" w14:paraId="22C02779" w14:textId="77777777">
                  <w:pPr>
                    <w:rPr>
                      <w:rFonts w:eastAsia="Times New Roman" w:cs="Times New Roman"/>
                      <w:sz w:val="16"/>
                      <w:szCs w:val="16"/>
                    </w:rPr>
                  </w:pPr>
                  <w:r w:rsidRPr="003E1518">
                    <w:rPr>
                      <w:rFonts w:cs="Calibri"/>
                      <w:sz w:val="16"/>
                      <w:szCs w:val="16"/>
                    </w:rPr>
                    <w:t>€ 794.254</w:t>
                  </w:r>
                </w:p>
              </w:tc>
              <w:tc>
                <w:tcPr>
                  <w:tcW w:w="1829" w:type="dxa"/>
                </w:tcPr>
                <w:p w:rsidRPr="003E1518" w:rsidR="00A3300F" w:rsidP="00A3300F" w14:paraId="40B72500" w14:textId="77777777">
                  <w:pPr>
                    <w:rPr>
                      <w:rFonts w:eastAsia="Times New Roman" w:cs="Times New Roman"/>
                      <w:sz w:val="16"/>
                      <w:szCs w:val="16"/>
                    </w:rPr>
                  </w:pPr>
                  <w:r w:rsidRPr="003E1518">
                    <w:rPr>
                      <w:rFonts w:cs="Calibri"/>
                      <w:sz w:val="16"/>
                      <w:szCs w:val="16"/>
                    </w:rPr>
                    <w:t xml:space="preserve">Aanleg rotonde, aanleg fietsstraat, herinrichting fietspad, herinrichting voetgangerspad </w:t>
                  </w:r>
                </w:p>
              </w:tc>
            </w:tr>
            <w:tr w:rsidTr="009935CA" w14:paraId="15790FDB" w14:textId="77777777">
              <w:tblPrEx>
                <w:tblW w:w="8497" w:type="dxa"/>
                <w:tblInd w:w="0" w:type="dxa"/>
                <w:tblLayout w:type="fixed"/>
                <w:tblLook w:val="04A0"/>
              </w:tblPrEx>
              <w:trPr>
                <w:trHeight w:val="20"/>
              </w:trPr>
              <w:tc>
                <w:tcPr>
                  <w:tcW w:w="1372" w:type="dxa"/>
                  <w:hideMark/>
                </w:tcPr>
                <w:p w:rsidRPr="003E1518" w:rsidR="00A3300F" w:rsidP="00A3300F" w14:paraId="74E0B1AB" w14:textId="77777777">
                  <w:pPr>
                    <w:rPr>
                      <w:rFonts w:eastAsia="Times New Roman" w:cs="Calibri"/>
                      <w:sz w:val="16"/>
                      <w:szCs w:val="16"/>
                    </w:rPr>
                  </w:pPr>
                  <w:r w:rsidRPr="003E1518">
                    <w:rPr>
                      <w:rFonts w:eastAsia="Times New Roman" w:cs="Calibri"/>
                      <w:sz w:val="16"/>
                      <w:szCs w:val="16"/>
                    </w:rPr>
                    <w:t>Steenwijkerland</w:t>
                  </w:r>
                </w:p>
              </w:tc>
              <w:tc>
                <w:tcPr>
                  <w:tcW w:w="1865" w:type="dxa"/>
                  <w:hideMark/>
                </w:tcPr>
                <w:p w:rsidRPr="003E1518" w:rsidR="00A3300F" w:rsidP="00A3300F" w14:paraId="6B0CD8B7" w14:textId="77777777">
                  <w:pPr>
                    <w:rPr>
                      <w:rFonts w:eastAsia="Times New Roman" w:cs="Calibri"/>
                      <w:sz w:val="16"/>
                      <w:szCs w:val="16"/>
                    </w:rPr>
                  </w:pPr>
                  <w:r w:rsidRPr="003E1518">
                    <w:rPr>
                      <w:rFonts w:eastAsia="Times New Roman" w:cs="Calibri"/>
                      <w:sz w:val="16"/>
                      <w:szCs w:val="16"/>
                    </w:rPr>
                    <w:t>Oppen Swolle Vollenhove</w:t>
                  </w:r>
                </w:p>
              </w:tc>
              <w:tc>
                <w:tcPr>
                  <w:tcW w:w="913" w:type="dxa"/>
                </w:tcPr>
                <w:p w:rsidRPr="003E1518" w:rsidR="00A3300F" w:rsidP="00A3300F" w14:paraId="66E2DE63" w14:textId="77777777">
                  <w:pPr>
                    <w:rPr>
                      <w:rFonts w:eastAsia="Times New Roman" w:cs="Times New Roman"/>
                      <w:sz w:val="16"/>
                      <w:szCs w:val="16"/>
                    </w:rPr>
                  </w:pPr>
                  <w:r w:rsidRPr="003E1518">
                    <w:rPr>
                      <w:rFonts w:cs="Calibri"/>
                      <w:sz w:val="16"/>
                      <w:szCs w:val="16"/>
                    </w:rPr>
                    <w:t>271</w:t>
                  </w:r>
                </w:p>
              </w:tc>
              <w:tc>
                <w:tcPr>
                  <w:tcW w:w="1259" w:type="dxa"/>
                </w:tcPr>
                <w:p w:rsidRPr="003E1518" w:rsidR="00A3300F" w:rsidP="00A3300F" w14:paraId="287A6A30" w14:textId="77777777">
                  <w:pPr>
                    <w:rPr>
                      <w:rFonts w:eastAsia="Times New Roman" w:cs="Times New Roman"/>
                      <w:sz w:val="16"/>
                      <w:szCs w:val="16"/>
                    </w:rPr>
                  </w:pPr>
                  <w:r w:rsidRPr="003E1518">
                    <w:rPr>
                      <w:rFonts w:cs="Calibri"/>
                      <w:sz w:val="16"/>
                      <w:szCs w:val="16"/>
                    </w:rPr>
                    <w:t>€ 678.590</w:t>
                  </w:r>
                </w:p>
              </w:tc>
              <w:tc>
                <w:tcPr>
                  <w:tcW w:w="1259" w:type="dxa"/>
                </w:tcPr>
                <w:p w:rsidRPr="003E1518" w:rsidR="00A3300F" w:rsidP="00A3300F" w14:paraId="7B486E54" w14:textId="77777777">
                  <w:pPr>
                    <w:rPr>
                      <w:rFonts w:eastAsia="Times New Roman" w:cs="Times New Roman"/>
                      <w:sz w:val="16"/>
                      <w:szCs w:val="16"/>
                    </w:rPr>
                  </w:pPr>
                  <w:r w:rsidRPr="003E1518">
                    <w:rPr>
                      <w:rFonts w:cs="Calibri"/>
                      <w:sz w:val="16"/>
                      <w:szCs w:val="16"/>
                    </w:rPr>
                    <w:t>€ 368.163</w:t>
                  </w:r>
                </w:p>
              </w:tc>
              <w:tc>
                <w:tcPr>
                  <w:tcW w:w="1829" w:type="dxa"/>
                </w:tcPr>
                <w:p w:rsidRPr="003E1518" w:rsidR="00A3300F" w:rsidP="00A3300F" w14:paraId="24BD83E1" w14:textId="77777777">
                  <w:pPr>
                    <w:rPr>
                      <w:rFonts w:eastAsia="Times New Roman" w:cs="Times New Roman"/>
                      <w:sz w:val="16"/>
                      <w:szCs w:val="16"/>
                    </w:rPr>
                  </w:pPr>
                  <w:r w:rsidRPr="003E1518">
                    <w:rPr>
                      <w:rFonts w:cs="Calibri"/>
                      <w:sz w:val="16"/>
                      <w:szCs w:val="16"/>
                    </w:rPr>
                    <w:t>Aanleg rotonde, herinrichting ontsluitingsweg tot fietsstraat</w:t>
                  </w:r>
                </w:p>
              </w:tc>
            </w:tr>
            <w:tr w:rsidTr="009935CA" w14:paraId="3C3144EC" w14:textId="77777777">
              <w:tblPrEx>
                <w:tblW w:w="8497" w:type="dxa"/>
                <w:tblInd w:w="0" w:type="dxa"/>
                <w:tblLayout w:type="fixed"/>
                <w:tblLook w:val="04A0"/>
              </w:tblPrEx>
              <w:trPr>
                <w:trHeight w:val="20"/>
              </w:trPr>
              <w:tc>
                <w:tcPr>
                  <w:tcW w:w="1372" w:type="dxa"/>
                  <w:hideMark/>
                </w:tcPr>
                <w:p w:rsidRPr="003E1518" w:rsidR="00A3300F" w:rsidP="00A3300F" w14:paraId="6061F21D" w14:textId="77777777">
                  <w:pPr>
                    <w:rPr>
                      <w:rFonts w:eastAsia="Times New Roman" w:cs="Calibri"/>
                      <w:sz w:val="16"/>
                      <w:szCs w:val="16"/>
                    </w:rPr>
                  </w:pPr>
                  <w:r w:rsidRPr="003E1518">
                    <w:rPr>
                      <w:rFonts w:eastAsia="Times New Roman" w:cs="Calibri"/>
                      <w:sz w:val="16"/>
                      <w:szCs w:val="16"/>
                    </w:rPr>
                    <w:t>Twenterand</w:t>
                  </w:r>
                </w:p>
              </w:tc>
              <w:tc>
                <w:tcPr>
                  <w:tcW w:w="1865" w:type="dxa"/>
                  <w:hideMark/>
                </w:tcPr>
                <w:p w:rsidRPr="003E1518" w:rsidR="00A3300F" w:rsidP="00A3300F" w14:paraId="28922D29" w14:textId="77777777">
                  <w:pPr>
                    <w:rPr>
                      <w:rFonts w:eastAsia="Times New Roman" w:cs="Calibri"/>
                      <w:sz w:val="16"/>
                      <w:szCs w:val="16"/>
                    </w:rPr>
                  </w:pPr>
                  <w:r w:rsidRPr="003E1518">
                    <w:rPr>
                      <w:rFonts w:eastAsia="Times New Roman" w:cs="Calibri"/>
                      <w:sz w:val="16"/>
                      <w:szCs w:val="16"/>
                    </w:rPr>
                    <w:t>Vriezenveen Zuid</w:t>
                  </w:r>
                </w:p>
              </w:tc>
              <w:tc>
                <w:tcPr>
                  <w:tcW w:w="913" w:type="dxa"/>
                </w:tcPr>
                <w:p w:rsidRPr="003E1518" w:rsidR="00A3300F" w:rsidP="00A3300F" w14:paraId="0ADB4395" w14:textId="77777777">
                  <w:pPr>
                    <w:rPr>
                      <w:rFonts w:eastAsia="Times New Roman" w:cs="Times New Roman"/>
                      <w:sz w:val="16"/>
                      <w:szCs w:val="16"/>
                    </w:rPr>
                  </w:pPr>
                  <w:r w:rsidRPr="003E1518">
                    <w:rPr>
                      <w:rFonts w:cs="Calibri"/>
                      <w:sz w:val="16"/>
                      <w:szCs w:val="16"/>
                    </w:rPr>
                    <w:t>450</w:t>
                  </w:r>
                </w:p>
              </w:tc>
              <w:tc>
                <w:tcPr>
                  <w:tcW w:w="1259" w:type="dxa"/>
                </w:tcPr>
                <w:p w:rsidRPr="003E1518" w:rsidR="00A3300F" w:rsidP="00A3300F" w14:paraId="18BC5BC3" w14:textId="77777777">
                  <w:pPr>
                    <w:rPr>
                      <w:rFonts w:eastAsia="Times New Roman" w:cs="Times New Roman"/>
                      <w:sz w:val="16"/>
                      <w:szCs w:val="16"/>
                    </w:rPr>
                  </w:pPr>
                  <w:r w:rsidRPr="003E1518">
                    <w:rPr>
                      <w:rFonts w:cs="Calibri"/>
                      <w:sz w:val="16"/>
                      <w:szCs w:val="16"/>
                    </w:rPr>
                    <w:t>€ 5.017.035</w:t>
                  </w:r>
                </w:p>
              </w:tc>
              <w:tc>
                <w:tcPr>
                  <w:tcW w:w="1259" w:type="dxa"/>
                </w:tcPr>
                <w:p w:rsidRPr="003E1518" w:rsidR="00A3300F" w:rsidP="00A3300F" w14:paraId="0D18F6E6" w14:textId="77777777">
                  <w:pPr>
                    <w:rPr>
                      <w:rFonts w:eastAsia="Times New Roman" w:cs="Times New Roman"/>
                      <w:sz w:val="16"/>
                      <w:szCs w:val="16"/>
                    </w:rPr>
                  </w:pPr>
                  <w:r w:rsidRPr="003E1518">
                    <w:rPr>
                      <w:rFonts w:cs="Calibri"/>
                      <w:sz w:val="16"/>
                      <w:szCs w:val="16"/>
                    </w:rPr>
                    <w:t>€ 2.715.056</w:t>
                  </w:r>
                </w:p>
              </w:tc>
              <w:tc>
                <w:tcPr>
                  <w:tcW w:w="1829" w:type="dxa"/>
                </w:tcPr>
                <w:p w:rsidRPr="003E1518" w:rsidR="00A3300F" w:rsidP="00A3300F" w14:paraId="11C48BBB" w14:textId="77777777">
                  <w:pPr>
                    <w:rPr>
                      <w:rFonts w:eastAsia="Times New Roman" w:cs="Times New Roman"/>
                      <w:sz w:val="16"/>
                      <w:szCs w:val="16"/>
                    </w:rPr>
                  </w:pPr>
                  <w:r w:rsidRPr="003E1518">
                    <w:rPr>
                      <w:rFonts w:cs="Calibri"/>
                      <w:sz w:val="16"/>
                      <w:szCs w:val="16"/>
                    </w:rPr>
                    <w:t xml:space="preserve">Aanleg ontsluitingsweg, aanleg rotonde </w:t>
                  </w:r>
                </w:p>
              </w:tc>
            </w:tr>
            <w:tr w:rsidTr="009935CA" w14:paraId="27C8DE3E" w14:textId="77777777">
              <w:tblPrEx>
                <w:tblW w:w="8497" w:type="dxa"/>
                <w:tblInd w:w="0" w:type="dxa"/>
                <w:tblLayout w:type="fixed"/>
                <w:tblLook w:val="04A0"/>
              </w:tblPrEx>
              <w:trPr>
                <w:trHeight w:val="20"/>
              </w:trPr>
              <w:tc>
                <w:tcPr>
                  <w:tcW w:w="1372" w:type="dxa"/>
                  <w:hideMark/>
                </w:tcPr>
                <w:p w:rsidRPr="003E1518" w:rsidR="00A3300F" w:rsidP="00A3300F" w14:paraId="492DF038" w14:textId="77777777">
                  <w:pPr>
                    <w:rPr>
                      <w:rFonts w:eastAsia="Times New Roman" w:cs="Calibri"/>
                      <w:sz w:val="16"/>
                      <w:szCs w:val="16"/>
                    </w:rPr>
                  </w:pPr>
                  <w:r w:rsidRPr="003E1518">
                    <w:rPr>
                      <w:rFonts w:eastAsia="Times New Roman" w:cs="Calibri"/>
                      <w:sz w:val="16"/>
                      <w:szCs w:val="16"/>
                    </w:rPr>
                    <w:t>Voorst</w:t>
                  </w:r>
                </w:p>
              </w:tc>
              <w:tc>
                <w:tcPr>
                  <w:tcW w:w="1865" w:type="dxa"/>
                  <w:hideMark/>
                </w:tcPr>
                <w:p w:rsidRPr="003E1518" w:rsidR="00A3300F" w:rsidP="00A3300F" w14:paraId="0265700F" w14:textId="77777777">
                  <w:pPr>
                    <w:rPr>
                      <w:rFonts w:eastAsia="Times New Roman" w:cs="Calibri"/>
                      <w:sz w:val="16"/>
                      <w:szCs w:val="16"/>
                    </w:rPr>
                  </w:pPr>
                  <w:r w:rsidRPr="003E1518">
                    <w:rPr>
                      <w:rFonts w:eastAsia="Times New Roman" w:cs="Calibri"/>
                      <w:sz w:val="16"/>
                      <w:szCs w:val="16"/>
                    </w:rPr>
                    <w:t>Mobiliteit in Twello Noord</w:t>
                  </w:r>
                </w:p>
              </w:tc>
              <w:tc>
                <w:tcPr>
                  <w:tcW w:w="913" w:type="dxa"/>
                </w:tcPr>
                <w:p w:rsidRPr="003E1518" w:rsidR="00A3300F" w:rsidP="00A3300F" w14:paraId="0888AF84" w14:textId="77777777">
                  <w:pPr>
                    <w:rPr>
                      <w:rFonts w:eastAsia="Times New Roman" w:cs="Times New Roman"/>
                      <w:sz w:val="16"/>
                      <w:szCs w:val="16"/>
                    </w:rPr>
                  </w:pPr>
                  <w:r w:rsidRPr="003E1518">
                    <w:rPr>
                      <w:rFonts w:cs="Calibri"/>
                      <w:sz w:val="16"/>
                      <w:szCs w:val="16"/>
                    </w:rPr>
                    <w:t>478</w:t>
                  </w:r>
                </w:p>
              </w:tc>
              <w:tc>
                <w:tcPr>
                  <w:tcW w:w="1259" w:type="dxa"/>
                </w:tcPr>
                <w:p w:rsidRPr="003E1518" w:rsidR="00A3300F" w:rsidP="00A3300F" w14:paraId="7EC21A0B" w14:textId="77777777">
                  <w:pPr>
                    <w:rPr>
                      <w:rFonts w:eastAsia="Times New Roman" w:cs="Times New Roman"/>
                      <w:sz w:val="16"/>
                      <w:szCs w:val="16"/>
                    </w:rPr>
                  </w:pPr>
                  <w:r w:rsidRPr="003E1518">
                    <w:rPr>
                      <w:rFonts w:cs="Calibri"/>
                      <w:sz w:val="16"/>
                      <w:szCs w:val="16"/>
                    </w:rPr>
                    <w:t>€ 3.084.500</w:t>
                  </w:r>
                </w:p>
              </w:tc>
              <w:tc>
                <w:tcPr>
                  <w:tcW w:w="1259" w:type="dxa"/>
                </w:tcPr>
                <w:p w:rsidRPr="003E1518" w:rsidR="00A3300F" w:rsidP="00A3300F" w14:paraId="776E0694" w14:textId="77777777">
                  <w:pPr>
                    <w:rPr>
                      <w:rFonts w:eastAsia="Times New Roman" w:cs="Times New Roman"/>
                      <w:sz w:val="16"/>
                      <w:szCs w:val="16"/>
                    </w:rPr>
                  </w:pPr>
                  <w:r w:rsidRPr="003E1518">
                    <w:rPr>
                      <w:rFonts w:cs="Calibri"/>
                      <w:sz w:val="16"/>
                      <w:szCs w:val="16"/>
                    </w:rPr>
                    <w:t>€ 1.695.000</w:t>
                  </w:r>
                </w:p>
              </w:tc>
              <w:tc>
                <w:tcPr>
                  <w:tcW w:w="1829" w:type="dxa"/>
                </w:tcPr>
                <w:p w:rsidRPr="003E1518" w:rsidR="00A3300F" w:rsidP="00A3300F" w14:paraId="52FF50BA" w14:textId="77777777">
                  <w:pPr>
                    <w:rPr>
                      <w:rFonts w:eastAsia="Times New Roman" w:cs="Times New Roman"/>
                      <w:sz w:val="16"/>
                      <w:szCs w:val="16"/>
                    </w:rPr>
                  </w:pPr>
                  <w:r w:rsidRPr="003E1518">
                    <w:rPr>
                      <w:rFonts w:cs="Calibri"/>
                      <w:sz w:val="16"/>
                      <w:szCs w:val="16"/>
                    </w:rPr>
                    <w:t>Herinrichting ontsluitingsweg, herinrichting ontsluitingsweg tot fietsstraat, herinrichting ontsluitingsweg tot erftoegangsweg, aanleg oversteekvoorziening ontsluitingsweg voor fiets- en voetgangers</w:t>
                  </w:r>
                </w:p>
              </w:tc>
            </w:tr>
            <w:tr w:rsidTr="009935CA" w14:paraId="0A5C4C89" w14:textId="77777777">
              <w:tblPrEx>
                <w:tblW w:w="8497" w:type="dxa"/>
                <w:tblInd w:w="0" w:type="dxa"/>
                <w:tblLayout w:type="fixed"/>
                <w:tblLook w:val="04A0"/>
              </w:tblPrEx>
              <w:trPr>
                <w:trHeight w:val="20"/>
              </w:trPr>
              <w:tc>
                <w:tcPr>
                  <w:tcW w:w="1372" w:type="dxa"/>
                  <w:hideMark/>
                </w:tcPr>
                <w:p w:rsidRPr="003E1518" w:rsidR="00A3300F" w:rsidP="00A3300F" w14:paraId="6002AEDD" w14:textId="77777777">
                  <w:pPr>
                    <w:rPr>
                      <w:rFonts w:eastAsia="Times New Roman" w:cs="Calibri"/>
                      <w:sz w:val="16"/>
                      <w:szCs w:val="16"/>
                    </w:rPr>
                  </w:pPr>
                  <w:r w:rsidRPr="003E1518">
                    <w:rPr>
                      <w:rFonts w:eastAsia="Times New Roman" w:cs="Calibri"/>
                      <w:sz w:val="16"/>
                      <w:szCs w:val="16"/>
                    </w:rPr>
                    <w:t>Westervoort</w:t>
                  </w:r>
                </w:p>
              </w:tc>
              <w:tc>
                <w:tcPr>
                  <w:tcW w:w="1865" w:type="dxa"/>
                  <w:hideMark/>
                </w:tcPr>
                <w:p w:rsidRPr="003E1518" w:rsidR="00A3300F" w:rsidP="00A3300F" w14:paraId="61FB32EB" w14:textId="77777777">
                  <w:pPr>
                    <w:rPr>
                      <w:rFonts w:eastAsia="Times New Roman" w:cs="Calibri"/>
                      <w:sz w:val="16"/>
                      <w:szCs w:val="16"/>
                    </w:rPr>
                  </w:pPr>
                  <w:r w:rsidRPr="003E1518">
                    <w:rPr>
                      <w:rFonts w:eastAsia="Times New Roman" w:cs="Calibri"/>
                      <w:sz w:val="16"/>
                      <w:szCs w:val="16"/>
                    </w:rPr>
                    <w:t>Westervoort - Stationsomgeving  en ombouw rotonde</w:t>
                  </w:r>
                  <w:r w:rsidRPr="003E1518">
                    <w:rPr>
                      <w:rFonts w:eastAsia="Times New Roman" w:cs="Calibri"/>
                      <w:sz w:val="16"/>
                      <w:szCs w:val="16"/>
                    </w:rPr>
                    <w:br/>
                    <w:t>Hamersestraat/Liemersallee</w:t>
                  </w:r>
                </w:p>
              </w:tc>
              <w:tc>
                <w:tcPr>
                  <w:tcW w:w="913" w:type="dxa"/>
                </w:tcPr>
                <w:p w:rsidRPr="003E1518" w:rsidR="00A3300F" w:rsidP="00A3300F" w14:paraId="7CDD4B04" w14:textId="77777777">
                  <w:pPr>
                    <w:rPr>
                      <w:rFonts w:eastAsia="Times New Roman" w:cs="Times New Roman"/>
                      <w:sz w:val="16"/>
                      <w:szCs w:val="16"/>
                    </w:rPr>
                  </w:pPr>
                  <w:r w:rsidRPr="003E1518">
                    <w:rPr>
                      <w:rFonts w:cs="Calibri"/>
                      <w:sz w:val="16"/>
                      <w:szCs w:val="16"/>
                    </w:rPr>
                    <w:t>618</w:t>
                  </w:r>
                </w:p>
              </w:tc>
              <w:tc>
                <w:tcPr>
                  <w:tcW w:w="1259" w:type="dxa"/>
                </w:tcPr>
                <w:p w:rsidRPr="003E1518" w:rsidR="00A3300F" w:rsidP="00A3300F" w14:paraId="5093DD00" w14:textId="77777777">
                  <w:pPr>
                    <w:rPr>
                      <w:rFonts w:eastAsia="Times New Roman" w:cs="Times New Roman"/>
                      <w:sz w:val="16"/>
                      <w:szCs w:val="16"/>
                    </w:rPr>
                  </w:pPr>
                  <w:r w:rsidRPr="003E1518">
                    <w:rPr>
                      <w:rFonts w:cs="Calibri"/>
                      <w:sz w:val="16"/>
                      <w:szCs w:val="16"/>
                    </w:rPr>
                    <w:t>€ 5.298.375</w:t>
                  </w:r>
                </w:p>
              </w:tc>
              <w:tc>
                <w:tcPr>
                  <w:tcW w:w="1259" w:type="dxa"/>
                </w:tcPr>
                <w:p w:rsidRPr="003E1518" w:rsidR="00A3300F" w:rsidP="00A3300F" w14:paraId="53922F47" w14:textId="77777777">
                  <w:pPr>
                    <w:rPr>
                      <w:rFonts w:eastAsia="Times New Roman" w:cs="Times New Roman"/>
                      <w:sz w:val="16"/>
                      <w:szCs w:val="16"/>
                    </w:rPr>
                  </w:pPr>
                  <w:r w:rsidRPr="003E1518">
                    <w:rPr>
                      <w:rFonts w:cs="Calibri"/>
                      <w:sz w:val="16"/>
                      <w:szCs w:val="16"/>
                    </w:rPr>
                    <w:t>€ 2.866.700</w:t>
                  </w:r>
                </w:p>
              </w:tc>
              <w:tc>
                <w:tcPr>
                  <w:tcW w:w="1829" w:type="dxa"/>
                </w:tcPr>
                <w:p w:rsidRPr="003E1518" w:rsidR="00A3300F" w:rsidP="00A3300F" w14:paraId="2A2C8E50" w14:textId="77777777">
                  <w:pPr>
                    <w:rPr>
                      <w:rFonts w:eastAsia="Times New Roman" w:cs="Times New Roman"/>
                      <w:sz w:val="16"/>
                      <w:szCs w:val="16"/>
                    </w:rPr>
                  </w:pPr>
                  <w:r w:rsidRPr="003E1518">
                    <w:rPr>
                      <w:rFonts w:cs="Calibri"/>
                      <w:sz w:val="16"/>
                      <w:szCs w:val="16"/>
                    </w:rPr>
                    <w:t>Aanleg fietstunnel.</w:t>
                  </w:r>
                </w:p>
              </w:tc>
            </w:tr>
            <w:tr w:rsidTr="009935CA" w14:paraId="012C9694" w14:textId="77777777">
              <w:tblPrEx>
                <w:tblW w:w="8497" w:type="dxa"/>
                <w:tblInd w:w="0" w:type="dxa"/>
                <w:tblLayout w:type="fixed"/>
                <w:tblLook w:val="04A0"/>
              </w:tblPrEx>
              <w:trPr>
                <w:trHeight w:val="20"/>
              </w:trPr>
              <w:tc>
                <w:tcPr>
                  <w:tcW w:w="1372" w:type="dxa"/>
                  <w:hideMark/>
                </w:tcPr>
                <w:p w:rsidRPr="003E1518" w:rsidR="00A3300F" w:rsidP="00A3300F" w14:paraId="11F0E376" w14:textId="77777777">
                  <w:pPr>
                    <w:rPr>
                      <w:rFonts w:eastAsia="Times New Roman" w:cs="Calibri"/>
                      <w:sz w:val="16"/>
                      <w:szCs w:val="16"/>
                    </w:rPr>
                  </w:pPr>
                  <w:r w:rsidRPr="003E1518">
                    <w:rPr>
                      <w:rFonts w:eastAsia="Times New Roman" w:cs="Calibri"/>
                      <w:sz w:val="16"/>
                      <w:szCs w:val="16"/>
                    </w:rPr>
                    <w:t>Wierden</w:t>
                  </w:r>
                </w:p>
              </w:tc>
              <w:tc>
                <w:tcPr>
                  <w:tcW w:w="1865" w:type="dxa"/>
                  <w:hideMark/>
                </w:tcPr>
                <w:p w:rsidRPr="003E1518" w:rsidR="00A3300F" w:rsidP="00A3300F" w14:paraId="6152E87A" w14:textId="77777777">
                  <w:pPr>
                    <w:rPr>
                      <w:rFonts w:eastAsia="Times New Roman" w:cs="Calibri"/>
                      <w:sz w:val="16"/>
                      <w:szCs w:val="16"/>
                    </w:rPr>
                  </w:pPr>
                  <w:r w:rsidRPr="003E1518">
                    <w:rPr>
                      <w:rFonts w:eastAsia="Times New Roman" w:cs="Calibri"/>
                      <w:sz w:val="16"/>
                      <w:szCs w:val="16"/>
                    </w:rPr>
                    <w:t>Wierden, Klumpershoek en Enter, De Berghorst fase 3</w:t>
                  </w:r>
                </w:p>
              </w:tc>
              <w:tc>
                <w:tcPr>
                  <w:tcW w:w="913" w:type="dxa"/>
                </w:tcPr>
                <w:p w:rsidRPr="003E1518" w:rsidR="00A3300F" w:rsidP="00A3300F" w14:paraId="44AD7C84" w14:textId="77777777">
                  <w:pPr>
                    <w:rPr>
                      <w:rFonts w:eastAsia="Times New Roman" w:cs="Times New Roman"/>
                      <w:sz w:val="16"/>
                      <w:szCs w:val="16"/>
                    </w:rPr>
                  </w:pPr>
                  <w:r w:rsidRPr="003E1518">
                    <w:rPr>
                      <w:rFonts w:cs="Calibri"/>
                      <w:sz w:val="16"/>
                      <w:szCs w:val="16"/>
                    </w:rPr>
                    <w:t>520</w:t>
                  </w:r>
                </w:p>
              </w:tc>
              <w:tc>
                <w:tcPr>
                  <w:tcW w:w="1259" w:type="dxa"/>
                </w:tcPr>
                <w:p w:rsidRPr="003E1518" w:rsidR="00A3300F" w:rsidP="00A3300F" w14:paraId="4E8EB8E2" w14:textId="77777777">
                  <w:pPr>
                    <w:rPr>
                      <w:rFonts w:eastAsia="Times New Roman" w:cs="Times New Roman"/>
                      <w:sz w:val="16"/>
                      <w:szCs w:val="16"/>
                    </w:rPr>
                  </w:pPr>
                  <w:r w:rsidRPr="003E1518">
                    <w:rPr>
                      <w:rFonts w:cs="Calibri"/>
                      <w:sz w:val="16"/>
                      <w:szCs w:val="16"/>
                    </w:rPr>
                    <w:t>€ 3.381.943</w:t>
                  </w:r>
                </w:p>
              </w:tc>
              <w:tc>
                <w:tcPr>
                  <w:tcW w:w="1259" w:type="dxa"/>
                </w:tcPr>
                <w:p w:rsidRPr="003E1518" w:rsidR="00A3300F" w:rsidP="00A3300F" w14:paraId="54578347" w14:textId="77777777">
                  <w:pPr>
                    <w:rPr>
                      <w:rFonts w:eastAsia="Times New Roman" w:cs="Times New Roman"/>
                      <w:sz w:val="16"/>
                      <w:szCs w:val="16"/>
                    </w:rPr>
                  </w:pPr>
                  <w:r w:rsidRPr="003E1518">
                    <w:rPr>
                      <w:rFonts w:cs="Calibri"/>
                      <w:sz w:val="16"/>
                      <w:szCs w:val="16"/>
                    </w:rPr>
                    <w:t>€ 3.547.188</w:t>
                  </w:r>
                </w:p>
              </w:tc>
              <w:tc>
                <w:tcPr>
                  <w:tcW w:w="1829" w:type="dxa"/>
                </w:tcPr>
                <w:p w:rsidRPr="003E1518" w:rsidR="00A3300F" w:rsidP="00A3300F" w14:paraId="3C541814" w14:textId="77777777">
                  <w:pPr>
                    <w:rPr>
                      <w:rFonts w:eastAsia="Times New Roman" w:cs="Times New Roman"/>
                      <w:sz w:val="16"/>
                      <w:szCs w:val="16"/>
                    </w:rPr>
                  </w:pPr>
                  <w:r w:rsidRPr="003E1518">
                    <w:rPr>
                      <w:rFonts w:cs="Calibri"/>
                      <w:sz w:val="16"/>
                      <w:szCs w:val="16"/>
                    </w:rPr>
                    <w:t>Aanpassing ontsluitingsstructuur, aanleg fiets- en voetgangerspaden, herinrichting rotonde, aanleg fietstunnel (weg)</w:t>
                  </w:r>
                </w:p>
              </w:tc>
            </w:tr>
            <w:tr w:rsidTr="009935CA" w14:paraId="366F0466" w14:textId="77777777">
              <w:tblPrEx>
                <w:tblW w:w="8497" w:type="dxa"/>
                <w:tblInd w:w="0" w:type="dxa"/>
                <w:tblLayout w:type="fixed"/>
                <w:tblLook w:val="04A0"/>
              </w:tblPrEx>
              <w:trPr>
                <w:trHeight w:val="20"/>
              </w:trPr>
              <w:tc>
                <w:tcPr>
                  <w:tcW w:w="1372" w:type="dxa"/>
                  <w:tcBorders>
                    <w:bottom w:val="nil"/>
                  </w:tcBorders>
                  <w:hideMark/>
                </w:tcPr>
                <w:p w:rsidRPr="003E1518" w:rsidR="00A3300F" w:rsidP="00A3300F" w14:paraId="2699610B" w14:textId="77777777">
                  <w:pPr>
                    <w:rPr>
                      <w:rFonts w:eastAsia="Times New Roman" w:cs="Calibri"/>
                      <w:sz w:val="16"/>
                      <w:szCs w:val="16"/>
                    </w:rPr>
                  </w:pPr>
                  <w:r w:rsidRPr="003E1518">
                    <w:rPr>
                      <w:rFonts w:eastAsia="Times New Roman" w:cs="Calibri"/>
                      <w:sz w:val="16"/>
                      <w:szCs w:val="16"/>
                    </w:rPr>
                    <w:t>Zevenaar</w:t>
                  </w:r>
                </w:p>
              </w:tc>
              <w:tc>
                <w:tcPr>
                  <w:tcW w:w="1865" w:type="dxa"/>
                  <w:tcBorders>
                    <w:bottom w:val="nil"/>
                  </w:tcBorders>
                  <w:hideMark/>
                </w:tcPr>
                <w:p w:rsidRPr="003E1518" w:rsidR="00A3300F" w:rsidP="00A3300F" w14:paraId="652C9C17" w14:textId="77777777">
                  <w:pPr>
                    <w:rPr>
                      <w:rFonts w:eastAsia="Times New Roman" w:cs="Calibri"/>
                      <w:sz w:val="16"/>
                      <w:szCs w:val="16"/>
                    </w:rPr>
                  </w:pPr>
                  <w:r w:rsidRPr="003E1518">
                    <w:rPr>
                      <w:rFonts w:eastAsia="Times New Roman" w:cs="Calibri"/>
                      <w:sz w:val="16"/>
                      <w:szCs w:val="16"/>
                    </w:rPr>
                    <w:t>Herontwikkeling Enghuizen</w:t>
                  </w:r>
                </w:p>
              </w:tc>
              <w:tc>
                <w:tcPr>
                  <w:tcW w:w="913" w:type="dxa"/>
                  <w:tcBorders>
                    <w:bottom w:val="nil"/>
                  </w:tcBorders>
                </w:tcPr>
                <w:p w:rsidRPr="003E1518" w:rsidR="00A3300F" w:rsidP="00A3300F" w14:paraId="7B6D136D" w14:textId="77777777">
                  <w:pPr>
                    <w:rPr>
                      <w:rFonts w:eastAsia="Times New Roman" w:cs="Times New Roman"/>
                      <w:sz w:val="16"/>
                      <w:szCs w:val="16"/>
                    </w:rPr>
                  </w:pPr>
                  <w:r w:rsidRPr="003E1518">
                    <w:rPr>
                      <w:rFonts w:cs="Calibri"/>
                      <w:sz w:val="16"/>
                      <w:szCs w:val="16"/>
                    </w:rPr>
                    <w:t>270</w:t>
                  </w:r>
                </w:p>
              </w:tc>
              <w:tc>
                <w:tcPr>
                  <w:tcW w:w="1259" w:type="dxa"/>
                  <w:tcBorders>
                    <w:bottom w:val="nil"/>
                  </w:tcBorders>
                </w:tcPr>
                <w:p w:rsidRPr="003E1518" w:rsidR="00A3300F" w:rsidP="00A3300F" w14:paraId="228F48DE" w14:textId="77777777">
                  <w:pPr>
                    <w:rPr>
                      <w:rFonts w:eastAsia="Times New Roman" w:cs="Times New Roman"/>
                      <w:sz w:val="16"/>
                      <w:szCs w:val="16"/>
                    </w:rPr>
                  </w:pPr>
                  <w:r w:rsidRPr="003E1518">
                    <w:rPr>
                      <w:rFonts w:cs="Calibri"/>
                      <w:sz w:val="16"/>
                      <w:szCs w:val="16"/>
                    </w:rPr>
                    <w:t>€ 1.854.294</w:t>
                  </w:r>
                </w:p>
              </w:tc>
              <w:tc>
                <w:tcPr>
                  <w:tcW w:w="1259" w:type="dxa"/>
                  <w:tcBorders>
                    <w:bottom w:val="nil"/>
                  </w:tcBorders>
                </w:tcPr>
                <w:p w:rsidRPr="003E1518" w:rsidR="00A3300F" w:rsidP="00A3300F" w14:paraId="6DEB2152" w14:textId="77777777">
                  <w:pPr>
                    <w:rPr>
                      <w:rFonts w:eastAsia="Times New Roman" w:cs="Times New Roman"/>
                      <w:sz w:val="16"/>
                      <w:szCs w:val="16"/>
                    </w:rPr>
                  </w:pPr>
                  <w:r w:rsidRPr="003E1518">
                    <w:rPr>
                      <w:rFonts w:cs="Calibri"/>
                      <w:sz w:val="16"/>
                      <w:szCs w:val="16"/>
                    </w:rPr>
                    <w:t>€ 1.003.483</w:t>
                  </w:r>
                </w:p>
              </w:tc>
              <w:tc>
                <w:tcPr>
                  <w:tcW w:w="1829" w:type="dxa"/>
                  <w:tcBorders>
                    <w:bottom w:val="nil"/>
                  </w:tcBorders>
                </w:tcPr>
                <w:p w:rsidRPr="003E1518" w:rsidR="00A3300F" w:rsidP="00A3300F" w14:paraId="706A3B3A" w14:textId="77777777">
                  <w:pPr>
                    <w:rPr>
                      <w:rFonts w:eastAsia="Times New Roman" w:cs="Times New Roman"/>
                      <w:sz w:val="16"/>
                      <w:szCs w:val="16"/>
                    </w:rPr>
                  </w:pPr>
                  <w:r w:rsidRPr="003E1518">
                    <w:rPr>
                      <w:rFonts w:cs="Calibri"/>
                      <w:sz w:val="16"/>
                      <w:szCs w:val="16"/>
                    </w:rPr>
                    <w:t>Realisatie verkeersregelininstallatie, herinrichting ontsluitingsweg</w:t>
                  </w:r>
                </w:p>
              </w:tc>
            </w:tr>
            <w:tr w:rsidTr="009935CA" w14:paraId="5D50E5E8" w14:textId="77777777">
              <w:tblPrEx>
                <w:tblW w:w="8497" w:type="dxa"/>
                <w:tblInd w:w="0" w:type="dxa"/>
                <w:tblLayout w:type="fixed"/>
                <w:tblLook w:val="04A0"/>
              </w:tblPrEx>
              <w:trPr>
                <w:trHeight w:val="20"/>
              </w:trPr>
              <w:tc>
                <w:tcPr>
                  <w:tcW w:w="1372" w:type="dxa"/>
                  <w:tcBorders>
                    <w:top w:val="nil"/>
                  </w:tcBorders>
                  <w:hideMark/>
                </w:tcPr>
                <w:p w:rsidRPr="003E1518" w:rsidR="00A3300F" w:rsidP="00A3300F" w14:paraId="5C089F49" w14:textId="77777777">
                  <w:pPr>
                    <w:rPr>
                      <w:rFonts w:eastAsia="Times New Roman" w:cs="Calibri"/>
                      <w:sz w:val="16"/>
                      <w:szCs w:val="16"/>
                    </w:rPr>
                  </w:pPr>
                  <w:r w:rsidRPr="003E1518">
                    <w:rPr>
                      <w:rFonts w:eastAsia="Times New Roman" w:cs="Calibri"/>
                      <w:sz w:val="16"/>
                      <w:szCs w:val="16"/>
                    </w:rPr>
                    <w:t>Zutphen</w:t>
                  </w:r>
                </w:p>
              </w:tc>
              <w:tc>
                <w:tcPr>
                  <w:tcW w:w="1865" w:type="dxa"/>
                  <w:tcBorders>
                    <w:top w:val="nil"/>
                  </w:tcBorders>
                  <w:hideMark/>
                </w:tcPr>
                <w:p w:rsidRPr="003E1518" w:rsidR="00A3300F" w:rsidP="00A3300F" w14:paraId="51D39261" w14:textId="77777777">
                  <w:pPr>
                    <w:rPr>
                      <w:rFonts w:eastAsia="Times New Roman" w:cs="Calibri"/>
                      <w:sz w:val="16"/>
                      <w:szCs w:val="16"/>
                    </w:rPr>
                  </w:pPr>
                  <w:r w:rsidRPr="003E1518">
                    <w:rPr>
                      <w:rFonts w:eastAsia="Times New Roman" w:cs="Calibri"/>
                      <w:sz w:val="16"/>
                      <w:szCs w:val="16"/>
                    </w:rPr>
                    <w:t>Infrastructuur Kleine Linie</w:t>
                  </w:r>
                </w:p>
              </w:tc>
              <w:tc>
                <w:tcPr>
                  <w:tcW w:w="913" w:type="dxa"/>
                  <w:tcBorders>
                    <w:top w:val="nil"/>
                  </w:tcBorders>
                </w:tcPr>
                <w:p w:rsidRPr="003E1518" w:rsidR="00A3300F" w:rsidP="00A3300F" w14:paraId="3CA36B6E" w14:textId="77777777">
                  <w:pPr>
                    <w:rPr>
                      <w:rFonts w:eastAsia="Times New Roman" w:cs="Times New Roman"/>
                      <w:sz w:val="16"/>
                      <w:szCs w:val="16"/>
                    </w:rPr>
                  </w:pPr>
                  <w:r w:rsidRPr="003E1518">
                    <w:rPr>
                      <w:rFonts w:cs="Calibri"/>
                      <w:sz w:val="16"/>
                      <w:szCs w:val="16"/>
                    </w:rPr>
                    <w:t>200</w:t>
                  </w:r>
                </w:p>
              </w:tc>
              <w:tc>
                <w:tcPr>
                  <w:tcW w:w="1259" w:type="dxa"/>
                  <w:tcBorders>
                    <w:top w:val="nil"/>
                  </w:tcBorders>
                </w:tcPr>
                <w:p w:rsidRPr="003E1518" w:rsidR="00A3300F" w:rsidP="00A3300F" w14:paraId="645D2CC8" w14:textId="77777777">
                  <w:pPr>
                    <w:rPr>
                      <w:rFonts w:eastAsia="Times New Roman" w:cs="Times New Roman"/>
                      <w:sz w:val="16"/>
                      <w:szCs w:val="16"/>
                    </w:rPr>
                  </w:pPr>
                  <w:r w:rsidRPr="003E1518">
                    <w:rPr>
                      <w:rFonts w:cs="Calibri"/>
                      <w:sz w:val="16"/>
                      <w:szCs w:val="16"/>
                    </w:rPr>
                    <w:t>€ 1.499.592</w:t>
                  </w:r>
                </w:p>
              </w:tc>
              <w:tc>
                <w:tcPr>
                  <w:tcW w:w="1259" w:type="dxa"/>
                  <w:tcBorders>
                    <w:top w:val="nil"/>
                  </w:tcBorders>
                </w:tcPr>
                <w:p w:rsidRPr="003E1518" w:rsidR="00A3300F" w:rsidP="00A3300F" w14:paraId="658BDBFB" w14:textId="77777777">
                  <w:pPr>
                    <w:rPr>
                      <w:rFonts w:eastAsia="Times New Roman" w:cs="Times New Roman"/>
                      <w:sz w:val="16"/>
                      <w:szCs w:val="16"/>
                    </w:rPr>
                  </w:pPr>
                  <w:r w:rsidRPr="003E1518">
                    <w:rPr>
                      <w:rFonts w:cs="Calibri"/>
                      <w:sz w:val="16"/>
                      <w:szCs w:val="16"/>
                    </w:rPr>
                    <w:t>€ 811.530</w:t>
                  </w:r>
                </w:p>
              </w:tc>
              <w:tc>
                <w:tcPr>
                  <w:tcW w:w="1829" w:type="dxa"/>
                  <w:tcBorders>
                    <w:top w:val="nil"/>
                  </w:tcBorders>
                </w:tcPr>
                <w:p w:rsidRPr="003E1518" w:rsidR="00A3300F" w:rsidP="00A3300F" w14:paraId="41831888" w14:textId="77777777">
                  <w:pPr>
                    <w:rPr>
                      <w:rFonts w:eastAsia="Times New Roman" w:cs="Times New Roman"/>
                      <w:sz w:val="16"/>
                      <w:szCs w:val="16"/>
                    </w:rPr>
                  </w:pPr>
                  <w:r w:rsidRPr="003E1518">
                    <w:rPr>
                      <w:rFonts w:cs="Calibri"/>
                      <w:sz w:val="16"/>
                      <w:szCs w:val="16"/>
                    </w:rPr>
                    <w:t>Herinrichting erftoegangsweg tot ontsluitingsweg</w:t>
                  </w:r>
                </w:p>
              </w:tc>
            </w:tr>
            <w:tr w:rsidTr="00A3300F" w14:paraId="023E5644" w14:textId="77777777">
              <w:tblPrEx>
                <w:tblW w:w="8497" w:type="dxa"/>
                <w:tblInd w:w="0" w:type="dxa"/>
                <w:tblLayout w:type="fixed"/>
                <w:tblLook w:val="04A0"/>
              </w:tblPrEx>
              <w:trPr>
                <w:trHeight w:val="20"/>
              </w:trPr>
              <w:tc>
                <w:tcPr>
                  <w:tcW w:w="1372" w:type="dxa"/>
                  <w:tcBorders>
                    <w:bottom w:val="single" w:color="000000" w:sz="4" w:space="0"/>
                  </w:tcBorders>
                  <w:hideMark/>
                </w:tcPr>
                <w:p w:rsidRPr="003E1518" w:rsidR="00A3300F" w:rsidP="00A3300F" w14:paraId="0390E095" w14:textId="77777777">
                  <w:pPr>
                    <w:rPr>
                      <w:rFonts w:eastAsia="Times New Roman" w:cs="Calibri"/>
                      <w:sz w:val="16"/>
                      <w:szCs w:val="16"/>
                    </w:rPr>
                  </w:pPr>
                  <w:r w:rsidRPr="003E1518">
                    <w:rPr>
                      <w:rFonts w:eastAsia="Times New Roman" w:cs="Calibri"/>
                      <w:sz w:val="16"/>
                      <w:szCs w:val="16"/>
                    </w:rPr>
                    <w:t>Zwolle</w:t>
                  </w:r>
                </w:p>
              </w:tc>
              <w:tc>
                <w:tcPr>
                  <w:tcW w:w="1865" w:type="dxa"/>
                  <w:tcBorders>
                    <w:bottom w:val="single" w:color="000000" w:sz="4" w:space="0"/>
                  </w:tcBorders>
                  <w:hideMark/>
                </w:tcPr>
                <w:p w:rsidRPr="003E1518" w:rsidR="00A3300F" w:rsidP="00A3300F" w14:paraId="68046BCC" w14:textId="77777777">
                  <w:pPr>
                    <w:rPr>
                      <w:rFonts w:eastAsia="Times New Roman" w:cs="Calibri"/>
                      <w:sz w:val="16"/>
                      <w:szCs w:val="16"/>
                    </w:rPr>
                  </w:pPr>
                  <w:r w:rsidRPr="003E1518">
                    <w:rPr>
                      <w:rFonts w:eastAsia="Times New Roman" w:cs="Calibri"/>
                      <w:sz w:val="16"/>
                      <w:szCs w:val="16"/>
                    </w:rPr>
                    <w:t>Verbreding Scholtensteeg</w:t>
                  </w:r>
                </w:p>
              </w:tc>
              <w:tc>
                <w:tcPr>
                  <w:tcW w:w="913" w:type="dxa"/>
                  <w:tcBorders>
                    <w:bottom w:val="single" w:color="000000" w:sz="4" w:space="0"/>
                  </w:tcBorders>
                </w:tcPr>
                <w:p w:rsidRPr="003E1518" w:rsidR="00A3300F" w:rsidP="00A3300F" w14:paraId="0CA86FBE" w14:textId="77777777">
                  <w:pPr>
                    <w:rPr>
                      <w:rFonts w:eastAsia="Times New Roman" w:cs="Times New Roman"/>
                      <w:sz w:val="16"/>
                      <w:szCs w:val="16"/>
                    </w:rPr>
                  </w:pPr>
                  <w:r w:rsidRPr="003E1518">
                    <w:rPr>
                      <w:rFonts w:cs="Calibri"/>
                      <w:sz w:val="16"/>
                      <w:szCs w:val="16"/>
                    </w:rPr>
                    <w:t>653</w:t>
                  </w:r>
                </w:p>
              </w:tc>
              <w:tc>
                <w:tcPr>
                  <w:tcW w:w="1259" w:type="dxa"/>
                  <w:tcBorders>
                    <w:bottom w:val="single" w:color="000000" w:sz="4" w:space="0"/>
                  </w:tcBorders>
                </w:tcPr>
                <w:p w:rsidRPr="003E1518" w:rsidR="00A3300F" w:rsidP="00A3300F" w14:paraId="34D37E74" w14:textId="77777777">
                  <w:pPr>
                    <w:rPr>
                      <w:rFonts w:eastAsia="Times New Roman" w:cs="Times New Roman"/>
                      <w:sz w:val="16"/>
                      <w:szCs w:val="16"/>
                    </w:rPr>
                  </w:pPr>
                  <w:r w:rsidRPr="003E1518">
                    <w:rPr>
                      <w:rFonts w:cs="Calibri"/>
                      <w:sz w:val="16"/>
                      <w:szCs w:val="16"/>
                    </w:rPr>
                    <w:t>€ 849.868</w:t>
                  </w:r>
                </w:p>
              </w:tc>
              <w:tc>
                <w:tcPr>
                  <w:tcW w:w="1259" w:type="dxa"/>
                  <w:tcBorders>
                    <w:bottom w:val="single" w:color="000000" w:sz="4" w:space="0"/>
                  </w:tcBorders>
                </w:tcPr>
                <w:p w:rsidRPr="003E1518" w:rsidR="00A3300F" w:rsidP="00A3300F" w14:paraId="30A6E4FC" w14:textId="77777777">
                  <w:pPr>
                    <w:rPr>
                      <w:rFonts w:eastAsia="Times New Roman" w:cs="Times New Roman"/>
                      <w:sz w:val="16"/>
                      <w:szCs w:val="16"/>
                    </w:rPr>
                  </w:pPr>
                  <w:r w:rsidRPr="003E1518">
                    <w:rPr>
                      <w:rFonts w:cs="Calibri"/>
                      <w:sz w:val="16"/>
                      <w:szCs w:val="16"/>
                    </w:rPr>
                    <w:t>€ 459.912</w:t>
                  </w:r>
                </w:p>
              </w:tc>
              <w:tc>
                <w:tcPr>
                  <w:tcW w:w="1829" w:type="dxa"/>
                  <w:tcBorders>
                    <w:bottom w:val="single" w:color="000000" w:sz="4" w:space="0"/>
                  </w:tcBorders>
                </w:tcPr>
                <w:p w:rsidRPr="003E1518" w:rsidR="00A3300F" w:rsidP="00A3300F" w14:paraId="0DAB5DE8" w14:textId="77777777">
                  <w:pPr>
                    <w:rPr>
                      <w:rFonts w:eastAsia="Times New Roman" w:cs="Times New Roman"/>
                      <w:sz w:val="16"/>
                      <w:szCs w:val="16"/>
                    </w:rPr>
                  </w:pPr>
                  <w:r w:rsidRPr="003E1518">
                    <w:rPr>
                      <w:rFonts w:cs="Calibri"/>
                      <w:sz w:val="16"/>
                      <w:szCs w:val="16"/>
                    </w:rPr>
                    <w:t>Herinrichting ontsluitingsweg</w:t>
                  </w:r>
                </w:p>
              </w:tc>
            </w:tr>
            <w:tr w:rsidTr="00A3300F" w14:paraId="020F0AB1" w14:textId="77777777">
              <w:tblPrEx>
                <w:tblW w:w="8497" w:type="dxa"/>
                <w:tblInd w:w="0" w:type="dxa"/>
                <w:tblLayout w:type="fixed"/>
                <w:tblLook w:val="04A0"/>
              </w:tblPrEx>
              <w:trPr>
                <w:trHeight w:val="20"/>
              </w:trPr>
              <w:tc>
                <w:tcPr>
                  <w:tcW w:w="1372" w:type="dxa"/>
                  <w:tcBorders>
                    <w:bottom w:val="single" w:color="auto" w:sz="4" w:space="0"/>
                  </w:tcBorders>
                  <w:hideMark/>
                </w:tcPr>
                <w:p w:rsidRPr="003E1518" w:rsidR="00A3300F" w:rsidP="00A3300F" w14:paraId="2C801F09" w14:textId="77777777">
                  <w:pPr>
                    <w:rPr>
                      <w:rFonts w:eastAsia="Times New Roman" w:cs="Calibri"/>
                      <w:sz w:val="16"/>
                      <w:szCs w:val="16"/>
                    </w:rPr>
                  </w:pPr>
                  <w:r w:rsidRPr="003E1518">
                    <w:rPr>
                      <w:rFonts w:eastAsia="Times New Roman" w:cs="Calibri"/>
                      <w:sz w:val="16"/>
                      <w:szCs w:val="16"/>
                    </w:rPr>
                    <w:t>Zwolle</w:t>
                  </w:r>
                </w:p>
              </w:tc>
              <w:tc>
                <w:tcPr>
                  <w:tcW w:w="1865" w:type="dxa"/>
                  <w:tcBorders>
                    <w:bottom w:val="single" w:color="auto" w:sz="4" w:space="0"/>
                  </w:tcBorders>
                  <w:hideMark/>
                </w:tcPr>
                <w:p w:rsidRPr="003E1518" w:rsidR="00A3300F" w:rsidP="00A3300F" w14:paraId="4A3355D1" w14:textId="77777777">
                  <w:pPr>
                    <w:rPr>
                      <w:rFonts w:eastAsia="Times New Roman" w:cs="Calibri"/>
                      <w:sz w:val="16"/>
                      <w:szCs w:val="16"/>
                    </w:rPr>
                  </w:pPr>
                  <w:r w:rsidRPr="003E1518">
                    <w:rPr>
                      <w:rFonts w:eastAsia="Times New Roman" w:cs="Calibri"/>
                      <w:sz w:val="16"/>
                      <w:szCs w:val="16"/>
                    </w:rPr>
                    <w:t>Nieuw Harculo</w:t>
                  </w:r>
                </w:p>
                <w:p w:rsidRPr="003E1518" w:rsidR="00A3300F" w:rsidP="00A3300F" w14:paraId="2E701096" w14:textId="77777777">
                  <w:pPr>
                    <w:rPr>
                      <w:rFonts w:eastAsia="Times New Roman" w:cs="Calibri"/>
                      <w:sz w:val="16"/>
                      <w:szCs w:val="16"/>
                    </w:rPr>
                  </w:pPr>
                </w:p>
              </w:tc>
              <w:tc>
                <w:tcPr>
                  <w:tcW w:w="913" w:type="dxa"/>
                  <w:tcBorders>
                    <w:bottom w:val="single" w:color="auto" w:sz="4" w:space="0"/>
                  </w:tcBorders>
                </w:tcPr>
                <w:p w:rsidRPr="003E1518" w:rsidR="00A3300F" w:rsidP="00A3300F" w14:paraId="1C392648" w14:textId="77777777">
                  <w:pPr>
                    <w:rPr>
                      <w:rFonts w:eastAsia="Times New Roman" w:cs="Times New Roman"/>
                      <w:sz w:val="16"/>
                      <w:szCs w:val="16"/>
                    </w:rPr>
                  </w:pPr>
                  <w:r w:rsidRPr="003E1518">
                    <w:rPr>
                      <w:rFonts w:cs="Calibri"/>
                      <w:sz w:val="16"/>
                      <w:szCs w:val="16"/>
                    </w:rPr>
                    <w:t>500</w:t>
                  </w:r>
                </w:p>
              </w:tc>
              <w:tc>
                <w:tcPr>
                  <w:tcW w:w="1259" w:type="dxa"/>
                  <w:tcBorders>
                    <w:bottom w:val="single" w:color="auto" w:sz="4" w:space="0"/>
                  </w:tcBorders>
                </w:tcPr>
                <w:p w:rsidRPr="003E1518" w:rsidR="00A3300F" w:rsidP="00A3300F" w14:paraId="577E5F30" w14:textId="77777777">
                  <w:pPr>
                    <w:rPr>
                      <w:rFonts w:eastAsia="Times New Roman" w:cs="Times New Roman"/>
                      <w:sz w:val="16"/>
                      <w:szCs w:val="16"/>
                    </w:rPr>
                  </w:pPr>
                  <w:r w:rsidRPr="003E1518">
                    <w:rPr>
                      <w:rFonts w:cs="Calibri"/>
                      <w:sz w:val="16"/>
                      <w:szCs w:val="16"/>
                    </w:rPr>
                    <w:t>€ 1.435.273</w:t>
                  </w:r>
                </w:p>
              </w:tc>
              <w:tc>
                <w:tcPr>
                  <w:tcW w:w="1259" w:type="dxa"/>
                  <w:tcBorders>
                    <w:bottom w:val="single" w:color="auto" w:sz="4" w:space="0"/>
                  </w:tcBorders>
                </w:tcPr>
                <w:p w:rsidRPr="003E1518" w:rsidR="00A3300F" w:rsidP="00A3300F" w14:paraId="261695C5" w14:textId="77777777">
                  <w:pPr>
                    <w:rPr>
                      <w:rFonts w:eastAsia="Times New Roman" w:cs="Times New Roman"/>
                      <w:sz w:val="16"/>
                      <w:szCs w:val="16"/>
                    </w:rPr>
                  </w:pPr>
                  <w:r w:rsidRPr="003E1518">
                    <w:rPr>
                      <w:rFonts w:cs="Calibri"/>
                      <w:sz w:val="16"/>
                      <w:szCs w:val="16"/>
                    </w:rPr>
                    <w:t>€ 888.805</w:t>
                  </w:r>
                </w:p>
              </w:tc>
              <w:tc>
                <w:tcPr>
                  <w:tcW w:w="1829" w:type="dxa"/>
                  <w:tcBorders>
                    <w:bottom w:val="single" w:color="auto" w:sz="4" w:space="0"/>
                  </w:tcBorders>
                </w:tcPr>
                <w:p w:rsidRPr="003E1518" w:rsidR="00A3300F" w:rsidP="00A3300F" w14:paraId="4B7C7E88" w14:textId="77777777">
                  <w:pPr>
                    <w:rPr>
                      <w:rFonts w:eastAsia="Times New Roman" w:cs="Times New Roman"/>
                      <w:sz w:val="16"/>
                      <w:szCs w:val="16"/>
                    </w:rPr>
                  </w:pPr>
                  <w:r w:rsidRPr="003E1518">
                    <w:rPr>
                      <w:rFonts w:cs="Calibri"/>
                      <w:sz w:val="16"/>
                      <w:szCs w:val="16"/>
                    </w:rPr>
                    <w:t>Herinrichting kruising</w:t>
                  </w:r>
                </w:p>
              </w:tc>
            </w:tr>
          </w:tbl>
          <w:p w:rsidRPr="003E1518" w:rsidR="00DA57E9" w:rsidP="00DA57E9" w14:paraId="11E261B3" w14:textId="77777777">
            <w:pPr>
              <w:pStyle w:val="NoSpacing"/>
              <w:rPr>
                <w:b/>
                <w:bCs/>
              </w:rPr>
            </w:pPr>
          </w:p>
          <w:p w:rsidRPr="003E1518" w:rsidR="00A3300F" w:rsidP="00DA57E9" w14:paraId="6330ACB9" w14:textId="2A74B626">
            <w:pPr>
              <w:pStyle w:val="NoSpacing"/>
              <w:rPr>
                <w:u w:val="single"/>
              </w:rPr>
            </w:pPr>
            <w:r w:rsidRPr="003E1518">
              <w:rPr>
                <w:u w:val="single"/>
              </w:rPr>
              <w:t>Veluwelijn</w:t>
            </w:r>
          </w:p>
          <w:p w:rsidRPr="003E1518" w:rsidR="00A3300F" w:rsidP="00EF0DC4" w14:paraId="4BBDC25A" w14:textId="77777777">
            <w:pPr>
              <w:pStyle w:val="ListParagraph"/>
              <w:numPr>
                <w:ilvl w:val="0"/>
                <w:numId w:val="26"/>
              </w:numPr>
              <w:spacing w:line="276" w:lineRule="auto"/>
              <w:rPr>
                <w:rFonts w:eastAsia="Calibri" w:cs="Times New Roman"/>
              </w:rPr>
            </w:pPr>
            <w:r w:rsidRPr="003E1518">
              <w:rPr>
                <w:rFonts w:eastAsia="Calibri" w:cs="Times New Roman"/>
              </w:rPr>
              <w:t xml:space="preserve">In Nijkerk, Ermelo, Putten en Harderwijk worden tot en met 2033 10.817 woningen gebouwd. </w:t>
            </w:r>
          </w:p>
          <w:p w:rsidRPr="003E1518" w:rsidR="00A3300F" w:rsidP="00EF0DC4" w14:paraId="78037A00" w14:textId="77777777">
            <w:pPr>
              <w:pStyle w:val="ListParagraph"/>
              <w:numPr>
                <w:ilvl w:val="0"/>
                <w:numId w:val="26"/>
              </w:numPr>
              <w:spacing w:line="276" w:lineRule="auto"/>
              <w:rPr>
                <w:rFonts w:eastAsia="Calibri" w:cs="Times New Roman"/>
              </w:rPr>
            </w:pPr>
            <w:r w:rsidRPr="003E1518">
              <w:rPr>
                <w:rFonts w:eastAsia="Calibri" w:cs="Times New Roman"/>
              </w:rPr>
              <w:t>Het Rijk reserveert een bijdrage van € 98.704.000 vanuit de WoKT onder voorwaarde dat de regio minimaal € 70.800.000 reserveert voor de realisatie van een keerrvoorziening bij Harderwijk en overwegmaatregelen ten behoeve van een frequentieverhoging op de Veluwelijn.</w:t>
            </w:r>
          </w:p>
          <w:p w:rsidRPr="003E1518" w:rsidR="00A3300F" w:rsidP="00EF0DC4" w14:paraId="433CBBB7" w14:textId="77777777">
            <w:pPr>
              <w:pStyle w:val="ListParagraph"/>
              <w:numPr>
                <w:ilvl w:val="0"/>
                <w:numId w:val="26"/>
              </w:numPr>
              <w:spacing w:line="276" w:lineRule="auto"/>
              <w:rPr>
                <w:b/>
                <w:bCs/>
              </w:rPr>
            </w:pPr>
            <w:r w:rsidRPr="003E1518">
              <w:rPr>
                <w:rFonts w:eastAsia="Calibri" w:cs="Times New Roman"/>
              </w:rPr>
              <w:t>Partijen leggen na afloop van de lopende alternatievenstudie keervoorziening Harderwijk in een Bestuursovereenkomst (BOK) definitieve afspraken vast over onder andere de scope, budget, verdeling van kosten en (financiële) risico’s, BOV-kosten, juridisch-planologische procedures, organisatie en de planning. Daarbij geldt het geactualiseerde programmabeheersplan woningbouw en mobiliteit als kader.</w:t>
            </w:r>
          </w:p>
          <w:p w:rsidRPr="003E1518" w:rsidR="00A3300F" w:rsidP="00A3300F" w14:paraId="61F03EE6" w14:textId="77777777">
            <w:pPr>
              <w:spacing w:line="276" w:lineRule="auto"/>
              <w:rPr>
                <w:b/>
                <w:bCs/>
              </w:rPr>
            </w:pPr>
          </w:p>
          <w:p w:rsidRPr="009A36E6" w:rsidR="00A3300F" w:rsidP="00A3300F" w14:paraId="4EE04DC4" w14:textId="77777777">
            <w:pPr>
              <w:spacing w:line="276" w:lineRule="auto"/>
              <w:rPr>
                <w:b/>
                <w:bCs/>
                <w:i/>
                <w:iCs/>
              </w:rPr>
            </w:pPr>
            <w:r w:rsidRPr="009A36E6">
              <w:rPr>
                <w:b/>
                <w:bCs/>
                <w:i/>
                <w:iCs/>
              </w:rPr>
              <w:t>Afspraken grootschalige woningbouw Oost-Nederland</w:t>
            </w:r>
          </w:p>
          <w:p w:rsidRPr="009A36E6" w:rsidR="00A3300F" w:rsidP="00A3300F" w14:paraId="1F541359" w14:textId="16DD0DF0">
            <w:pPr>
              <w:spacing w:line="276" w:lineRule="auto"/>
              <w:rPr>
                <w:u w:val="single"/>
              </w:rPr>
            </w:pPr>
            <w:r w:rsidRPr="009A36E6">
              <w:rPr>
                <w:u w:val="single"/>
              </w:rPr>
              <w:t>Nijmegen Stationsgebied</w:t>
            </w:r>
          </w:p>
          <w:p w:rsidRPr="00A3300F" w:rsidR="00A3300F" w:rsidP="00EF0DC4" w14:paraId="7F47F71B" w14:textId="77777777">
            <w:pPr>
              <w:numPr>
                <w:ilvl w:val="0"/>
                <w:numId w:val="26"/>
              </w:numPr>
              <w:spacing w:line="276" w:lineRule="auto"/>
              <w:contextualSpacing/>
              <w:rPr>
                <w:rFonts w:eastAsia="Calibri" w:cs="Times New Roman"/>
                <w:kern w:val="2"/>
                <w14:ligatures w14:val="standardContextual"/>
              </w:rPr>
            </w:pPr>
            <w:r w:rsidRPr="00A3300F">
              <w:rPr>
                <w:rFonts w:eastAsia="Calibri" w:cs="Times New Roman"/>
                <w:kern w:val="2"/>
                <w14:ligatures w14:val="standardContextual"/>
              </w:rPr>
              <w:t xml:space="preserve">In het nationaal grootschalige woningbouwgebied Nijmegen Stationsgebied worden tot en met 2030 3.500 woningen gebouwd, zoals afgesproken in het BO MIRT 2022. </w:t>
            </w:r>
          </w:p>
          <w:p w:rsidRPr="00A3300F" w:rsidR="00A3300F" w:rsidP="00EF0DC4" w14:paraId="06DFBF26" w14:textId="77777777">
            <w:pPr>
              <w:numPr>
                <w:ilvl w:val="0"/>
                <w:numId w:val="26"/>
              </w:numPr>
              <w:spacing w:line="276" w:lineRule="auto"/>
              <w:contextualSpacing/>
              <w:rPr>
                <w:rFonts w:eastAsia="Calibri" w:cs="Times New Roman"/>
                <w:kern w:val="2"/>
                <w14:ligatures w14:val="standardContextual"/>
              </w:rPr>
            </w:pPr>
            <w:r w:rsidRPr="00A3300F">
              <w:rPr>
                <w:rFonts w:eastAsia="Calibri" w:cs="Times New Roman"/>
                <w:kern w:val="2"/>
                <w14:ligatures w14:val="standardContextual"/>
              </w:rPr>
              <w:t xml:space="preserve">Aanvullend wordt er in Nijmegen Stationsgebied tot en met 2034 gestart met de bouw van ca 1.000 extra nieuwe woningen. Voor de ontsluiting en bereikbaarheid van deze woningen reserveert het Rijk een bijdrage van ca € 10,8 miljoen vanuit de inframiddelen voor het verleggen van een snelfietsroute, herinrichten verkeersstromen en een (ondergrondse) fietsenstalling onder voorwaarde dat de regio minimaal eenzelfde bijdrage reserveert. </w:t>
            </w:r>
          </w:p>
          <w:p w:rsidRPr="003E1518" w:rsidR="00A3300F" w:rsidP="00EF0DC4" w14:paraId="2CD25AE7" w14:textId="45631A36">
            <w:pPr>
              <w:numPr>
                <w:ilvl w:val="0"/>
                <w:numId w:val="26"/>
              </w:numPr>
              <w:spacing w:line="276" w:lineRule="auto"/>
              <w:contextualSpacing/>
              <w:rPr>
                <w:rFonts w:eastAsia="Calibri" w:cs="Times New Roman"/>
                <w:kern w:val="2"/>
                <w14:ligatures w14:val="standardContextual"/>
              </w:rPr>
            </w:pPr>
            <w:r w:rsidRPr="00A3300F">
              <w:rPr>
                <w:rFonts w:eastAsia="Calibri" w:cs="Times New Roman"/>
                <w:kern w:val="2"/>
                <w14:ligatures w14:val="standardContextual"/>
              </w:rPr>
              <w:t>Het Rijk reserveert een bijdrage van ca € 21,7 miljoen vanuit het gebiedsbudget voor maatregelen ten behoeve van toekomstbestendigheid, (her)inrichting openbare ruimte en verwervingen/(bedrijfs)verplaatsingen onder voorwaarde dat de regio minimaal eenzelfde bijdrage reserveert.</w:t>
            </w:r>
          </w:p>
          <w:p w:rsidRPr="003E1518" w:rsidR="00A3300F" w:rsidP="00A3300F" w14:paraId="0A5AC88B" w14:textId="77777777">
            <w:pPr>
              <w:spacing w:line="276" w:lineRule="auto"/>
              <w:contextualSpacing/>
              <w:rPr>
                <w:rFonts w:eastAsia="Calibri" w:cs="Times New Roman"/>
                <w:kern w:val="2"/>
                <w14:ligatures w14:val="standardContextual"/>
              </w:rPr>
            </w:pPr>
          </w:p>
          <w:p w:rsidRPr="009A36E6" w:rsidR="00A3300F" w:rsidP="00A3300F" w14:paraId="525B9278" w14:textId="566235EA">
            <w:pPr>
              <w:spacing w:line="276" w:lineRule="auto"/>
              <w:contextualSpacing/>
              <w:rPr>
                <w:rFonts w:eastAsia="Calibri" w:cs="Times New Roman"/>
                <w:kern w:val="2"/>
                <w:u w:val="single"/>
                <w14:ligatures w14:val="standardContextual"/>
              </w:rPr>
            </w:pPr>
            <w:r w:rsidRPr="009A36E6">
              <w:rPr>
                <w:rFonts w:eastAsia="Calibri" w:cs="Times New Roman"/>
                <w:kern w:val="2"/>
                <w:u w:val="single"/>
                <w14:ligatures w14:val="standardContextual"/>
              </w:rPr>
              <w:t>Nijmegen Kanaalzone</w:t>
            </w:r>
          </w:p>
          <w:p w:rsidRPr="003E1518" w:rsidR="00A3300F" w:rsidP="00EF0DC4" w14:paraId="0B825DF4" w14:textId="77777777">
            <w:pPr>
              <w:pStyle w:val="ListParagraph"/>
              <w:numPr>
                <w:ilvl w:val="0"/>
                <w:numId w:val="26"/>
              </w:numPr>
              <w:spacing w:line="276" w:lineRule="auto"/>
            </w:pPr>
            <w:r w:rsidRPr="003E1518">
              <w:t>In het nationaal grootschalige woningbouwgebied Nijmegen Kanaalzone worden tot en met 2030 ca 4.000 woningen gebouwd, zoals afgesproken in het BO MIRT 2022.</w:t>
            </w:r>
          </w:p>
          <w:p w:rsidRPr="003E1518" w:rsidR="00A3300F" w:rsidP="00EF0DC4" w14:paraId="235B0C72" w14:textId="77777777">
            <w:pPr>
              <w:pStyle w:val="ListParagraph"/>
              <w:numPr>
                <w:ilvl w:val="0"/>
                <w:numId w:val="26"/>
              </w:numPr>
              <w:spacing w:line="276" w:lineRule="auto"/>
            </w:pPr>
            <w:r w:rsidRPr="003E1518">
              <w:t xml:space="preserve">Aanvullend wordt er in Nijmegen Kanaalzone tot en met 2034 gestart met de bouw van 200 extra nieuwe woningen. Voor de ontsluiting en bereikbaarheid van deze woningen reserveert het Rijk een bijdrage van ca € 2 miljoen vanuit de inframiddelen voor de realisatie van fietsroute Maaswaalkanaal onder voorwaarde dat de regio minimaal eenzelfde bijdrage reserveert. </w:t>
            </w:r>
          </w:p>
          <w:p w:rsidRPr="003E1518" w:rsidR="00A3300F" w:rsidP="00EF0DC4" w14:paraId="76F9363C" w14:textId="77777777">
            <w:pPr>
              <w:pStyle w:val="ListParagraph"/>
              <w:numPr>
                <w:ilvl w:val="0"/>
                <w:numId w:val="26"/>
              </w:numPr>
              <w:spacing w:line="276" w:lineRule="auto"/>
              <w:rPr>
                <w:b/>
                <w:bCs/>
              </w:rPr>
            </w:pPr>
            <w:r w:rsidRPr="003E1518">
              <w:t xml:space="preserve">Het Rijk reserveert een bijdrage van ca € 46 miljoen vanuit het gebiedsbudget voor maatregelen ten behoeve van toekomstbestendigheid en (her)inrichting openbare ruimte onder voorwaarde dat de regio minimaal eenzelfde bijdrage reserveert.  </w:t>
            </w:r>
          </w:p>
          <w:p w:rsidRPr="003E1518" w:rsidR="00A3300F" w:rsidP="00A3300F" w14:paraId="79935E39" w14:textId="50F207C9">
            <w:pPr>
              <w:spacing w:line="276" w:lineRule="auto"/>
              <w:contextualSpacing/>
              <w:rPr>
                <w:rFonts w:eastAsia="Calibri" w:cs="Times New Roman"/>
                <w:i/>
                <w:iCs/>
                <w:kern w:val="2"/>
                <w14:ligatures w14:val="standardContextual"/>
              </w:rPr>
            </w:pPr>
          </w:p>
          <w:p w:rsidRPr="009A36E6" w:rsidR="00A3300F" w:rsidP="00A3300F" w14:paraId="544D383E" w14:textId="5A31E5F1">
            <w:pPr>
              <w:spacing w:line="276" w:lineRule="auto"/>
              <w:contextualSpacing/>
              <w:rPr>
                <w:rFonts w:eastAsia="Calibri" w:cs="Times New Roman"/>
                <w:kern w:val="2"/>
                <w:u w:val="single"/>
                <w14:ligatures w14:val="standardContextual"/>
              </w:rPr>
            </w:pPr>
            <w:r w:rsidRPr="009A36E6">
              <w:rPr>
                <w:rFonts w:eastAsia="Calibri" w:cs="Times New Roman"/>
                <w:kern w:val="2"/>
                <w:u w:val="single"/>
                <w14:ligatures w14:val="standardContextual"/>
              </w:rPr>
              <w:t>Zwolle Spoorzone</w:t>
            </w:r>
          </w:p>
          <w:p w:rsidRPr="003E1518" w:rsidR="00A3300F" w:rsidP="00EF0DC4" w14:paraId="3B98A364" w14:textId="77777777">
            <w:pPr>
              <w:pStyle w:val="ListParagraph"/>
              <w:numPr>
                <w:ilvl w:val="0"/>
                <w:numId w:val="27"/>
              </w:numPr>
              <w:spacing w:line="276" w:lineRule="auto"/>
              <w:rPr>
                <w:rFonts w:eastAsia="Calibri" w:cs="Times New Roman"/>
              </w:rPr>
            </w:pPr>
            <w:r w:rsidRPr="003E1518">
              <w:rPr>
                <w:rFonts w:eastAsia="Calibri" w:cs="Times New Roman"/>
              </w:rPr>
              <w:t xml:space="preserve">In het nationaal grootschalige woningbouwgebied Zwolle Spoorzone worden tot en met 2030 8.800 woningen gebouwd, zoals afgesproken op het BO MIRT 2022. </w:t>
            </w:r>
          </w:p>
          <w:p w:rsidRPr="003E1518" w:rsidR="00A3300F" w:rsidP="00EF0DC4" w14:paraId="69C10FDD" w14:textId="5BAA004B">
            <w:pPr>
              <w:pStyle w:val="ListParagraph"/>
              <w:numPr>
                <w:ilvl w:val="0"/>
                <w:numId w:val="27"/>
              </w:numPr>
              <w:spacing w:line="276" w:lineRule="auto"/>
              <w:rPr>
                <w:rFonts w:eastAsia="Calibri" w:cs="Times New Roman"/>
              </w:rPr>
            </w:pPr>
            <w:r w:rsidRPr="003E1518">
              <w:rPr>
                <w:rFonts w:eastAsia="Calibri" w:cs="Times New Roman"/>
              </w:rPr>
              <w:t>Aanvullend wordt er in de Zwolle Spoorzone tot en met 2034 gestart met de bouw van ca 1.000 extra nieuwe woningen. Voor de ontsluiting en bereikbaarheid van deze woningen reserveert het Rijk een bijdrage van € 17</w:t>
            </w:r>
            <w:r w:rsidR="00830123">
              <w:rPr>
                <w:rFonts w:eastAsia="Calibri" w:cs="Times New Roman"/>
              </w:rPr>
              <w:t>.900.000</w:t>
            </w:r>
            <w:r w:rsidRPr="003E1518">
              <w:rPr>
                <w:rFonts w:eastAsia="Calibri" w:cs="Times New Roman"/>
              </w:rPr>
              <w:t xml:space="preserve"> vanuit de inframiddelen voor infrastructuur in het Roelenkwartier, aanpassing van een weg en de aanleg van fietstunnels onder voorwaarde dat de regio minimaal eenzelfde bijdrage reserveert. </w:t>
            </w:r>
          </w:p>
          <w:p w:rsidRPr="003E1518" w:rsidR="00A3300F" w:rsidP="00EF0DC4" w14:paraId="2E8A77A3" w14:textId="77777777">
            <w:pPr>
              <w:pStyle w:val="ListParagraph"/>
              <w:numPr>
                <w:ilvl w:val="0"/>
                <w:numId w:val="27"/>
              </w:numPr>
              <w:spacing w:line="276" w:lineRule="auto"/>
              <w:rPr>
                <w:rFonts w:eastAsia="Calibri" w:cs="Times New Roman"/>
              </w:rPr>
            </w:pPr>
            <w:r w:rsidRPr="003E1518">
              <w:rPr>
                <w:rFonts w:eastAsia="Calibri" w:cs="Times New Roman"/>
              </w:rPr>
              <w:t xml:space="preserve">Het Rijk reserveert een bijdrage van ca € 7,4 miljoen vanuit het gebiedsbudget voor maatregelen ten behoeve van (her)inrichting openbare ruimte onder voorwaarde dat de regio minimaal eenzelfde bijdrage reserveert. </w:t>
            </w:r>
          </w:p>
          <w:p w:rsidRPr="003E1518" w:rsidR="00A3300F" w:rsidP="00A3300F" w14:paraId="4462A3C4" w14:textId="77777777">
            <w:pPr>
              <w:spacing w:line="276" w:lineRule="auto"/>
              <w:contextualSpacing/>
              <w:rPr>
                <w:rFonts w:eastAsia="Calibri" w:cs="Times New Roman"/>
                <w:kern w:val="2"/>
                <w14:ligatures w14:val="standardContextual"/>
              </w:rPr>
            </w:pPr>
          </w:p>
          <w:p w:rsidRPr="009A36E6" w:rsidR="00A3300F" w:rsidP="00A3300F" w14:paraId="15603F73" w14:textId="04D51761">
            <w:pPr>
              <w:spacing w:line="276" w:lineRule="auto"/>
              <w:contextualSpacing/>
              <w:rPr>
                <w:rFonts w:eastAsia="Calibri" w:cs="Times New Roman"/>
                <w:kern w:val="2"/>
                <w:u w:val="single"/>
                <w14:ligatures w14:val="standardContextual"/>
              </w:rPr>
            </w:pPr>
            <w:r w:rsidRPr="009A36E6">
              <w:rPr>
                <w:rFonts w:eastAsia="Calibri" w:cs="Times New Roman"/>
                <w:kern w:val="2"/>
                <w:u w:val="single"/>
                <w14:ligatures w14:val="standardContextual"/>
              </w:rPr>
              <w:t>Arnhem Spoorzone Oost</w:t>
            </w:r>
          </w:p>
          <w:p w:rsidRPr="003E1518" w:rsidR="00A3300F" w:rsidP="00EF0DC4" w14:paraId="00D921B0" w14:textId="77777777">
            <w:pPr>
              <w:pStyle w:val="ListParagraph"/>
              <w:numPr>
                <w:ilvl w:val="0"/>
                <w:numId w:val="26"/>
              </w:numPr>
              <w:spacing w:line="276" w:lineRule="auto"/>
              <w:ind w:left="426"/>
              <w:rPr>
                <w:rFonts w:eastAsia="Calibri" w:cs="Times New Roman"/>
              </w:rPr>
            </w:pPr>
            <w:r w:rsidRPr="003E1518">
              <w:rPr>
                <w:rFonts w:eastAsia="Calibri" w:cs="Times New Roman"/>
              </w:rPr>
              <w:t xml:space="preserve">In het nationaal grootschalige woningbouwgebied Arnhem Spoorzone-Oost worden tot en met 2030 5.400 woningen gebouwd zoals afgesproken op het BO MIRT 2022. </w:t>
            </w:r>
          </w:p>
          <w:p w:rsidRPr="003E1518" w:rsidR="00A3300F" w:rsidP="00EF0DC4" w14:paraId="24EE06F9" w14:textId="77777777">
            <w:pPr>
              <w:pStyle w:val="ListParagraph"/>
              <w:numPr>
                <w:ilvl w:val="0"/>
                <w:numId w:val="26"/>
              </w:numPr>
              <w:spacing w:line="276" w:lineRule="auto"/>
              <w:ind w:left="426"/>
              <w:rPr>
                <w:rFonts w:eastAsia="Calibri" w:cs="Times New Roman"/>
              </w:rPr>
            </w:pPr>
            <w:r w:rsidRPr="003E1518">
              <w:rPr>
                <w:rFonts w:eastAsia="Calibri" w:cs="Times New Roman"/>
              </w:rPr>
              <w:t>Aanvullend wordt er tot en met 2034 gestart met de bouw van 2.600 extra nieuwe woningen in Rijnpark fase 1 en 2. Na 2034 is er potentie voor de bouw van 4.000 nieuwe woningen.</w:t>
            </w:r>
          </w:p>
          <w:p w:rsidRPr="003E1518" w:rsidR="00A3300F" w:rsidP="00EF0DC4" w14:paraId="5A8E5479" w14:textId="77777777">
            <w:pPr>
              <w:pStyle w:val="ListParagraph"/>
              <w:numPr>
                <w:ilvl w:val="0"/>
                <w:numId w:val="26"/>
              </w:numPr>
              <w:spacing w:line="276" w:lineRule="auto"/>
              <w:ind w:left="426"/>
              <w:rPr>
                <w:rFonts w:eastAsia="Calibri" w:cs="Times New Roman"/>
              </w:rPr>
            </w:pPr>
            <w:r w:rsidRPr="003E1518">
              <w:rPr>
                <w:rFonts w:eastAsia="Calibri" w:cs="Times New Roman"/>
              </w:rPr>
              <w:t>Om deze ontwikkeling mogelijk te maken is de uitplaatsing van het NS-emplacement en ProRail-emplacement in het gebied noodzakelijk.</w:t>
            </w:r>
          </w:p>
          <w:p w:rsidRPr="003E1518" w:rsidR="00A3300F" w:rsidP="00EF0DC4" w14:paraId="214B9F61" w14:textId="77777777">
            <w:pPr>
              <w:pStyle w:val="ListParagraph"/>
              <w:numPr>
                <w:ilvl w:val="0"/>
                <w:numId w:val="26"/>
              </w:numPr>
              <w:spacing w:line="276" w:lineRule="auto"/>
              <w:ind w:left="426"/>
              <w:rPr>
                <w:rFonts w:eastAsia="Calibri" w:cs="Times New Roman"/>
              </w:rPr>
            </w:pPr>
            <w:r w:rsidRPr="003E1518">
              <w:rPr>
                <w:rFonts w:eastAsia="Calibri" w:cs="Times New Roman"/>
              </w:rPr>
              <w:t xml:space="preserve">Op dit moment is er nog geen definitief uitsluitsel over alternatieve locaties voor het uitplaatsen van deze emplacementen. De onderzoeken hiernaar lopen nog en zijn begin 2026 gereed. De conceptresultaten bieden voldoende perspectief op een geschikt alternatief voor beide emplacementen, die door ProRail maakbaar worden geacht. </w:t>
            </w:r>
          </w:p>
          <w:p w:rsidRPr="003E1518" w:rsidR="00A3300F" w:rsidP="00EF0DC4" w14:paraId="6D2E204E" w14:textId="77777777">
            <w:pPr>
              <w:pStyle w:val="ListParagraph"/>
              <w:numPr>
                <w:ilvl w:val="0"/>
                <w:numId w:val="26"/>
              </w:numPr>
              <w:spacing w:line="276" w:lineRule="auto"/>
              <w:ind w:left="426"/>
              <w:rPr>
                <w:rFonts w:eastAsia="Calibri" w:cs="Times New Roman"/>
              </w:rPr>
            </w:pPr>
            <w:r w:rsidRPr="003E1518">
              <w:rPr>
                <w:rFonts w:eastAsia="Calibri" w:cs="Times New Roman"/>
              </w:rPr>
              <w:t>Voor fase 1 is in het BO MIRT 2022 en BO Leefomgeving 2023 door het Rijk ca € 104,4 miljoen vanuit het gebiedsbudget gereserveerd voor gebiedsmaatregelen (€ 50 miljoen t.b.v. de uitplaatsing van het ProRail emplacement, € 54,4 miljoen t.b.v. overige gebiedsmaatregelen). De gemeente Arnhem heeft € 91 miljoen beschikbaar gesteld voor de ontwikkeling van Rijnpark fase 1, Schaapsdrift en Presikhaaf 3. Aanvullend daarop is door het Rijk in 2022 ca. € 26,7 miljoen beschikbaar gesteld voor een mobiliteitspakket t.b.v. de bereikbaarheid en ontsluiting van de woningen die tot en met 2030 worden gebouwd. Gemeente Arnhem heeft hiervoor eenzelfde bedrag gereserveerd.</w:t>
            </w:r>
          </w:p>
          <w:p w:rsidRPr="003E1518" w:rsidR="00A3300F" w:rsidP="00EF0DC4" w14:paraId="1D9A48E6" w14:textId="77777777">
            <w:pPr>
              <w:pStyle w:val="ListParagraph"/>
              <w:numPr>
                <w:ilvl w:val="0"/>
                <w:numId w:val="26"/>
              </w:numPr>
              <w:spacing w:line="276" w:lineRule="auto"/>
              <w:ind w:left="426"/>
              <w:rPr>
                <w:rFonts w:eastAsia="Calibri" w:cs="Times New Roman"/>
              </w:rPr>
            </w:pPr>
            <w:r w:rsidRPr="003E1518">
              <w:rPr>
                <w:rFonts w:eastAsia="Calibri" w:cs="Times New Roman"/>
              </w:rPr>
              <w:t xml:space="preserve">Het Rijk stemt onder voorbehoud in met de gevraagde Rijksbijdragen voor uitplaatsing van het NS-emplacement (VRO, gebiedsbudget) en het mobiliteitspakket (IenW, inframiddelen). </w:t>
            </w:r>
          </w:p>
          <w:p w:rsidRPr="003E1518" w:rsidR="00A3300F" w:rsidP="00EF0DC4" w14:paraId="42EB5D12" w14:textId="77777777">
            <w:pPr>
              <w:pStyle w:val="ListParagraph"/>
              <w:numPr>
                <w:ilvl w:val="0"/>
                <w:numId w:val="26"/>
              </w:numPr>
              <w:spacing w:line="276" w:lineRule="auto"/>
              <w:ind w:left="426"/>
              <w:rPr>
                <w:rFonts w:eastAsia="Calibri" w:cs="Times New Roman"/>
              </w:rPr>
            </w:pPr>
            <w:r w:rsidRPr="003E1518">
              <w:rPr>
                <w:rFonts w:eastAsia="Calibri" w:cs="Times New Roman"/>
              </w:rPr>
              <w:t>Randvoorwaarde om tot definitieve besluitvorming over deze Rijksbijdragen te komen, is dat betrokken partijen op basis van de onderzoeken vaststellen dat beide spooremplacementen uitgeplaatst kunnen worden, waarbij de (wettelijke) taken van ProRail en NS ook in de toekomst gewaarborgd blijven.</w:t>
            </w:r>
          </w:p>
          <w:p w:rsidRPr="003E1518" w:rsidR="00A3300F" w:rsidP="00EF0DC4" w14:paraId="5A5E5A3F" w14:textId="77777777">
            <w:pPr>
              <w:pStyle w:val="ListParagraph"/>
              <w:numPr>
                <w:ilvl w:val="0"/>
                <w:numId w:val="26"/>
              </w:numPr>
              <w:spacing w:line="276" w:lineRule="auto"/>
              <w:ind w:left="426"/>
              <w:rPr>
                <w:rFonts w:eastAsia="Calibri" w:cs="Times New Roman"/>
              </w:rPr>
            </w:pPr>
            <w:r w:rsidRPr="003E1518">
              <w:rPr>
                <w:rFonts w:eastAsia="Calibri" w:cs="Times New Roman"/>
              </w:rPr>
              <w:t xml:space="preserve">Rijk en regio spreken af dat betrokken partijen in de eerste helft van 2026 een bestuurs- of samenwerkingsovereenkomst afsluiten. Hierin wordt vastgelegd dat de spooremplacementen uitgeplaatst kunnen worden en specifiek afspraken gemaakt over de voorkeurslocatie voor de uitplaatsing van het NS-emplacement en de kansrijke locaties voor de uitplaatsing van het ProRail-emplacement. Tevens worden afspraken gemaakt over de verdeling van de risico’s, de governance, het participatieproces en de organisatie van het vervolgonderzoek naar de beoogde uitplaatsingen. </w:t>
            </w:r>
          </w:p>
          <w:p w:rsidRPr="003E1518" w:rsidR="00A3300F" w:rsidP="00EF0DC4" w14:paraId="70B91380" w14:textId="77777777">
            <w:pPr>
              <w:pStyle w:val="ListParagraph"/>
              <w:numPr>
                <w:ilvl w:val="0"/>
                <w:numId w:val="26"/>
              </w:numPr>
              <w:spacing w:line="276" w:lineRule="auto"/>
              <w:ind w:left="426"/>
              <w:rPr>
                <w:rFonts w:eastAsia="Calibri" w:cs="Times New Roman"/>
              </w:rPr>
            </w:pPr>
            <w:r w:rsidRPr="003E1518">
              <w:rPr>
                <w:rFonts w:eastAsia="Calibri" w:cs="Times New Roman"/>
              </w:rPr>
              <w:t xml:space="preserve">De uitwerking van de bestuurs- of samenwerkingsovereenkomst bespreken partijen in een separaat bestuurlijk overleg eerste helft 2026. </w:t>
            </w:r>
          </w:p>
          <w:p w:rsidRPr="003E1518" w:rsidR="00A3300F" w:rsidP="00EF0DC4" w14:paraId="072E15EE" w14:textId="77777777">
            <w:pPr>
              <w:pStyle w:val="ListParagraph"/>
              <w:numPr>
                <w:ilvl w:val="0"/>
                <w:numId w:val="26"/>
              </w:numPr>
              <w:spacing w:line="276" w:lineRule="auto"/>
              <w:ind w:left="426"/>
              <w:rPr>
                <w:rFonts w:eastAsia="Calibri" w:cs="Times New Roman"/>
              </w:rPr>
            </w:pPr>
            <w:r w:rsidRPr="003E1518">
              <w:rPr>
                <w:rFonts w:eastAsia="Calibri" w:cs="Times New Roman"/>
              </w:rPr>
              <w:t>Partijen streven ernaar om medio 2026 de planuitwerking naar een uitgeplaatst NS-emplacement te starten en eind 2026 het besluit te nemen over het bepalen van de locaties voor de uitplaatsing van het ProRail emplacement.</w:t>
            </w:r>
          </w:p>
          <w:p w:rsidRPr="003E1518" w:rsidR="00A3300F" w:rsidP="00EF0DC4" w14:paraId="0E0C0BD4" w14:textId="77777777">
            <w:pPr>
              <w:pStyle w:val="ListParagraph"/>
              <w:numPr>
                <w:ilvl w:val="0"/>
                <w:numId w:val="26"/>
              </w:numPr>
              <w:spacing w:line="276" w:lineRule="auto"/>
              <w:ind w:left="426"/>
              <w:rPr>
                <w:rFonts w:eastAsia="Calibri" w:cs="Times New Roman"/>
              </w:rPr>
            </w:pPr>
            <w:r w:rsidRPr="003E1518">
              <w:rPr>
                <w:rFonts w:eastAsia="Calibri" w:cs="Times New Roman"/>
              </w:rPr>
              <w:t xml:space="preserve">Onder voorbehoud van het bovenstaande wordt een bedrag van ca € 54,4 miljoen vanuit het gebiedsbudget gereserveerd ten behoeve van uitplaatsing NS-emplacement en aanvullend wordt een bijdrage gereserveerd van ca € 53,2 miljoen vanuit het gebiedsbudget voor maatregelen ten behoeve van (her)inrichting openbare ruimte en toekomstbestendigheid. </w:t>
            </w:r>
          </w:p>
          <w:p w:rsidRPr="003E1518" w:rsidR="00A3300F" w:rsidP="00EF0DC4" w14:paraId="7F2E789D" w14:textId="77777777">
            <w:pPr>
              <w:pStyle w:val="ListParagraph"/>
              <w:numPr>
                <w:ilvl w:val="0"/>
                <w:numId w:val="26"/>
              </w:numPr>
              <w:spacing w:line="276" w:lineRule="auto"/>
              <w:ind w:left="426"/>
              <w:rPr>
                <w:rFonts w:eastAsia="Calibri" w:cs="Times New Roman"/>
              </w:rPr>
            </w:pPr>
            <w:r w:rsidRPr="003E1518">
              <w:rPr>
                <w:rFonts w:eastAsia="Calibri" w:cs="Times New Roman"/>
              </w:rPr>
              <w:t>Onder voorbehoud van het bovenstaande wordt een bedrag van ca € 30,6 miljoen vanuit de inframiddelen gereserveerd voor fietsmaatregelen, hubs en OV maatregelen voor de ontsluiting en bereikbaarheid van deze woningen onder voorwaarde dat de regio minimaal eenzelfde bijdrage reserveert.</w:t>
            </w:r>
          </w:p>
          <w:p w:rsidRPr="003E1518" w:rsidR="00A3300F" w:rsidP="00A3300F" w14:paraId="461C6F32" w14:textId="77777777">
            <w:pPr>
              <w:spacing w:line="276" w:lineRule="auto"/>
              <w:contextualSpacing/>
              <w:rPr>
                <w:rFonts w:eastAsia="Calibri" w:cs="Times New Roman"/>
                <w:kern w:val="2"/>
                <w14:ligatures w14:val="standardContextual"/>
              </w:rPr>
            </w:pPr>
          </w:p>
          <w:p w:rsidRPr="009A36E6" w:rsidR="00A3300F" w:rsidP="00A3300F" w14:paraId="76C7E8AB" w14:textId="6B3FF9FD">
            <w:pPr>
              <w:spacing w:line="276" w:lineRule="auto"/>
              <w:contextualSpacing/>
              <w:rPr>
                <w:rFonts w:eastAsia="Calibri" w:cs="Times New Roman"/>
                <w:kern w:val="2"/>
                <w:u w:val="single"/>
                <w14:ligatures w14:val="standardContextual"/>
              </w:rPr>
            </w:pPr>
            <w:r w:rsidRPr="009A36E6">
              <w:rPr>
                <w:rFonts w:eastAsia="Calibri" w:cs="Times New Roman"/>
                <w:kern w:val="2"/>
                <w:u w:val="single"/>
                <w14:ligatures w14:val="standardContextual"/>
              </w:rPr>
              <w:t>Foodvalley</w:t>
            </w:r>
          </w:p>
          <w:p w:rsidRPr="00A3300F" w:rsidR="00A3300F" w:rsidP="00EF0DC4" w14:paraId="004C6CEA" w14:textId="77777777">
            <w:pPr>
              <w:numPr>
                <w:ilvl w:val="0"/>
                <w:numId w:val="26"/>
              </w:numPr>
              <w:spacing w:line="276" w:lineRule="auto"/>
              <w:contextualSpacing/>
              <w:rPr>
                <w:rFonts w:eastAsia="Calibri" w:cs="Times New Roman"/>
                <w:kern w:val="2"/>
                <w14:ligatures w14:val="standardContextual"/>
              </w:rPr>
            </w:pPr>
            <w:r w:rsidRPr="00A3300F">
              <w:rPr>
                <w:rFonts w:eastAsia="Calibri" w:cs="Times New Roman"/>
                <w:kern w:val="2"/>
                <w14:ligatures w14:val="standardContextual"/>
              </w:rPr>
              <w:t xml:space="preserve">In het nationaal grootschalige woningbouwgebied Foodvalley worden tot en met 2030 7.000 woningen gebouwd, zoals afgesproken in het BO MIRT 2022. </w:t>
            </w:r>
          </w:p>
          <w:p w:rsidRPr="00A3300F" w:rsidR="00A3300F" w:rsidP="00EF0DC4" w14:paraId="0EFAF253" w14:textId="77777777">
            <w:pPr>
              <w:numPr>
                <w:ilvl w:val="0"/>
                <w:numId w:val="26"/>
              </w:numPr>
              <w:spacing w:line="276" w:lineRule="auto"/>
              <w:contextualSpacing/>
              <w:rPr>
                <w:rFonts w:eastAsia="Calibri" w:cs="Times New Roman"/>
                <w:kern w:val="2"/>
                <w:u w:val="single"/>
                <w14:ligatures w14:val="standardContextual"/>
              </w:rPr>
            </w:pPr>
            <w:r w:rsidRPr="00A3300F">
              <w:rPr>
                <w:rFonts w:eastAsia="Calibri" w:cs="Times New Roman"/>
                <w:kern w:val="2"/>
                <w14:ligatures w14:val="standardContextual"/>
              </w:rPr>
              <w:t xml:space="preserve">Hiervoor reserveert het Rijk voor Ede/ Doesburgerbroek een bijdrage van ca € 13,7 miljoen vanuit het gebiedsbudget voor maatregelen ten behoeve van </w:t>
            </w:r>
            <w:r w:rsidRPr="00A3300F">
              <w:rPr>
                <w:rFonts w:eastAsia="Calibri" w:cs="Times New Roman"/>
                <w:kern w:val="2"/>
                <w14:ligatures w14:val="standardContextual"/>
              </w:rPr>
              <w:t xml:space="preserve">toekomstbestendigheid en verwervingen/(bedrijfs)verplaatsingen onder voorwaarde dat de regio minimaal eenzelfde bijdrage reserveert. </w:t>
            </w:r>
          </w:p>
          <w:p w:rsidRPr="00A3300F" w:rsidR="00A3300F" w:rsidP="00EF0DC4" w14:paraId="4C2F1F2A" w14:textId="77777777">
            <w:pPr>
              <w:numPr>
                <w:ilvl w:val="0"/>
                <w:numId w:val="26"/>
              </w:numPr>
              <w:spacing w:line="276" w:lineRule="auto"/>
              <w:contextualSpacing/>
              <w:rPr>
                <w:rFonts w:eastAsia="Calibri" w:cs="Times New Roman"/>
                <w:b/>
                <w:bCs/>
                <w:kern w:val="2"/>
                <w14:ligatures w14:val="standardContextual"/>
              </w:rPr>
            </w:pPr>
            <w:r w:rsidRPr="00A3300F">
              <w:rPr>
                <w:rFonts w:eastAsia="Calibri" w:cs="Times New Roman"/>
                <w:kern w:val="2"/>
                <w14:ligatures w14:val="standardContextual"/>
              </w:rPr>
              <w:t>Hiervoor reserveert het Rijk voor Veenendaal/ Spoorzone een bijdrage van ca € 4,2 miljoen vanuit het gebiedsbudget voor maatregelen ten behoeve van toekomstbestendigheid onder voorwaarde dat de regio minimaal eenzelfde bijdrage reserveert.</w:t>
            </w:r>
          </w:p>
          <w:p w:rsidRPr="003E1518" w:rsidR="00A3300F" w:rsidP="00A3300F" w14:paraId="3EACD7B4" w14:textId="77777777">
            <w:pPr>
              <w:spacing w:line="276" w:lineRule="auto"/>
              <w:contextualSpacing/>
              <w:rPr>
                <w:rFonts w:eastAsia="Calibri" w:cs="Times New Roman"/>
                <w:kern w:val="2"/>
                <w14:ligatures w14:val="standardContextual"/>
              </w:rPr>
            </w:pPr>
          </w:p>
          <w:p w:rsidRPr="009A36E6" w:rsidR="00A3300F" w:rsidP="00A3300F" w14:paraId="3EB2332A" w14:textId="1E500DE7">
            <w:pPr>
              <w:spacing w:line="276" w:lineRule="auto"/>
              <w:contextualSpacing/>
              <w:rPr>
                <w:rFonts w:eastAsia="Calibri" w:cs="Times New Roman"/>
                <w:kern w:val="2"/>
                <w:u w:val="single"/>
                <w14:ligatures w14:val="standardContextual"/>
              </w:rPr>
            </w:pPr>
            <w:r w:rsidRPr="009A36E6">
              <w:rPr>
                <w:rFonts w:eastAsia="Calibri" w:cs="Times New Roman"/>
                <w:kern w:val="2"/>
                <w:u w:val="single"/>
                <w14:ligatures w14:val="standardContextual"/>
              </w:rPr>
              <w:t>Apeldoorn Binnenstad Spoor- en Kanaalzone (BSK)</w:t>
            </w:r>
          </w:p>
          <w:p w:rsidRPr="00A3300F" w:rsidR="00A3300F" w:rsidP="00EF0DC4" w14:paraId="17DCDD63" w14:textId="77777777">
            <w:pPr>
              <w:numPr>
                <w:ilvl w:val="0"/>
                <w:numId w:val="28"/>
              </w:numPr>
              <w:spacing w:line="276" w:lineRule="auto"/>
              <w:contextualSpacing/>
              <w:rPr>
                <w:rFonts w:eastAsia="Calibri" w:cs="Times New Roman"/>
                <w:kern w:val="2"/>
                <w14:ligatures w14:val="standardContextual"/>
              </w:rPr>
            </w:pPr>
            <w:r w:rsidRPr="00A3300F">
              <w:rPr>
                <w:rFonts w:eastAsia="Calibri" w:cs="Times New Roman"/>
                <w:kern w:val="2"/>
                <w14:ligatures w14:val="standardContextual"/>
              </w:rPr>
              <w:t>Apeldoorn BSK is één van de vier nieuwe nationaal grootschalige woningbouwgebieden die in de ontwerp Nota Ruimte zijn aangewezen en bestaat uit de deelgebieden Binnenstad, Spoorzone en Kanaalzone.</w:t>
            </w:r>
          </w:p>
          <w:p w:rsidRPr="00A3300F" w:rsidR="00A3300F" w:rsidP="00EF0DC4" w14:paraId="0F25F091" w14:textId="77777777">
            <w:pPr>
              <w:numPr>
                <w:ilvl w:val="0"/>
                <w:numId w:val="28"/>
              </w:numPr>
              <w:spacing w:line="276" w:lineRule="auto"/>
              <w:contextualSpacing/>
              <w:rPr>
                <w:rFonts w:eastAsia="Calibri" w:cs="Times New Roman"/>
                <w:kern w:val="2"/>
                <w14:ligatures w14:val="standardContextual"/>
              </w:rPr>
            </w:pPr>
            <w:r w:rsidRPr="00A3300F">
              <w:rPr>
                <w:rFonts w:eastAsia="Calibri" w:cs="Times New Roman"/>
                <w:kern w:val="2"/>
                <w14:ligatures w14:val="standardContextual"/>
              </w:rPr>
              <w:t xml:space="preserve">Tot en met 2034 kunnen hier ca </w:t>
            </w:r>
            <w:r w:rsidRPr="00A3300F">
              <w:rPr>
                <w:rFonts w:eastAsia="Calibri" w:cs="Calibri"/>
                <w:kern w:val="2"/>
                <w14:ligatures w14:val="standardContextual"/>
              </w:rPr>
              <w:t>6.300</w:t>
            </w:r>
            <w:r w:rsidRPr="00A3300F">
              <w:rPr>
                <w:rFonts w:eastAsia="Calibri" w:cs="Times New Roman"/>
                <w:kern w:val="2"/>
                <w14:ligatures w14:val="standardContextual"/>
              </w:rPr>
              <w:t xml:space="preserve"> woningen worden gebouwd.</w:t>
            </w:r>
          </w:p>
          <w:p w:rsidRPr="00A3300F" w:rsidR="00A3300F" w:rsidP="00EF0DC4" w14:paraId="3D8A96BC" w14:textId="77777777">
            <w:pPr>
              <w:numPr>
                <w:ilvl w:val="0"/>
                <w:numId w:val="28"/>
              </w:numPr>
              <w:spacing w:line="276" w:lineRule="auto"/>
              <w:contextualSpacing/>
              <w:rPr>
                <w:rFonts w:eastAsia="Calibri" w:cs="Times New Roman"/>
                <w:kern w:val="2"/>
                <w14:ligatures w14:val="standardContextual"/>
              </w:rPr>
            </w:pPr>
            <w:r w:rsidRPr="00A3300F">
              <w:rPr>
                <w:rFonts w:eastAsia="Calibri" w:cs="Times New Roman"/>
                <w:kern w:val="2"/>
                <w14:ligatures w14:val="standardContextual"/>
              </w:rPr>
              <w:t xml:space="preserve">Voor de ontsluiting en bereikbaarheid van deze woningen is een voorstel ingediend voor een rijksbijdrage van ca € 100 miljoen voor een mobiliteitspakket met onder andere kruispuntmaatregelen, herinrichting van wegen en fietspaden. De mobiliteitsmaatregelen uit dit voorstel zijn grotendeels positief beoordeeld. </w:t>
            </w:r>
          </w:p>
          <w:p w:rsidRPr="00A3300F" w:rsidR="00A3300F" w:rsidP="00EF0DC4" w14:paraId="08C57CA6" w14:textId="77777777">
            <w:pPr>
              <w:numPr>
                <w:ilvl w:val="0"/>
                <w:numId w:val="28"/>
              </w:numPr>
              <w:spacing w:line="276" w:lineRule="auto"/>
              <w:contextualSpacing/>
              <w:rPr>
                <w:rFonts w:eastAsia="Calibri" w:cs="Times New Roman"/>
                <w:kern w:val="2"/>
                <w14:ligatures w14:val="standardContextual"/>
              </w:rPr>
            </w:pPr>
            <w:r w:rsidRPr="00A3300F">
              <w:rPr>
                <w:rFonts w:cs="Calibri"/>
                <w:kern w:val="2"/>
                <w14:ligatures w14:val="standardContextual"/>
              </w:rPr>
              <w:t>Het Rijk heeft besloten om de</w:t>
            </w:r>
            <w:r w:rsidRPr="00A3300F">
              <w:rPr>
                <w:rFonts w:eastAsia="Calibri" w:cs="Times New Roman"/>
                <w:kern w:val="2"/>
                <w14:ligatures w14:val="standardContextual"/>
              </w:rPr>
              <w:t xml:space="preserve"> inzet van de schaarse infra-middelen te beperken tot de bestaande 17 nationaal grootschalige woningbouwgebieden om prioriteit te kunnen geven aan het ‘afmaken’ van de al gemaakte bestuurlijke afspraken.</w:t>
            </w:r>
          </w:p>
          <w:p w:rsidRPr="00A3300F" w:rsidR="00A3300F" w:rsidP="00EF0DC4" w14:paraId="1B4B9152" w14:textId="77777777">
            <w:pPr>
              <w:numPr>
                <w:ilvl w:val="0"/>
                <w:numId w:val="28"/>
              </w:numPr>
              <w:spacing w:line="276" w:lineRule="auto"/>
              <w:contextualSpacing/>
              <w:rPr>
                <w:rFonts w:eastAsia="Calibri" w:cs="Times New Roman"/>
                <w:kern w:val="2"/>
                <w14:ligatures w14:val="standardContextual"/>
              </w:rPr>
            </w:pPr>
            <w:r w:rsidRPr="00A3300F">
              <w:rPr>
                <w:rFonts w:eastAsia="Calibri" w:cs="Times New Roman"/>
                <w:kern w:val="2"/>
                <w14:ligatures w14:val="standardContextual"/>
              </w:rPr>
              <w:t>Het Rijk reserveert nu een bijdrage van ca € 17,7 miljoen vanuit het gebiedsbudget voor maatregelen ten behoeve van toekomstbestendigheid, (her)inrichting openbare ruimte en verwervingen/(bedrijfs)verplaatsingen</w:t>
            </w:r>
            <w:r w:rsidRPr="00A3300F">
              <w:rPr>
                <w:kern w:val="2"/>
                <w14:ligatures w14:val="standardContextual"/>
              </w:rPr>
              <w:t xml:space="preserve"> onder voorwaarde dat de regio minimaal eenzelfde bijdrage reserveert</w:t>
            </w:r>
            <w:r w:rsidRPr="00A3300F">
              <w:rPr>
                <w:rFonts w:eastAsia="Calibri" w:cs="Times New Roman"/>
                <w:kern w:val="2"/>
                <w14:ligatures w14:val="standardContextual"/>
              </w:rPr>
              <w:t xml:space="preserve">.  </w:t>
            </w:r>
          </w:p>
          <w:p w:rsidRPr="00A3300F" w:rsidR="00A3300F" w:rsidP="00EF0DC4" w14:paraId="3D12C64A" w14:textId="77777777">
            <w:pPr>
              <w:numPr>
                <w:ilvl w:val="0"/>
                <w:numId w:val="28"/>
              </w:numPr>
              <w:spacing w:line="276" w:lineRule="auto"/>
              <w:contextualSpacing/>
              <w:rPr>
                <w:rFonts w:eastAsia="Calibri" w:cs="Times New Roman"/>
                <w:kern w:val="2"/>
                <w14:ligatures w14:val="standardContextual"/>
              </w:rPr>
            </w:pPr>
            <w:r w:rsidRPr="00A3300F">
              <w:rPr>
                <w:rFonts w:eastAsia="Calibri" w:cs="Times New Roman"/>
                <w:kern w:val="2"/>
                <w14:ligatures w14:val="standardContextual"/>
              </w:rPr>
              <w:t>Dit is de eerste stap die het Rijk voor deze gebieden kan nemen ten behoeve van de woningbouw. De inframaatregelen binnen de ingediende aanvraag bieden voor een volgend kabinet een logisch pakket om een vervolgstap op te nemen.</w:t>
            </w:r>
          </w:p>
          <w:p w:rsidRPr="00A3300F" w:rsidR="00A3300F" w:rsidP="00EF0DC4" w14:paraId="144DD403" w14:textId="77777777">
            <w:pPr>
              <w:numPr>
                <w:ilvl w:val="0"/>
                <w:numId w:val="28"/>
              </w:numPr>
              <w:spacing w:line="276" w:lineRule="auto"/>
              <w:contextualSpacing/>
              <w:rPr>
                <w:rFonts w:eastAsia="Calibri" w:cs="Times New Roman"/>
                <w:kern w:val="2"/>
                <w14:ligatures w14:val="standardContextual"/>
              </w:rPr>
            </w:pPr>
            <w:r w:rsidRPr="00A3300F">
              <w:rPr>
                <w:rFonts w:eastAsia="Calibri" w:cs="Times New Roman"/>
                <w:kern w:val="2"/>
                <w14:ligatures w14:val="standardContextual"/>
              </w:rPr>
              <w:t>Bereikbaarheid is randvoorwaardelijk voor grootschalige woningbouw. De regio geeft aan dat de ingediende infra-maatregelen onderdeel uitmaken van een integraal pakket dat onlosmakelijk is verbonden met de woningbouwopgave. Rijk en regio onderschrijven het belang om vertraging te voorkomen en het volledig opgevoerde aantal woningen te kunnen bouwen. Het Rijk gaat daarom met de vier nieuwe nationale grootschalige woningbouwgebieden in gesprek over wat binnen de bestaande afspraken en in de toekomst mogelijk is.</w:t>
            </w:r>
          </w:p>
          <w:p w:rsidRPr="003E1518" w:rsidR="00A3300F" w:rsidP="00A3300F" w14:paraId="1E8B6AEA" w14:textId="77777777">
            <w:pPr>
              <w:spacing w:line="276" w:lineRule="auto"/>
              <w:contextualSpacing/>
              <w:rPr>
                <w:rFonts w:eastAsia="Calibri" w:cs="Times New Roman"/>
                <w:kern w:val="2"/>
                <w14:ligatures w14:val="standardContextual"/>
              </w:rPr>
            </w:pPr>
          </w:p>
          <w:p w:rsidRPr="009A36E6" w:rsidR="00A3300F" w:rsidP="00A3300F" w14:paraId="09EB4BE0" w14:textId="42638F2F">
            <w:pPr>
              <w:spacing w:line="276" w:lineRule="auto"/>
              <w:contextualSpacing/>
              <w:rPr>
                <w:rFonts w:eastAsia="Calibri" w:cs="Times New Roman"/>
                <w:kern w:val="2"/>
                <w:u w:val="single"/>
                <w14:ligatures w14:val="standardContextual"/>
              </w:rPr>
            </w:pPr>
            <w:r w:rsidRPr="009A36E6">
              <w:rPr>
                <w:rFonts w:eastAsia="Calibri" w:cs="Times New Roman"/>
                <w:kern w:val="2"/>
                <w:u w:val="single"/>
                <w14:ligatures w14:val="standardContextual"/>
              </w:rPr>
              <w:t>Spoorzone Hengelo-Enschede (SHE)</w:t>
            </w:r>
          </w:p>
          <w:p w:rsidRPr="003E1518" w:rsidR="00A3300F" w:rsidP="00EF0DC4" w14:paraId="076E1775" w14:textId="77777777">
            <w:pPr>
              <w:numPr>
                <w:ilvl w:val="0"/>
                <w:numId w:val="26"/>
              </w:numPr>
              <w:spacing w:line="276" w:lineRule="auto"/>
              <w:ind w:left="426"/>
              <w:contextualSpacing/>
              <w:rPr>
                <w:rFonts w:eastAsia="Calibri" w:cs="Times New Roman"/>
              </w:rPr>
            </w:pPr>
            <w:r w:rsidRPr="003E1518">
              <w:rPr>
                <w:rFonts w:eastAsia="Calibri" w:cs="Times New Roman"/>
              </w:rPr>
              <w:t xml:space="preserve">Spoorzone Hengelo Enschede (SHE) is één van de vier nieuwe nationaal grootschalige woningbouwgebieden die in de ontwerp Nota Ruimte zijn aangewezen. </w:t>
            </w:r>
          </w:p>
          <w:p w:rsidRPr="003E1518" w:rsidR="00A3300F" w:rsidP="00EF0DC4" w14:paraId="258695B5" w14:textId="77777777">
            <w:pPr>
              <w:numPr>
                <w:ilvl w:val="0"/>
                <w:numId w:val="26"/>
              </w:numPr>
              <w:spacing w:line="276" w:lineRule="auto"/>
              <w:ind w:left="426"/>
              <w:contextualSpacing/>
              <w:rPr>
                <w:rFonts w:eastAsia="Calibri" w:cs="Times New Roman"/>
              </w:rPr>
            </w:pPr>
            <w:r w:rsidRPr="003E1518">
              <w:rPr>
                <w:rFonts w:eastAsia="Calibri" w:cs="Times New Roman"/>
              </w:rPr>
              <w:t>Tot en met 2034 kunnen hier in totaal ca 10.000 woningen worden gebouwd.</w:t>
            </w:r>
          </w:p>
          <w:p w:rsidRPr="003E1518" w:rsidR="00A3300F" w:rsidP="00A3300F" w14:paraId="372A0F0E" w14:textId="77777777">
            <w:pPr>
              <w:spacing w:line="276" w:lineRule="auto"/>
              <w:ind w:left="66"/>
              <w:contextualSpacing/>
              <w:rPr>
                <w:rFonts w:eastAsia="Calibri" w:cs="Times New Roman"/>
                <w:i/>
                <w:iCs/>
              </w:rPr>
            </w:pPr>
          </w:p>
          <w:p w:rsidRPr="009A36E6" w:rsidR="00A3300F" w:rsidP="00A3300F" w14:paraId="63905ECE" w14:textId="77777777">
            <w:pPr>
              <w:spacing w:line="276" w:lineRule="auto"/>
              <w:rPr>
                <w:rFonts w:eastAsia="Calibri" w:cs="Times New Roman"/>
                <w:u w:val="single"/>
              </w:rPr>
            </w:pPr>
            <w:r w:rsidRPr="009A36E6">
              <w:rPr>
                <w:rFonts w:eastAsia="Calibri" w:cs="Times New Roman"/>
                <w:u w:val="single"/>
              </w:rPr>
              <w:t>Hengelo</w:t>
            </w:r>
          </w:p>
          <w:p w:rsidRPr="003E1518" w:rsidR="00A3300F" w:rsidP="00EF0DC4" w14:paraId="3491F30E" w14:textId="77777777">
            <w:pPr>
              <w:numPr>
                <w:ilvl w:val="0"/>
                <w:numId w:val="26"/>
              </w:numPr>
              <w:spacing w:line="276" w:lineRule="auto"/>
              <w:ind w:left="426"/>
              <w:contextualSpacing/>
              <w:rPr>
                <w:rFonts w:eastAsia="Calibri" w:cs="Times New Roman"/>
              </w:rPr>
            </w:pPr>
            <w:r w:rsidRPr="003E1518">
              <w:rPr>
                <w:rFonts w:eastAsia="Calibri" w:cs="Times New Roman"/>
              </w:rPr>
              <w:t>In Hengelo kunnen als onderdeel van het nationaal grootschalige woningbouwgebied Spoorzone Hengelo Enschede (SHE) tot en met 2034 ca 3.800 woningen gebouwd worden.</w:t>
            </w:r>
          </w:p>
          <w:p w:rsidRPr="003E1518" w:rsidR="00A3300F" w:rsidP="00EF0DC4" w14:paraId="5E264157" w14:textId="77777777">
            <w:pPr>
              <w:numPr>
                <w:ilvl w:val="0"/>
                <w:numId w:val="26"/>
              </w:numPr>
              <w:spacing w:line="276" w:lineRule="auto"/>
              <w:ind w:left="426"/>
              <w:contextualSpacing/>
              <w:rPr>
                <w:rFonts w:eastAsia="Calibri" w:cs="Times New Roman"/>
              </w:rPr>
            </w:pPr>
            <w:r w:rsidRPr="003E1518">
              <w:rPr>
                <w:rFonts w:eastAsia="Calibri" w:cs="Times New Roman"/>
              </w:rPr>
              <w:t xml:space="preserve">Voor de ontsluiting en bereikbaarheid van deze woningen is een voorstel ingediend voor een rijksbijdrage van ca € 26 miljoen voor een mobiliteitspakket met onder andere kruispuntmaatregelen en de aanleg van een onderdoorgang onder het spoor en fietsverbinding. De mobiliteitsmaatregelen uit dit voorstel zijn grotendeels positief beoordeeld. </w:t>
            </w:r>
          </w:p>
          <w:p w:rsidRPr="003E1518" w:rsidR="00A3300F" w:rsidP="00EF0DC4" w14:paraId="7CA59DF6" w14:textId="77777777">
            <w:pPr>
              <w:numPr>
                <w:ilvl w:val="0"/>
                <w:numId w:val="26"/>
              </w:numPr>
              <w:spacing w:line="276" w:lineRule="auto"/>
              <w:ind w:left="426"/>
              <w:contextualSpacing/>
              <w:rPr>
                <w:rFonts w:eastAsia="Calibri" w:cs="Times New Roman"/>
              </w:rPr>
            </w:pPr>
            <w:r w:rsidRPr="003E1518">
              <w:rPr>
                <w:rFonts w:eastAsia="Calibri" w:cs="Times New Roman"/>
              </w:rPr>
              <w:t>Het Rijk heeft besloten om de inzet van de schaarse infra-middelen te beperken tot de bestaande 17 nationaal grootschalige woningbouwgebieden om prioriteit te kunnen geven aan het ‘afmaken’ van de al gemaakte bestuurlijke afspraken.</w:t>
            </w:r>
          </w:p>
          <w:p w:rsidRPr="003E1518" w:rsidR="00A3300F" w:rsidP="00EF0DC4" w14:paraId="78A9F421" w14:textId="77777777">
            <w:pPr>
              <w:numPr>
                <w:ilvl w:val="0"/>
                <w:numId w:val="26"/>
              </w:numPr>
              <w:spacing w:line="276" w:lineRule="auto"/>
              <w:ind w:left="426"/>
              <w:contextualSpacing/>
              <w:rPr>
                <w:rFonts w:eastAsia="Calibri" w:cs="Times New Roman"/>
              </w:rPr>
            </w:pPr>
            <w:r w:rsidRPr="003E1518">
              <w:rPr>
                <w:rFonts w:eastAsia="Calibri" w:cs="Times New Roman"/>
              </w:rPr>
              <w:t xml:space="preserve">Het Rijk reserveert nu een bijdrage van ca € 13,5 miljoen vanuit het gebiedsbudget voor maatregelen ten behoeve van toekomstbestendigheid, (her)inrichting openbare ruimte en verwervingen/(bedrijfs)verplaatsingen. </w:t>
            </w:r>
          </w:p>
          <w:p w:rsidRPr="003E1518" w:rsidR="00A3300F" w:rsidP="00EF0DC4" w14:paraId="2B07894E" w14:textId="77777777">
            <w:pPr>
              <w:numPr>
                <w:ilvl w:val="0"/>
                <w:numId w:val="26"/>
              </w:numPr>
              <w:spacing w:line="276" w:lineRule="auto"/>
              <w:ind w:left="426"/>
              <w:contextualSpacing/>
              <w:rPr>
                <w:rFonts w:eastAsia="Calibri" w:cs="Times New Roman"/>
              </w:rPr>
            </w:pPr>
            <w:r w:rsidRPr="003E1518">
              <w:rPr>
                <w:rFonts w:eastAsia="Calibri" w:cs="Times New Roman"/>
              </w:rPr>
              <w:t>Dit is de eerste stap die het Rijk voor deze gebieden kan nemen ten behoeve van de woningbouw. De inframaatregelen binnen de ingediende aanvraag bieden voor een volgend kabinet een logisch pakket om een vervolgstap op te nemen.</w:t>
            </w:r>
          </w:p>
          <w:p w:rsidRPr="003E1518" w:rsidR="00A3300F" w:rsidP="00EF0DC4" w14:paraId="5B2B3DCA" w14:textId="77777777">
            <w:pPr>
              <w:numPr>
                <w:ilvl w:val="0"/>
                <w:numId w:val="26"/>
              </w:numPr>
              <w:spacing w:line="276" w:lineRule="auto"/>
              <w:ind w:left="426"/>
              <w:contextualSpacing/>
              <w:rPr>
                <w:rFonts w:eastAsia="Calibri" w:cs="Times New Roman"/>
              </w:rPr>
            </w:pPr>
            <w:r w:rsidRPr="003E1518">
              <w:rPr>
                <w:rFonts w:eastAsia="Calibri" w:cs="Times New Roman"/>
              </w:rPr>
              <w:t>Bereikbaarheid is randvoorwaardelijk voor grootschalige woningbouw. De regio geeft aan dat de ingediende infra-maatregelen onderdeel uitmaken van een integraal pakket dat onlosmakelijk is verbonden met de woningbouwopgave. Rijk en regio onderschrijven het belang om vertraging te voorkomen en het volledig opgevoerde aantal woningen te kunnen bouwen. Het Rijk gaat daarom met de vier nieuwe nationale grootschalige woningbouwgebieden in gesprek over wat binnen de bestaande afspraken en in de toekomst mogelijk is.</w:t>
            </w:r>
          </w:p>
          <w:p w:rsidRPr="003E1518" w:rsidR="00A3300F" w:rsidP="00A3300F" w14:paraId="24EE6106" w14:textId="77777777">
            <w:pPr>
              <w:spacing w:line="276" w:lineRule="auto"/>
              <w:ind w:left="426"/>
              <w:rPr>
                <w:rFonts w:eastAsia="Calibri" w:cs="Times New Roman"/>
                <w:i/>
                <w:iCs/>
              </w:rPr>
            </w:pPr>
          </w:p>
          <w:p w:rsidRPr="009A36E6" w:rsidR="00A3300F" w:rsidP="00A3300F" w14:paraId="680CF992" w14:textId="77777777">
            <w:pPr>
              <w:spacing w:line="276" w:lineRule="auto"/>
              <w:rPr>
                <w:rFonts w:eastAsia="Calibri" w:cs="Times New Roman"/>
                <w:u w:val="single"/>
              </w:rPr>
            </w:pPr>
            <w:r w:rsidRPr="009A36E6">
              <w:rPr>
                <w:rFonts w:eastAsia="Calibri" w:cs="Times New Roman"/>
                <w:u w:val="single"/>
              </w:rPr>
              <w:t>Enschede</w:t>
            </w:r>
          </w:p>
          <w:p w:rsidRPr="003E1518" w:rsidR="00A3300F" w:rsidP="00EF0DC4" w14:paraId="54CF4070" w14:textId="77777777">
            <w:pPr>
              <w:numPr>
                <w:ilvl w:val="0"/>
                <w:numId w:val="26"/>
              </w:numPr>
              <w:spacing w:line="276" w:lineRule="auto"/>
              <w:ind w:left="426"/>
              <w:contextualSpacing/>
              <w:rPr>
                <w:rFonts w:eastAsia="Calibri" w:cs="Times New Roman"/>
              </w:rPr>
            </w:pPr>
            <w:r w:rsidRPr="003E1518">
              <w:rPr>
                <w:rFonts w:eastAsia="Calibri" w:cs="Times New Roman"/>
              </w:rPr>
              <w:t>In Enschede kunnen als onderdeel van het nationaal grootschalige woningbouwgebied Spoorzone Hengelo Enschede (SHE) tot en met 2034 ca 6.500 woningen gebouwd.</w:t>
            </w:r>
          </w:p>
          <w:p w:rsidRPr="003E1518" w:rsidR="00A3300F" w:rsidP="00EF0DC4" w14:paraId="2DE7DFD5" w14:textId="77777777">
            <w:pPr>
              <w:numPr>
                <w:ilvl w:val="0"/>
                <w:numId w:val="26"/>
              </w:numPr>
              <w:spacing w:line="276" w:lineRule="auto"/>
              <w:ind w:left="426"/>
              <w:contextualSpacing/>
              <w:rPr>
                <w:rFonts w:eastAsia="Calibri" w:cs="Times New Roman"/>
              </w:rPr>
            </w:pPr>
            <w:r w:rsidRPr="003E1518">
              <w:rPr>
                <w:rFonts w:eastAsia="Calibri" w:cs="Times New Roman"/>
              </w:rPr>
              <w:t xml:space="preserve">Voor de ontsluiting en bereikbaarheid van deze woningen is een voorstel ingediend voor een rijksbijdrage van ca € 79 miljoen voor een mobiliteitspakket met de aanleg van een ondergrondse fietsenstalling, herinrichting van wegen, pleinen en kruispunten ten behoeve van veiligheid en doorstroming. De mobiliteitsmaatregelen uit dit voorstel zijn positief beoordeeld. </w:t>
            </w:r>
          </w:p>
          <w:p w:rsidRPr="003E1518" w:rsidR="00A3300F" w:rsidP="00EF0DC4" w14:paraId="3382AB5F" w14:textId="77777777">
            <w:pPr>
              <w:numPr>
                <w:ilvl w:val="0"/>
                <w:numId w:val="26"/>
              </w:numPr>
              <w:spacing w:line="276" w:lineRule="auto"/>
              <w:ind w:left="426"/>
              <w:contextualSpacing/>
              <w:rPr>
                <w:rFonts w:eastAsia="Calibri" w:cs="Times New Roman"/>
              </w:rPr>
            </w:pPr>
            <w:r w:rsidRPr="003E1518">
              <w:rPr>
                <w:rFonts w:eastAsia="Calibri" w:cs="Times New Roman"/>
              </w:rPr>
              <w:t>Het Rijk heeft besloten om de inzet van de schaarse infra-middelen te beperken tot de bestaande 17 nationaal grootschalige woningbouwgebieden om prioriteit te kunnen geven aan het ‘afmaken’ van de al gemaakte bestuurlijke afspraken.</w:t>
            </w:r>
          </w:p>
          <w:p w:rsidRPr="003E1518" w:rsidR="00A3300F" w:rsidP="00EF0DC4" w14:paraId="36F52FCF" w14:textId="77777777">
            <w:pPr>
              <w:numPr>
                <w:ilvl w:val="0"/>
                <w:numId w:val="26"/>
              </w:numPr>
              <w:spacing w:line="276" w:lineRule="auto"/>
              <w:ind w:left="426"/>
              <w:contextualSpacing/>
              <w:rPr>
                <w:rFonts w:eastAsia="Calibri" w:cs="Times New Roman"/>
              </w:rPr>
            </w:pPr>
            <w:r w:rsidRPr="003E1518">
              <w:rPr>
                <w:rFonts w:eastAsia="Calibri" w:cs="Times New Roman"/>
              </w:rPr>
              <w:t xml:space="preserve">Het Rijk reserveert nu een bijdrage van ca € 27,6 miljoen vanuit het gebiedsbudget voor maatregelen ten behoeve van toekomstbestendigheid, (her)inrichting openbare ruimte en verwervingen/(bedrijfs)verplaatsingen onder voorwaarde dat de regio minimaal eenzelfde bijdrage reserveert.  </w:t>
            </w:r>
          </w:p>
          <w:p w:rsidRPr="003E1518" w:rsidR="00A3300F" w:rsidP="00EF0DC4" w14:paraId="7737D8EF" w14:textId="77777777">
            <w:pPr>
              <w:numPr>
                <w:ilvl w:val="0"/>
                <w:numId w:val="26"/>
              </w:numPr>
              <w:spacing w:line="276" w:lineRule="auto"/>
              <w:ind w:left="426"/>
              <w:contextualSpacing/>
              <w:rPr>
                <w:rFonts w:eastAsia="Calibri" w:cs="Times New Roman"/>
              </w:rPr>
            </w:pPr>
            <w:r w:rsidRPr="003E1518">
              <w:rPr>
                <w:rFonts w:eastAsia="Calibri" w:cs="Times New Roman"/>
              </w:rPr>
              <w:t>Dit is de eerste stap die het Rijk voor deze gebieden kan nemen ten behoeve van de woningbouw. De inframaatregelen binnen de ingediende aanvraag bieden voor een volgend kabinet een logisch pakket om een vervolgstap op te nemen.</w:t>
            </w:r>
          </w:p>
          <w:p w:rsidRPr="003E1518" w:rsidR="00A3300F" w:rsidP="00EF0DC4" w14:paraId="42C08ED0" w14:textId="4750D362">
            <w:pPr>
              <w:numPr>
                <w:ilvl w:val="0"/>
                <w:numId w:val="26"/>
              </w:numPr>
              <w:spacing w:line="276" w:lineRule="auto"/>
              <w:ind w:left="426"/>
              <w:contextualSpacing/>
              <w:rPr>
                <w:i/>
                <w:iCs/>
              </w:rPr>
            </w:pPr>
            <w:r w:rsidRPr="003E1518">
              <w:rPr>
                <w:rFonts w:eastAsia="Calibri" w:cs="Times New Roman"/>
              </w:rPr>
              <w:t>Bereikbaarheid is randvoorwaardelijk voor grootschalige woningbouw. De regio geeft aan dat de ingediende infra-maatregelen onderdeel uitmaken van een integraal pakket dat onlosmakelijk is verbonden met de woningbouwopgave. Rijk en regio onderschrijven het belang om vertraging te voorkomen en het volledig opgevoerde aantal woningen te kunnen bouwen. Het Rijk gaat daarom met de vier nieuwe nationale grootschalige woningbouwgebieden in gesprek over wat binnen de bestaande afspraken en in de toekomst mogelijk is.</w:t>
            </w:r>
          </w:p>
        </w:tc>
      </w:tr>
      <w:tr w:rsidTr="008D44D3" w14:paraId="07877827" w14:textId="77777777">
        <w:tblPrEx>
          <w:tblW w:w="9014" w:type="dxa"/>
          <w:tblInd w:w="0" w:type="dxa"/>
          <w:tblLayout w:type="fixed"/>
          <w:tblLook w:val="04A0"/>
        </w:tblPrEx>
        <w:tc>
          <w:tcPr>
            <w:tcW w:w="561" w:type="dxa"/>
          </w:tcPr>
          <w:p w:rsidRPr="00FC0D88" w:rsidR="00D50F44" w:rsidP="000145C7" w14:paraId="6F0341CD" w14:textId="3E7F44FD">
            <w:pPr>
              <w:spacing w:line="240" w:lineRule="exact"/>
              <w:rPr>
                <w:b/>
                <w:bCs/>
              </w:rPr>
            </w:pPr>
            <w:bookmarkStart w:name="_Hlk199167779" w:id="12"/>
            <w:r>
              <w:rPr>
                <w:b/>
                <w:bCs/>
              </w:rPr>
              <w:t>2</w:t>
            </w:r>
          </w:p>
        </w:tc>
        <w:tc>
          <w:tcPr>
            <w:tcW w:w="8453" w:type="dxa"/>
          </w:tcPr>
          <w:p w:rsidR="00D50F44" w:rsidP="002D05FA" w14:paraId="6EB4758C" w14:textId="77777777">
            <w:pPr>
              <w:spacing w:line="276" w:lineRule="auto"/>
              <w:rPr>
                <w:b/>
                <w:bCs/>
              </w:rPr>
            </w:pPr>
            <w:r w:rsidRPr="00A3300F">
              <w:rPr>
                <w:b/>
                <w:bCs/>
              </w:rPr>
              <w:t>Verstedelijkingsstrategie Twente</w:t>
            </w:r>
          </w:p>
          <w:p w:rsidRPr="00CA0A8A" w:rsidR="00A3300F" w:rsidP="00EF0DC4" w14:paraId="0287ADE5" w14:textId="77777777">
            <w:pPr>
              <w:pStyle w:val="ListParagraph"/>
              <w:numPr>
                <w:ilvl w:val="0"/>
                <w:numId w:val="32"/>
              </w:numPr>
              <w:autoSpaceDE w:val="0"/>
              <w:adjustRightInd w:val="0"/>
              <w:spacing w:line="276" w:lineRule="auto"/>
              <w:rPr>
                <w:rFonts w:cs="Tahoma-Bold"/>
                <w:b/>
                <w:bCs/>
              </w:rPr>
            </w:pPr>
            <w:r w:rsidRPr="00CA0A8A">
              <w:rPr>
                <w:rFonts w:cs="Tahoma-Bold"/>
              </w:rPr>
              <w:t xml:space="preserve">Rijk en regio spreken af de zeven ontwikkelprincipes te onderschrijven aan de hand waarvan de verstedelijkingsstrategie verder wordt uitgewerkt en waarop de te maken keuzes worden gebaseerd: </w:t>
            </w:r>
          </w:p>
          <w:p w:rsidRPr="00CA0A8A" w:rsidR="00A3300F" w:rsidP="00EF0DC4" w14:paraId="2A26D5CD" w14:textId="77777777">
            <w:pPr>
              <w:pStyle w:val="ListParagraph"/>
              <w:numPr>
                <w:ilvl w:val="1"/>
                <w:numId w:val="30"/>
              </w:numPr>
              <w:spacing w:line="276" w:lineRule="auto"/>
              <w:ind w:left="1080"/>
              <w:rPr>
                <w:rFonts w:cs="Tahoma"/>
              </w:rPr>
            </w:pPr>
            <w:r w:rsidRPr="00CA0A8A">
              <w:rPr>
                <w:rFonts w:cs="Tahoma"/>
              </w:rPr>
              <w:t>Bloeiende regio rondom levendige steden: toonaangevende regio gedragen door de Twentse stedenrij;</w:t>
            </w:r>
          </w:p>
          <w:p w:rsidRPr="00CA0A8A" w:rsidR="00A3300F" w:rsidP="00EF0DC4" w14:paraId="2EE4E860" w14:textId="77777777">
            <w:pPr>
              <w:pStyle w:val="ListParagraph"/>
              <w:numPr>
                <w:ilvl w:val="1"/>
                <w:numId w:val="30"/>
              </w:numPr>
              <w:spacing w:line="276" w:lineRule="auto"/>
              <w:ind w:left="1080"/>
              <w:rPr>
                <w:rFonts w:cs="Tahoma"/>
              </w:rPr>
            </w:pPr>
            <w:r w:rsidRPr="00CA0A8A">
              <w:rPr>
                <w:rFonts w:cs="Tahoma"/>
              </w:rPr>
              <w:t>Benut de kracht van het landschap: stad en land profiteren samen van de kwaliteit van het Twentse landschap;</w:t>
            </w:r>
          </w:p>
          <w:p w:rsidRPr="00CA0A8A" w:rsidR="00A3300F" w:rsidP="00EF0DC4" w14:paraId="1EB37F9F" w14:textId="77777777">
            <w:pPr>
              <w:pStyle w:val="ListParagraph"/>
              <w:numPr>
                <w:ilvl w:val="1"/>
                <w:numId w:val="30"/>
              </w:numPr>
              <w:spacing w:line="276" w:lineRule="auto"/>
              <w:ind w:left="1080"/>
              <w:rPr>
                <w:rFonts w:cs="Tahoma"/>
              </w:rPr>
            </w:pPr>
            <w:r w:rsidRPr="00CA0A8A">
              <w:rPr>
                <w:rFonts w:cs="Tahoma"/>
              </w:rPr>
              <w:t>Creëer nabijheid: levendige dynamische steden en vitale kernen behouden voorzieningen en zorgen voor minder mobiliteit;</w:t>
            </w:r>
          </w:p>
          <w:p w:rsidRPr="00CA0A8A" w:rsidR="00A3300F" w:rsidP="00EF0DC4" w14:paraId="6733BAF2" w14:textId="77777777">
            <w:pPr>
              <w:pStyle w:val="ListParagraph"/>
              <w:numPr>
                <w:ilvl w:val="1"/>
                <w:numId w:val="30"/>
              </w:numPr>
              <w:spacing w:line="276" w:lineRule="auto"/>
              <w:ind w:left="1080"/>
              <w:rPr>
                <w:rFonts w:cs="Tahoma"/>
              </w:rPr>
            </w:pPr>
            <w:r w:rsidRPr="00CA0A8A">
              <w:rPr>
                <w:rFonts w:cs="Tahoma"/>
              </w:rPr>
              <w:t>Koester Twentse kwaliteiten en versterk het bestaande: gebruik de schaalsprong om het bestaande te versterken;</w:t>
            </w:r>
          </w:p>
          <w:p w:rsidRPr="00CA0A8A" w:rsidR="00A3300F" w:rsidP="00EF0DC4" w14:paraId="4697BAFE" w14:textId="77777777">
            <w:pPr>
              <w:pStyle w:val="ListParagraph"/>
              <w:numPr>
                <w:ilvl w:val="1"/>
                <w:numId w:val="30"/>
              </w:numPr>
              <w:spacing w:line="276" w:lineRule="auto"/>
              <w:ind w:left="1080"/>
              <w:rPr>
                <w:rFonts w:cs="Tahoma"/>
              </w:rPr>
            </w:pPr>
            <w:r w:rsidRPr="00CA0A8A">
              <w:rPr>
                <w:rFonts w:cs="Tahoma"/>
              </w:rPr>
              <w:t>Verstedelijking en economie gaan hand in hand: de schaalsprong en economie zijn elkaars randvoorwaarden voor succes;</w:t>
            </w:r>
          </w:p>
          <w:p w:rsidRPr="00CA0A8A" w:rsidR="00A3300F" w:rsidP="00EF0DC4" w14:paraId="45ED7D63" w14:textId="77777777">
            <w:pPr>
              <w:pStyle w:val="ListParagraph"/>
              <w:numPr>
                <w:ilvl w:val="1"/>
                <w:numId w:val="30"/>
              </w:numPr>
              <w:spacing w:line="276" w:lineRule="auto"/>
              <w:ind w:left="1080"/>
              <w:rPr>
                <w:rFonts w:cs="Tahoma"/>
              </w:rPr>
            </w:pPr>
            <w:r w:rsidRPr="00CA0A8A">
              <w:rPr>
                <w:rFonts w:cs="Tahoma"/>
              </w:rPr>
              <w:t>Neem verantwoordelijkheid: opgaven nu aanpakken, niet afwentelen naar toekomstige generaties of naar de buren;</w:t>
            </w:r>
          </w:p>
          <w:p w:rsidRPr="00CA0A8A" w:rsidR="00A3300F" w:rsidP="00EF0DC4" w14:paraId="42F01402" w14:textId="77777777">
            <w:pPr>
              <w:pStyle w:val="ListParagraph"/>
              <w:numPr>
                <w:ilvl w:val="1"/>
                <w:numId w:val="30"/>
              </w:numPr>
              <w:spacing w:line="276" w:lineRule="auto"/>
              <w:ind w:left="1080"/>
              <w:rPr>
                <w:rFonts w:cs="Tahoma"/>
              </w:rPr>
            </w:pPr>
            <w:r w:rsidRPr="00CA0A8A">
              <w:rPr>
                <w:rFonts w:cs="Tahoma"/>
              </w:rPr>
              <w:t>Pak opgaven aan bij de bron: geen symptoombestrijding, we pakken het probleem aan bij de oorzaak.</w:t>
            </w:r>
          </w:p>
          <w:p w:rsidRPr="00CA0A8A" w:rsidR="00A3300F" w:rsidP="00EF0DC4" w14:paraId="0F3C70CA" w14:textId="77777777">
            <w:pPr>
              <w:pStyle w:val="ListParagraph"/>
              <w:numPr>
                <w:ilvl w:val="0"/>
                <w:numId w:val="31"/>
              </w:numPr>
              <w:spacing w:line="276" w:lineRule="auto"/>
              <w:rPr>
                <w:rFonts w:cs="Tahoma"/>
              </w:rPr>
            </w:pPr>
            <w:r w:rsidRPr="00CA0A8A">
              <w:rPr>
                <w:rFonts w:cs="Tahoma"/>
              </w:rPr>
              <w:t>We positioneren de ontwikkelprincipes als een eerste aanzet, waarbij de verdere ontwikkeling van de verstedelijkingsstrategie kan leiden tot aanscherping.</w:t>
            </w:r>
          </w:p>
          <w:p w:rsidRPr="00A3300F" w:rsidR="00A3300F" w:rsidP="00EF0DC4" w14:paraId="6B0059F2" w14:textId="2E59845E">
            <w:pPr>
              <w:pStyle w:val="ListParagraph"/>
              <w:numPr>
                <w:ilvl w:val="0"/>
                <w:numId w:val="31"/>
              </w:numPr>
              <w:autoSpaceDE w:val="0"/>
              <w:adjustRightInd w:val="0"/>
              <w:spacing w:line="276" w:lineRule="auto"/>
              <w:textAlignment w:val="auto"/>
              <w:rPr>
                <w:rFonts w:cs="Tahoma" w:eastAsiaTheme="minorHAnsi"/>
                <w:color w:val="auto"/>
                <w:lang w:eastAsia="en-US"/>
              </w:rPr>
            </w:pPr>
            <w:r w:rsidRPr="00CA0A8A">
              <w:rPr>
                <w:rFonts w:cs="Tahoma"/>
              </w:rPr>
              <w:t xml:space="preserve">We nemen de in de ontwerp Nota Ruimte benoemde grootschalige woningbouwlocatie Spoorzone Hengelo Enschede (SHE) op in de nog op te stellen verstedelijkingsstrategie. </w:t>
            </w:r>
          </w:p>
        </w:tc>
      </w:tr>
      <w:bookmarkEnd w:id="12"/>
      <w:tr w:rsidTr="008D44D3" w14:paraId="4A493A02" w14:textId="77777777">
        <w:tblPrEx>
          <w:tblW w:w="9014" w:type="dxa"/>
          <w:tblInd w:w="0" w:type="dxa"/>
          <w:tblLayout w:type="fixed"/>
          <w:tblLook w:val="04A0"/>
        </w:tblPrEx>
        <w:tc>
          <w:tcPr>
            <w:tcW w:w="561" w:type="dxa"/>
          </w:tcPr>
          <w:p w:rsidRPr="00FC0D88" w:rsidR="00D50F44" w:rsidP="000145C7" w14:paraId="73191E8C" w14:textId="477C2021">
            <w:pPr>
              <w:spacing w:line="240" w:lineRule="exact"/>
              <w:rPr>
                <w:b/>
                <w:bCs/>
              </w:rPr>
            </w:pPr>
            <w:r>
              <w:rPr>
                <w:b/>
                <w:bCs/>
              </w:rPr>
              <w:t>3</w:t>
            </w:r>
          </w:p>
        </w:tc>
        <w:tc>
          <w:tcPr>
            <w:tcW w:w="8453" w:type="dxa"/>
          </w:tcPr>
          <w:p w:rsidR="00D50F44" w:rsidP="00882768" w14:paraId="572A76BA" w14:textId="77777777">
            <w:pPr>
              <w:rPr>
                <w:b/>
                <w:bCs/>
              </w:rPr>
            </w:pPr>
            <w:r w:rsidRPr="00A3300F">
              <w:rPr>
                <w:b/>
                <w:bCs/>
              </w:rPr>
              <w:t>Verstedelijkingsstrategie Stedendriehoek</w:t>
            </w:r>
          </w:p>
          <w:p w:rsidRPr="00CA0A8A" w:rsidR="00A3300F" w:rsidP="00EF0DC4" w14:paraId="37F28E5C" w14:textId="77777777">
            <w:pPr>
              <w:pStyle w:val="ListParagraph"/>
              <w:numPr>
                <w:ilvl w:val="0"/>
                <w:numId w:val="33"/>
              </w:numPr>
              <w:spacing w:line="276" w:lineRule="auto"/>
              <w:rPr>
                <w:rFonts w:cs="Tahoma"/>
              </w:rPr>
            </w:pPr>
            <w:r w:rsidRPr="00CA0A8A">
              <w:rPr>
                <w:rFonts w:cs="Tahoma"/>
              </w:rPr>
              <w:t xml:space="preserve">Rijk en regio zijn momenteel goed op dreef met de verstedelijkingsstrategie. Er wordt voortvarend samengewerkt in een zorgvuldig proces. De te onderzoeken varianten om te komen tot de verstedelijkingsstrategie zijn nu gereed: een variant gebaseerd op de bestaande plannen, een variant met een hogere groeiambitie in de verschillende kernen van de regio en een variant met grotere stedelijke schaalsprong.  </w:t>
            </w:r>
          </w:p>
          <w:p w:rsidRPr="00CA0A8A" w:rsidR="00A3300F" w:rsidP="00EF0DC4" w14:paraId="6F4C3390" w14:textId="77777777">
            <w:pPr>
              <w:pStyle w:val="ListParagraph"/>
              <w:numPr>
                <w:ilvl w:val="0"/>
                <w:numId w:val="33"/>
              </w:numPr>
              <w:spacing w:line="276" w:lineRule="auto"/>
              <w:rPr>
                <w:rFonts w:cs="Tahoma"/>
              </w:rPr>
            </w:pPr>
            <w:r w:rsidRPr="00CA0A8A">
              <w:rPr>
                <w:rFonts w:cs="Tahoma"/>
              </w:rPr>
              <w:t>Rijk en regio spreken af de verschillende varianten van verstedelijking verder uit te werken, de mogelijke effecten te bepalen door middel van het Dashboard verstedelijking en het Afwegingskader regionale welvaart voor de regio Stedendriehoek.</w:t>
            </w:r>
          </w:p>
          <w:p w:rsidRPr="00CA0A8A" w:rsidR="00A3300F" w:rsidP="00EF0DC4" w14:paraId="59631AD7" w14:textId="77777777">
            <w:pPr>
              <w:pStyle w:val="ListParagraph"/>
              <w:numPr>
                <w:ilvl w:val="0"/>
                <w:numId w:val="33"/>
              </w:numPr>
              <w:spacing w:line="276" w:lineRule="auto"/>
              <w:rPr>
                <w:rFonts w:cs="Tahoma"/>
              </w:rPr>
            </w:pPr>
            <w:r w:rsidRPr="00CA0A8A">
              <w:rPr>
                <w:rFonts w:cs="Tahoma"/>
              </w:rPr>
              <w:t xml:space="preserve">De tussentijdse resultaten van de concept verstedelijkingsstrategie worden op het BO Leefomgeving 2026 en het BO MIRT 2026 besproken. </w:t>
            </w:r>
          </w:p>
          <w:p w:rsidRPr="00A3300F" w:rsidR="00A3300F" w:rsidP="00EF0DC4" w14:paraId="25B5CB69" w14:textId="55A4A06A">
            <w:pPr>
              <w:pStyle w:val="ListParagraph"/>
              <w:numPr>
                <w:ilvl w:val="0"/>
                <w:numId w:val="33"/>
              </w:numPr>
              <w:spacing w:line="276" w:lineRule="auto"/>
              <w:rPr>
                <w:rFonts w:cs="Tahoma"/>
              </w:rPr>
            </w:pPr>
            <w:r w:rsidRPr="00CA0A8A">
              <w:rPr>
                <w:rFonts w:cs="Tahoma"/>
              </w:rPr>
              <w:t>Daarin zullen de ontwikkelingen rondom het 4e perron, zoals eveneens in dit BO MIRT Oost afgesproken, en de grootschalige woningbouwlocatie Apeldoorn worden opgenomen.</w:t>
            </w:r>
          </w:p>
        </w:tc>
      </w:tr>
      <w:tr w:rsidTr="008D44D3" w14:paraId="4C63FB9A" w14:textId="77777777">
        <w:tblPrEx>
          <w:tblW w:w="9014" w:type="dxa"/>
          <w:tblInd w:w="0" w:type="dxa"/>
          <w:tblLayout w:type="fixed"/>
          <w:tblLook w:val="04A0"/>
        </w:tblPrEx>
        <w:tc>
          <w:tcPr>
            <w:tcW w:w="561" w:type="dxa"/>
          </w:tcPr>
          <w:p w:rsidRPr="00FC0D88" w:rsidR="00D50F44" w:rsidP="000145C7" w14:paraId="764347C6" w14:textId="3B025CDC">
            <w:pPr>
              <w:spacing w:line="240" w:lineRule="exact"/>
              <w:rPr>
                <w:b/>
                <w:bCs/>
              </w:rPr>
            </w:pPr>
            <w:r>
              <w:rPr>
                <w:b/>
                <w:bCs/>
              </w:rPr>
              <w:t>4</w:t>
            </w:r>
          </w:p>
        </w:tc>
        <w:tc>
          <w:tcPr>
            <w:tcW w:w="8453" w:type="dxa"/>
          </w:tcPr>
          <w:p w:rsidR="00882768" w:rsidP="00882768" w14:paraId="29896B09" w14:textId="3F1B70F5">
            <w:pPr>
              <w:rPr>
                <w:b/>
                <w:bCs/>
              </w:rPr>
            </w:pPr>
            <w:r w:rsidRPr="003E1518">
              <w:rPr>
                <w:b/>
                <w:bCs/>
              </w:rPr>
              <w:t>NOVEX-gebied Regio Arnhem</w:t>
            </w:r>
            <w:r w:rsidR="00483F3D">
              <w:rPr>
                <w:b/>
                <w:bCs/>
              </w:rPr>
              <w:t>-</w:t>
            </w:r>
            <w:r w:rsidRPr="003E1518">
              <w:rPr>
                <w:b/>
                <w:bCs/>
              </w:rPr>
              <w:t>Nijmege</w:t>
            </w:r>
            <w:r w:rsidR="00483F3D">
              <w:rPr>
                <w:b/>
                <w:bCs/>
              </w:rPr>
              <w:t>n-</w:t>
            </w:r>
            <w:r w:rsidRPr="003E1518">
              <w:rPr>
                <w:b/>
                <w:bCs/>
              </w:rPr>
              <w:t>Foodvalley</w:t>
            </w:r>
          </w:p>
          <w:p w:rsidRPr="00CA0A8A" w:rsidR="003E1518" w:rsidP="00EF0DC4" w14:paraId="58B7BA95" w14:textId="77777777">
            <w:pPr>
              <w:pStyle w:val="ListParagraph"/>
              <w:numPr>
                <w:ilvl w:val="0"/>
                <w:numId w:val="34"/>
              </w:numPr>
              <w:spacing w:line="276" w:lineRule="auto"/>
            </w:pPr>
            <w:r w:rsidRPr="00CA0A8A">
              <w:t>In april 2025 is een netwerkanalyse 2030-2040 Arnhem-Nijmegen-Foodvalley gestart, die mobiliteitseffecten van verstedelijking, de mobiliteitsopgaven 2030-2040 en mobiliteitspakketten in beeld brengt. Eind maart 2026 worden de resultaten van dit onderzoek verwacht.</w:t>
            </w:r>
          </w:p>
          <w:p w:rsidRPr="00CA0A8A" w:rsidR="003E1518" w:rsidP="00EF0DC4" w14:paraId="1B7DD64D" w14:textId="77777777">
            <w:pPr>
              <w:pStyle w:val="ListParagraph"/>
              <w:numPr>
                <w:ilvl w:val="0"/>
                <w:numId w:val="34"/>
              </w:numPr>
              <w:spacing w:line="276" w:lineRule="auto"/>
            </w:pPr>
            <w:r w:rsidRPr="00CA0A8A">
              <w:t xml:space="preserve">Het concept “groene scheggen” (dat invulling geeft aan de gezamenlijke ambitie om uiteindelijk 5000 ha stedelijk uitloopgebied te realiseren) is besproken in het BO NOVEX ANF en wordt uitgewerkt in een uitvoeringsstrategie, die concreet invulling geeft aan het motto van het ontwikkelperspectief ‘Meer landschap, meer stad’. </w:t>
            </w:r>
          </w:p>
          <w:p w:rsidRPr="00CA0A8A" w:rsidR="003E1518" w:rsidP="00EF0DC4" w14:paraId="4592F83A" w14:textId="77777777">
            <w:pPr>
              <w:pStyle w:val="ListParagraph"/>
              <w:numPr>
                <w:ilvl w:val="0"/>
                <w:numId w:val="34"/>
              </w:numPr>
              <w:spacing w:line="276" w:lineRule="auto"/>
            </w:pPr>
            <w:r w:rsidRPr="00CA0A8A">
              <w:t xml:space="preserve">Binnen de NOVEX ANF samenwerking wordt de relatie gelegd met de rivierenprogramma’s, bijvoorbeeld in het Regionaal Perspectief Rijngebied, waar we de inpassing van rivieropgaven in het kader van Ruimte voor de Rivier 2.0 in samenhang met de opgaven van NOVEX ANF beschouwen en hier de kansen en schuurpunten voor identificeren. </w:t>
            </w:r>
          </w:p>
          <w:p w:rsidRPr="00CA0A8A" w:rsidR="003E1518" w:rsidP="00EF0DC4" w14:paraId="3249A203" w14:textId="365C9D75">
            <w:pPr>
              <w:pStyle w:val="ListParagraph"/>
              <w:numPr>
                <w:ilvl w:val="0"/>
                <w:numId w:val="34"/>
              </w:numPr>
              <w:spacing w:line="276" w:lineRule="auto"/>
            </w:pPr>
            <w:r w:rsidRPr="00CA0A8A">
              <w:t>Op het BO Leefomgeving van 2026 brengen we de resultaten van het onderzoek naar de ruimtelijke consequenties van de stroken/zones rondom de Veluwe in het kader van stikstofreductie en hoe die de opgaven van NOVEX ANF beïnvloeden</w:t>
            </w:r>
            <w:r w:rsidR="00712E75">
              <w:t xml:space="preserve">, </w:t>
            </w:r>
            <w:r w:rsidRPr="00712E75" w:rsidR="00712E75">
              <w:t>mits de nodige besluitvorming over de strokenaanpak Provincie Gelderland en Aanpak Veluwe heeft plaatsgevonden.</w:t>
            </w:r>
          </w:p>
          <w:p w:rsidRPr="003E1518" w:rsidR="003E1518" w:rsidP="00EF0DC4" w14:paraId="0E256A19" w14:textId="6A478420">
            <w:pPr>
              <w:pStyle w:val="ListParagraph"/>
              <w:numPr>
                <w:ilvl w:val="0"/>
                <w:numId w:val="34"/>
              </w:numPr>
              <w:spacing w:line="276" w:lineRule="auto"/>
            </w:pPr>
            <w:r w:rsidRPr="00CA0A8A">
              <w:rPr>
                <w:rFonts w:cs="Tahoma"/>
              </w:rPr>
              <w:t>In een uitvoerings- en regionale investeringsagenda spreken Rijk en regio gezamenlijk af hoe we werken aan het realiseren van de ambities en doelen uit het ontwikkelperspectief. Het komend jaar wordt de uitvoeringsagenda verder uitgewerkt en bepalen de betrokken partijen gezamenlijk op welke manier gewerkt kan worden naar aan regionale investeringsagenda (RIA). Het bestaande proces van samenwerking rijk-regio rond spoorzone Arnhem-Oost willen we verder benutten en betrekken bij het verkennen van een RIA.</w:t>
            </w:r>
          </w:p>
        </w:tc>
      </w:tr>
      <w:tr w:rsidTr="008D44D3" w14:paraId="67132D73" w14:textId="77777777">
        <w:tblPrEx>
          <w:tblW w:w="9014" w:type="dxa"/>
          <w:tblInd w:w="0" w:type="dxa"/>
          <w:tblLayout w:type="fixed"/>
          <w:tblLook w:val="04A0"/>
        </w:tblPrEx>
        <w:tc>
          <w:tcPr>
            <w:tcW w:w="561" w:type="dxa"/>
          </w:tcPr>
          <w:p w:rsidRPr="0061628A" w:rsidR="00D50F44" w:rsidP="000145C7" w14:paraId="32B81777" w14:textId="7AF7DD69">
            <w:pPr>
              <w:spacing w:line="240" w:lineRule="exact"/>
              <w:rPr>
                <w:b/>
                <w:bCs/>
              </w:rPr>
            </w:pPr>
            <w:r>
              <w:rPr>
                <w:b/>
                <w:bCs/>
              </w:rPr>
              <w:t>5</w:t>
            </w:r>
          </w:p>
        </w:tc>
        <w:tc>
          <w:tcPr>
            <w:tcW w:w="8453" w:type="dxa"/>
          </w:tcPr>
          <w:p w:rsidRPr="0061628A" w:rsidR="00D50F44" w:rsidP="00882768" w14:paraId="24C51060" w14:textId="77777777">
            <w:pPr>
              <w:autoSpaceDN/>
              <w:textAlignment w:val="auto"/>
              <w:rPr>
                <w:rFonts w:eastAsia="Times New Roman"/>
                <w:b/>
                <w:bCs/>
                <w:lang w:eastAsia="en-US"/>
              </w:rPr>
            </w:pPr>
            <w:r w:rsidRPr="0061628A">
              <w:rPr>
                <w:rFonts w:eastAsia="Times New Roman"/>
                <w:b/>
                <w:bCs/>
                <w:lang w:eastAsia="en-US"/>
              </w:rPr>
              <w:t>NOVEX-gebied Zwolle</w:t>
            </w:r>
          </w:p>
          <w:p w:rsidRPr="0061628A" w:rsidR="003E1518" w:rsidP="00EF0DC4" w14:paraId="11E35CA1" w14:textId="77777777">
            <w:pPr>
              <w:numPr>
                <w:ilvl w:val="0"/>
                <w:numId w:val="35"/>
              </w:numPr>
              <w:spacing w:line="276" w:lineRule="auto"/>
              <w:rPr>
                <w:rFonts w:eastAsia="Times New Roman" w:cstheme="minorHAnsi"/>
              </w:rPr>
            </w:pPr>
            <w:r w:rsidRPr="0061628A">
              <w:rPr>
                <w:rFonts w:eastAsia="Times New Roman" w:cstheme="minorHAnsi"/>
              </w:rPr>
              <w:t xml:space="preserve">Rijk en Regio nemen kennis van de inhoudelijke voortgang van NOVEX-gebied Regio Zwolle. </w:t>
            </w:r>
          </w:p>
          <w:p w:rsidRPr="0061628A" w:rsidR="003E1518" w:rsidP="00EF0DC4" w14:paraId="5B6905DF" w14:textId="277C9CF4">
            <w:pPr>
              <w:numPr>
                <w:ilvl w:val="0"/>
                <w:numId w:val="35"/>
              </w:numPr>
              <w:autoSpaceDN/>
              <w:spacing w:line="276" w:lineRule="auto"/>
              <w:textAlignment w:val="auto"/>
              <w:rPr>
                <w:rFonts w:eastAsia="Times New Roman" w:cstheme="minorHAnsi"/>
                <w:color w:val="auto"/>
                <w:lang w:eastAsia="en-US"/>
              </w:rPr>
            </w:pPr>
            <w:r w:rsidRPr="0061628A">
              <w:rPr>
                <w:rFonts w:eastAsia="Times New Roman" w:cstheme="minorHAnsi"/>
              </w:rPr>
              <w:t xml:space="preserve">Rijk en Regio spreken af op het BO-Leefomgeving van 2026 de verdere uitwerking van de verstedelijkingsafspraken van NOVEX-gebied Regio Zwolle te bespreken aan de hand van de eerste Regionale Investeringsagenda (RIA). </w:t>
            </w:r>
          </w:p>
        </w:tc>
      </w:tr>
      <w:tr w:rsidTr="008D44D3" w14:paraId="754007E4" w14:textId="77777777">
        <w:tblPrEx>
          <w:tblW w:w="9014" w:type="dxa"/>
          <w:tblInd w:w="0" w:type="dxa"/>
          <w:tblLayout w:type="fixed"/>
          <w:tblLook w:val="04A0"/>
        </w:tblPrEx>
        <w:tc>
          <w:tcPr>
            <w:tcW w:w="561" w:type="dxa"/>
          </w:tcPr>
          <w:p w:rsidRPr="0061628A" w:rsidR="00483F3D" w:rsidP="00483F3D" w14:paraId="64E1B7D2" w14:textId="250746CA">
            <w:pPr>
              <w:spacing w:line="240" w:lineRule="exact"/>
              <w:rPr>
                <w:b/>
                <w:bCs/>
              </w:rPr>
            </w:pPr>
            <w:r>
              <w:rPr>
                <w:b/>
                <w:bCs/>
              </w:rPr>
              <w:t>6</w:t>
            </w:r>
          </w:p>
        </w:tc>
        <w:tc>
          <w:tcPr>
            <w:tcW w:w="8453" w:type="dxa"/>
          </w:tcPr>
          <w:p w:rsidRPr="003E1518" w:rsidR="00483F3D" w:rsidP="00483F3D" w14:paraId="77021E98" w14:textId="77777777">
            <w:pPr>
              <w:spacing w:line="276" w:lineRule="auto"/>
              <w:rPr>
                <w:rFonts w:eastAsia="Aptos" w:cs="Times New Roman"/>
                <w:b/>
                <w:bCs/>
              </w:rPr>
            </w:pPr>
            <w:r w:rsidRPr="003E1518">
              <w:rPr>
                <w:rFonts w:eastAsia="Aptos" w:cs="Times New Roman"/>
                <w:b/>
                <w:bCs/>
              </w:rPr>
              <w:t>Ruimte voor de Rivier 2.0</w:t>
            </w:r>
          </w:p>
          <w:p w:rsidR="00483F3D" w:rsidP="00EF0DC4" w14:paraId="760FE929" w14:textId="77777777">
            <w:pPr>
              <w:numPr>
                <w:ilvl w:val="0"/>
                <w:numId w:val="29"/>
              </w:numPr>
              <w:spacing w:line="276" w:lineRule="auto"/>
            </w:pPr>
            <w:r w:rsidRPr="003E1518">
              <w:t xml:space="preserve">Het rijk bereidt in samenwerking met de regio besluitvorming voor over beleidskeuzes Rivierbodem, en Ruimte en Afvoer. </w:t>
            </w:r>
          </w:p>
          <w:p w:rsidRPr="00483F3D" w:rsidR="00483F3D" w:rsidP="00EF0DC4" w14:paraId="4255EBB3" w14:textId="54590489">
            <w:pPr>
              <w:numPr>
                <w:ilvl w:val="0"/>
                <w:numId w:val="29"/>
              </w:numPr>
              <w:spacing w:line="276" w:lineRule="auto"/>
            </w:pPr>
            <w:r w:rsidRPr="00483F3D">
              <w:t>Op basis hiervan zal het rijk in de tweede helft van 2026 een besluit nemen over de beleidskeuzes. Dit besluit gaat onder andere over de huidige binnendijkse ruimtereserveringen (Bkl-reserveringen) en mogelijk nieuwe ruimtereserveringen.</w:t>
            </w:r>
          </w:p>
        </w:tc>
      </w:tr>
    </w:tbl>
    <w:p w:rsidRPr="00FC0D88" w:rsidR="00D50F44" w:rsidP="00D50F44" w14:paraId="5149B031" w14:textId="62794562">
      <w:pPr>
        <w:pStyle w:val="Heading1"/>
        <w:rPr>
          <w:rFonts w:eastAsia="DejaVu Sans"/>
          <w:lang w:val="nl-NL" w:eastAsia="nl-NL"/>
        </w:rPr>
      </w:pPr>
      <w:bookmarkStart w:name="_Toc219197442" w:id="13"/>
      <w:r w:rsidRPr="00BC6505">
        <w:rPr>
          <w:rFonts w:eastAsia="DejaVu Sans"/>
          <w:lang w:val="nl-NL" w:eastAsia="nl-NL"/>
        </w:rPr>
        <w:t>Regio Noordwest-Nederland</w:t>
      </w:r>
      <w:bookmarkEnd w:id="13"/>
    </w:p>
    <w:p w:rsidRPr="00FC0D88" w:rsidR="00D50F44" w:rsidP="00D50F44" w14:paraId="12F9399F" w14:textId="77777777">
      <w:pPr>
        <w:autoSpaceDN w:val="0"/>
        <w:spacing w:after="0" w:line="240" w:lineRule="exact"/>
        <w:textAlignment w:val="baseline"/>
        <w:rPr>
          <w:rFonts w:eastAsia="DejaVu Sans" w:cs="Lohit Hindi"/>
          <w:b/>
          <w:bCs/>
          <w:color w:val="000000"/>
          <w:szCs w:val="18"/>
          <w:lang w:val="nl-NL" w:eastAsia="nl-NL"/>
        </w:rPr>
      </w:pPr>
    </w:p>
    <w:tbl>
      <w:tblPr>
        <w:tblStyle w:val="TableGrid"/>
        <w:tblW w:w="0" w:type="auto"/>
        <w:tblInd w:w="0" w:type="dxa"/>
        <w:tblLook w:val="04A0"/>
      </w:tblPr>
      <w:tblGrid>
        <w:gridCol w:w="346"/>
        <w:gridCol w:w="8671"/>
      </w:tblGrid>
      <w:tr w:rsidTr="002D05FA" w14:paraId="678516DB" w14:textId="77777777">
        <w:tblPrEx>
          <w:tblW w:w="0" w:type="auto"/>
          <w:tblInd w:w="0" w:type="dxa"/>
          <w:tblLook w:val="04A0"/>
        </w:tblPrEx>
        <w:tc>
          <w:tcPr>
            <w:tcW w:w="346" w:type="dxa"/>
          </w:tcPr>
          <w:p w:rsidRPr="00FC0D88" w:rsidR="00D50F44" w:rsidP="000145C7" w14:paraId="7E2438DD" w14:textId="059DC3E9">
            <w:pPr>
              <w:spacing w:line="240" w:lineRule="exact"/>
              <w:rPr>
                <w:b/>
                <w:bCs/>
              </w:rPr>
            </w:pPr>
            <w:r>
              <w:rPr>
                <w:b/>
                <w:bCs/>
              </w:rPr>
              <w:t>1</w:t>
            </w:r>
          </w:p>
        </w:tc>
        <w:tc>
          <w:tcPr>
            <w:tcW w:w="8671" w:type="dxa"/>
          </w:tcPr>
          <w:p w:rsidR="00942307" w:rsidP="00942307" w14:paraId="4E6B98AE" w14:textId="6CC73907">
            <w:pPr>
              <w:spacing w:line="276" w:lineRule="auto"/>
              <w:rPr>
                <w:b/>
                <w:bCs/>
                <w:kern w:val="2"/>
                <w14:ligatures w14:val="standardContextual"/>
              </w:rPr>
            </w:pPr>
            <w:r>
              <w:rPr>
                <w:b/>
                <w:bCs/>
                <w:kern w:val="2"/>
                <w14:ligatures w14:val="standardContextual"/>
              </w:rPr>
              <w:t xml:space="preserve">Programma UNed: </w:t>
            </w:r>
            <w:r w:rsidRPr="00F333FA">
              <w:rPr>
                <w:b/>
                <w:bCs/>
                <w:kern w:val="2"/>
                <w14:ligatures w14:val="standardContextual"/>
              </w:rPr>
              <w:t>MIRT-verkenning OV en Wonen Regio Utrecht en MIRT-onderzoek A12-zone in samenhang met Rijnenburg</w:t>
            </w:r>
          </w:p>
          <w:p w:rsidR="00A2468F" w:rsidP="00EF0DC4" w14:paraId="1CBA3265" w14:textId="77777777">
            <w:pPr>
              <w:numPr>
                <w:ilvl w:val="0"/>
                <w:numId w:val="14"/>
              </w:numPr>
              <w:spacing w:line="276" w:lineRule="auto"/>
              <w:rPr>
                <w:lang w:val="en-US"/>
              </w:rPr>
            </w:pPr>
            <w:r w:rsidRPr="00850AD9">
              <w:t xml:space="preserve">Rijk en regio zetten in op grootschalige ontwikkeling van in totaal 63.000 tot 75.000 woningen en 30.000 tot 41.000 arbeidsplaatsen in Groot Merwede (inclusief de A12-zone) en Rijnenburg. Grootschalige ontwikkeling is afhankelijk van voorwaarden en van benodigde maatregelen en investeringen voor bereikbaarheid en leefbaarheid. </w:t>
            </w:r>
            <w:r w:rsidRPr="00850AD9">
              <w:rPr>
                <w:lang w:val="en-US"/>
              </w:rPr>
              <w:t>Rijk en regio zetten de volgende stappen:</w:t>
            </w:r>
          </w:p>
          <w:p w:rsidRPr="000E1070" w:rsidR="00A2468F" w:rsidP="00EF0DC4" w14:paraId="691E7710" w14:textId="77777777">
            <w:pPr>
              <w:numPr>
                <w:ilvl w:val="1"/>
                <w:numId w:val="14"/>
              </w:numPr>
              <w:spacing w:line="276" w:lineRule="auto"/>
            </w:pPr>
            <w:r w:rsidRPr="00A2468F">
              <w:t xml:space="preserve">In een ontwikkelstrategie werken Rijk en regio op basis van het MIRT Onderzoek en de MIRT Verkenning uit hoe aan de voorwaarden voor grootschalige ontwikkeling voldaan kan worden. De ontwikkelstrategie richt zich op de governance en de financiële constructies (publiek/publiek en publiek/privaat) van de gebiedsontwikkeling en de onderliggende inframaatregelen. </w:t>
            </w:r>
          </w:p>
          <w:p w:rsidRPr="00A2468F" w:rsidR="00942307" w:rsidP="00EF0DC4" w14:paraId="3DF4D9C0" w14:textId="530E5D4F">
            <w:pPr>
              <w:numPr>
                <w:ilvl w:val="1"/>
                <w:numId w:val="14"/>
              </w:numPr>
              <w:spacing w:line="276" w:lineRule="auto"/>
            </w:pPr>
            <w:r w:rsidRPr="00A2468F">
              <w:t xml:space="preserve">In de ontwikkelstrategie worden alle benodigde maatregelen voor bereikbaarheid (OV, weg en fiets), water, bodem, energie, een groen/blauw-netwerk, beperken van milieucontouren en barrièrewerking van infrastructuur en uitplaatsen bedrijven met een hoge milieucategorie bijeengebracht uit afgeronde, lopende en nieuw te starten onderzoeken. </w:t>
            </w:r>
          </w:p>
          <w:p w:rsidRPr="00A2468F" w:rsidR="00942307" w:rsidP="00A2468F" w14:paraId="75527A6E" w14:textId="77777777">
            <w:pPr>
              <w:spacing w:line="276" w:lineRule="auto"/>
              <w:ind w:left="360"/>
            </w:pPr>
            <w:r w:rsidRPr="00A2468F">
              <w:t>Rijk en regio stellen mede op basis van de ontwikkelstrategie het pakket aan benodigde maatregelen en investeringen voor bereikbaarheid en leefbaarheid op, inclusief de beoogde wijze van bekostiging van de maatregelen en een planning. Hierbij worden ook de benodigde stikstofruimte en capaciteit in ogenschouw genomen.</w:t>
            </w:r>
          </w:p>
          <w:p w:rsidRPr="00850AD9" w:rsidR="00942307" w:rsidP="00EF0DC4" w14:paraId="782FCC70" w14:textId="77777777">
            <w:pPr>
              <w:numPr>
                <w:ilvl w:val="0"/>
                <w:numId w:val="14"/>
              </w:numPr>
              <w:spacing w:line="276" w:lineRule="auto"/>
            </w:pPr>
            <w:r w:rsidRPr="00850AD9">
              <w:t>Rijk en regio spreken vooruitlopend op de ontwikkelstrategie en voortbouwend op zowel MIRT Onderzoek als MIRT Verkenning af vervolgonderzoek te doen naar de toekomstige bereikbaarheid van Groot Merwede en Rijnenburg. Daarom bereiden Rijk en regio een startbeslissing voor een MIRT Verkenning voor naar de OV-bereikbaarheid van Rijnenburg (het doortrekken van de Merwedelijn als ‘Rijnenburglijn’) en organiseren parallel daaraan de bekostiging.</w:t>
            </w:r>
          </w:p>
          <w:p w:rsidRPr="00850AD9" w:rsidR="00942307" w:rsidP="00EF0DC4" w14:paraId="5CC2D5E7" w14:textId="77777777">
            <w:pPr>
              <w:numPr>
                <w:ilvl w:val="0"/>
                <w:numId w:val="14"/>
              </w:numPr>
              <w:spacing w:line="276" w:lineRule="auto"/>
            </w:pPr>
            <w:r w:rsidRPr="00850AD9">
              <w:t>Rijk en regio voeren vervolgonderzoek uit naar de maatregelen die nodig zijn voor de auto ontsluiting van Rijnenburg in samenhang met het functioneren van het hoofdwegennet, met een voldoende ruim onderzoeksgebied en aanvullend op de maatregelen voor de A12 uit het Tracébesluit A27/A12 Ring Utrecht.</w:t>
            </w:r>
          </w:p>
          <w:p w:rsidRPr="00850AD9" w:rsidR="00942307" w:rsidP="00EF0DC4" w14:paraId="3994EA71" w14:textId="77777777">
            <w:pPr>
              <w:numPr>
                <w:ilvl w:val="0"/>
                <w:numId w:val="14"/>
              </w:numPr>
              <w:spacing w:line="276" w:lineRule="auto"/>
            </w:pPr>
            <w:r w:rsidRPr="00850AD9">
              <w:t xml:space="preserve">Om invulling te geven aan de totale bereikbaarheidsopgave, mede als gevolg van de autonome ontwikkeling, is de komende jaren gefaseerd circa </w:t>
            </w:r>
            <w:r>
              <w:t>€ 4</w:t>
            </w:r>
            <w:r w:rsidRPr="00850AD9">
              <w:t xml:space="preserve"> miljard nodig, die nog niet beschikbaar is. </w:t>
            </w:r>
          </w:p>
          <w:p w:rsidRPr="00850AD9" w:rsidR="00942307" w:rsidP="00EF0DC4" w14:paraId="20F2BDA1" w14:textId="77777777">
            <w:pPr>
              <w:numPr>
                <w:ilvl w:val="0"/>
                <w:numId w:val="14"/>
              </w:numPr>
              <w:spacing w:line="276" w:lineRule="auto"/>
            </w:pPr>
            <w:r w:rsidRPr="00850AD9">
              <w:t>Daarbij wordt gestreefd naar maximaal tempo door parallel te plannen.</w:t>
            </w:r>
          </w:p>
          <w:p w:rsidR="00A2468F" w:rsidP="00EF0DC4" w14:paraId="2F707BE1" w14:textId="77777777">
            <w:pPr>
              <w:numPr>
                <w:ilvl w:val="0"/>
                <w:numId w:val="14"/>
              </w:numPr>
              <w:spacing w:line="276" w:lineRule="auto"/>
            </w:pPr>
            <w:r w:rsidRPr="00850AD9">
              <w:t>Rijk en regio spreken daarnaast de volgende vervolgonderzoeken en maatregelen af:</w:t>
            </w:r>
          </w:p>
          <w:p w:rsidR="00A2468F" w:rsidP="00EF0DC4" w14:paraId="76DE8114" w14:textId="77777777">
            <w:pPr>
              <w:numPr>
                <w:ilvl w:val="1"/>
                <w:numId w:val="14"/>
              </w:numPr>
              <w:spacing w:line="276" w:lineRule="auto"/>
            </w:pPr>
            <w:r w:rsidRPr="00A2468F">
              <w:t>Vervolgonderzoek naar het al dan niet verwijderen van de snelwegaansluiting A12 Kanaleneiland en naar het passeren van het Amsterdam-Rijnkanaal via een nieuwe trambrug of de bestaande trambrug.</w:t>
            </w:r>
          </w:p>
          <w:p w:rsidR="00A2468F" w:rsidP="00EF0DC4" w14:paraId="687B1325" w14:textId="77777777">
            <w:pPr>
              <w:numPr>
                <w:ilvl w:val="1"/>
                <w:numId w:val="14"/>
              </w:numPr>
              <w:spacing w:line="276" w:lineRule="auto"/>
            </w:pPr>
            <w:r w:rsidRPr="00A2468F">
              <w:t>Vervolgonderzoek naar de auto ontsluiting van Rijnenburg en welke besluitvorming daarvoor nodig is.</w:t>
            </w:r>
          </w:p>
          <w:p w:rsidRPr="00A2468F" w:rsidR="00942307" w:rsidP="00EF0DC4" w14:paraId="4F78C687" w14:textId="6BF31BB6">
            <w:pPr>
              <w:numPr>
                <w:ilvl w:val="1"/>
                <w:numId w:val="14"/>
              </w:numPr>
              <w:spacing w:line="276" w:lineRule="auto"/>
            </w:pPr>
            <w:r w:rsidRPr="00A2468F">
              <w:t>Vooruitlopend op bovenstaande onderzoeken een ruimtereservering te maken voor toekomstige capaciteitsuitbreiding van het hoofdwegennet conform de onderzochte combinatievariant in fase 2 van het MIRT-onderzoek, die in vervolgonderzoek naar het functioneren van het hoofdwegennet nader ingevuld kan worden.</w:t>
            </w:r>
          </w:p>
          <w:p w:rsidR="00942307" w:rsidP="00EF0DC4" w14:paraId="6764F7A4" w14:textId="77777777">
            <w:pPr>
              <w:numPr>
                <w:ilvl w:val="0"/>
                <w:numId w:val="14"/>
              </w:numPr>
              <w:spacing w:line="276" w:lineRule="auto"/>
            </w:pPr>
            <w:r w:rsidRPr="00850AD9">
              <w:t xml:space="preserve">Rijk en regio stellen voor de MIRT-verkenning OV en Wonen een voorlopig voorkeursalternatief (VKA) vast (alle hieronder genoemde bedragen zijn prijspeil 2025): </w:t>
            </w:r>
          </w:p>
          <w:p w:rsidRPr="00850AD9" w:rsidR="00942307" w:rsidP="00942307" w14:paraId="277D3D2D" w14:textId="77777777">
            <w:pPr>
              <w:spacing w:line="276" w:lineRule="auto"/>
              <w:ind w:left="360"/>
            </w:pPr>
            <w:r w:rsidRPr="00850AD9">
              <w:t>Een Merwedelijn met een verdiepte ligging (gegraven open-dicht bak). Hiervoor reserveert het Rijk aanvullend op de eerdere reserveringen een taakstellend budget van € 46</w:t>
            </w:r>
            <w:r>
              <w:t>4</w:t>
            </w:r>
            <w:r w:rsidRPr="00850AD9">
              <w:t xml:space="preserve"> </w:t>
            </w:r>
            <w:r w:rsidRPr="00850AD9">
              <w:t>miljoen excl. btw (€ 56</w:t>
            </w:r>
            <w:r>
              <w:t>2,3</w:t>
            </w:r>
            <w:r w:rsidRPr="00850AD9">
              <w:t xml:space="preserve"> miljoen incl. btw). De provincie Utrecht reserveert aanvullend € 80 miljoen excl. btw en de gemeente Utrecht € 80 miljoen excl. btw. </w:t>
            </w:r>
          </w:p>
          <w:p w:rsidR="00A2468F" w:rsidP="00EF0DC4" w14:paraId="0C03A469" w14:textId="77777777">
            <w:pPr>
              <w:numPr>
                <w:ilvl w:val="0"/>
                <w:numId w:val="14"/>
              </w:numPr>
              <w:spacing w:line="276" w:lineRule="auto"/>
            </w:pPr>
            <w:r w:rsidRPr="000121D7">
              <w:t>Ten aanzien van het voorlopig VKA gelden de volgende voorwaarden:</w:t>
            </w:r>
          </w:p>
          <w:p w:rsidR="00A2468F" w:rsidP="00EF0DC4" w14:paraId="250885E9" w14:textId="77777777">
            <w:pPr>
              <w:numPr>
                <w:ilvl w:val="1"/>
                <w:numId w:val="14"/>
              </w:numPr>
              <w:spacing w:line="276" w:lineRule="auto"/>
            </w:pPr>
            <w:r w:rsidRPr="00A2468F">
              <w:t>Realisatie, vóór 2035, van tenminste 10.000 extra woningen (aanvullend op de 25.500 woningen die zijn afgesproken in het BO MIRT 2022) in Groot Merwede.</w:t>
            </w:r>
          </w:p>
          <w:p w:rsidR="00A2468F" w:rsidP="00EF0DC4" w14:paraId="7D7229FF" w14:textId="77777777">
            <w:pPr>
              <w:numPr>
                <w:ilvl w:val="1"/>
                <w:numId w:val="14"/>
              </w:numPr>
              <w:spacing w:line="276" w:lineRule="auto"/>
            </w:pPr>
            <w:r w:rsidRPr="00A2468F">
              <w:t>De regio spant zich in om vanaf 2035 te starten met de ontwikkeling van Rijnenburg en bekijkt of eerdere placemaking mogelijk is.</w:t>
            </w:r>
          </w:p>
          <w:p w:rsidR="00A2468F" w:rsidP="00EF0DC4" w14:paraId="64228D35" w14:textId="77777777">
            <w:pPr>
              <w:numPr>
                <w:ilvl w:val="1"/>
                <w:numId w:val="14"/>
              </w:numPr>
              <w:spacing w:line="276" w:lineRule="auto"/>
            </w:pPr>
            <w:r w:rsidRPr="00A2468F">
              <w:t>Vertrekpunt is dat de bijdrage van partijen taakstellend is. Er is behoefte aan buitengewone aandacht voor de risicobeheersing van het project. Over de exacte risicoverdeling worden in de op te stellen bestuursovereenkomst nadere afspraken gemaakt.</w:t>
            </w:r>
          </w:p>
          <w:p w:rsidRPr="00A2468F" w:rsidR="00942307" w:rsidP="00EF0DC4" w14:paraId="50495926" w14:textId="093F801D">
            <w:pPr>
              <w:numPr>
                <w:ilvl w:val="1"/>
                <w:numId w:val="14"/>
              </w:numPr>
              <w:spacing w:line="276" w:lineRule="auto"/>
            </w:pPr>
            <w:r w:rsidRPr="00A2468F">
              <w:t>Voorbehoud is de nog uit te voeren zienswijzeprocedure en instemming door betrokken gemeenteraden en provinciale staten.</w:t>
            </w:r>
          </w:p>
          <w:p w:rsidR="00A2468F" w:rsidP="00EF0DC4" w14:paraId="4E080B22" w14:textId="77777777">
            <w:pPr>
              <w:pStyle w:val="ListParagraph"/>
              <w:numPr>
                <w:ilvl w:val="0"/>
                <w:numId w:val="14"/>
              </w:numPr>
              <w:autoSpaceDE w:val="0"/>
              <w:spacing w:line="276" w:lineRule="auto"/>
              <w:ind w:right="489"/>
            </w:pPr>
            <w:r w:rsidRPr="000121D7">
              <w:t>Rijk en regio onderschrijven de noodzaak van de OV-maatregelen (bus- en trammaatregelen) voor het verbeteren van de bereikbaarheid van Utrecht-Oost (USP), onderdeel van de MIRT-verkenning. De kosten van deze maatregelen zijn nog niet gedekt, hiervoor resteert een tekort van €109 mln. excl. btw (€132 mln. incl. btw). Rijk en regio spreken af</w:t>
            </w:r>
            <w:r>
              <w:t>:</w:t>
            </w:r>
          </w:p>
          <w:p w:rsidR="00A2468F" w:rsidP="00EF0DC4" w14:paraId="56D28D0E" w14:textId="77777777">
            <w:pPr>
              <w:pStyle w:val="ListParagraph"/>
              <w:numPr>
                <w:ilvl w:val="1"/>
                <w:numId w:val="14"/>
              </w:numPr>
              <w:autoSpaceDE w:val="0"/>
              <w:spacing w:line="276" w:lineRule="auto"/>
              <w:ind w:right="489"/>
            </w:pPr>
            <w:r w:rsidRPr="00A2468F">
              <w:t>In de eerste helft 2026 een keuze te maken of het pakket OV-maatregelen Oost/USP wordt meegenomen in het proces van terinzagelegging van het voorlopig VKA. De regio maakt in afstemming met het Rijk daarvoor inzichtelijk wat de juridische implicaties zijn.</w:t>
            </w:r>
          </w:p>
          <w:p w:rsidRPr="00A2468F" w:rsidR="00942307" w:rsidP="00EF0DC4" w14:paraId="3C931DB7" w14:textId="747565E2">
            <w:pPr>
              <w:pStyle w:val="ListParagraph"/>
              <w:numPr>
                <w:ilvl w:val="1"/>
                <w:numId w:val="14"/>
              </w:numPr>
              <w:autoSpaceDE w:val="0"/>
              <w:spacing w:line="276" w:lineRule="auto"/>
              <w:ind w:right="489"/>
            </w:pPr>
            <w:r w:rsidRPr="00A2468F">
              <w:t>In het BO MIRT 2026 afspraken te maken over het vervolgtraject.</w:t>
            </w:r>
          </w:p>
          <w:p w:rsidRPr="000121D7" w:rsidR="00942307" w:rsidP="00EF0DC4" w14:paraId="72E7D89C" w14:textId="77777777">
            <w:pPr>
              <w:numPr>
                <w:ilvl w:val="0"/>
                <w:numId w:val="14"/>
              </w:numPr>
              <w:spacing w:line="276" w:lineRule="auto"/>
            </w:pPr>
            <w:r w:rsidRPr="000121D7">
              <w:t xml:space="preserve">Rijk en regio werken toe naar een zo spoedig mogelijk definitief voorkeursbesluit voor de MIRT Verkenning, waarna de MIRT-planning- en studiefase kan starten. </w:t>
            </w:r>
          </w:p>
          <w:p w:rsidRPr="00942307" w:rsidR="00B604B0" w:rsidP="00EF0DC4" w14:paraId="4D238A7F" w14:textId="17260D20">
            <w:pPr>
              <w:numPr>
                <w:ilvl w:val="0"/>
                <w:numId w:val="14"/>
              </w:numPr>
              <w:spacing w:line="276" w:lineRule="auto"/>
            </w:pPr>
            <w:r w:rsidRPr="009C01BE">
              <w:t xml:space="preserve">Om tot een werkend vervoersysteem te komen en uiteindelijk een bedieningsgarantie te kunnen afgeven voor de Merwedelijn is zicht nodig op dekkende financiële afspraken over de exploitatie van de Merwedelijn. Rijk en regio brengen voor het definitieve VKA (BO MIRT najaar 2026) de financiële opgave en potentiële oplossingsrichtingen in beeld en betrekken dit bij het definitieve VKA. Deze analyses zijn ook input voor een breder onderzoek (deep dive) naar de betaalbaarheid van het OV-systeem om wijzigingen zoals groei van het aantal OV-verbindingen en de gevolgen voor de OV-exploitatie inzichtelijk te maken. </w:t>
            </w:r>
          </w:p>
        </w:tc>
      </w:tr>
      <w:tr w:rsidTr="002D05FA" w14:paraId="050E92A9" w14:textId="77777777">
        <w:tblPrEx>
          <w:tblW w:w="0" w:type="auto"/>
          <w:tblInd w:w="0" w:type="dxa"/>
          <w:tblLook w:val="04A0"/>
        </w:tblPrEx>
        <w:tc>
          <w:tcPr>
            <w:tcW w:w="346" w:type="dxa"/>
          </w:tcPr>
          <w:p w:rsidRPr="00FC0D88" w:rsidR="00D50F44" w:rsidP="000145C7" w14:paraId="77CABEE6" w14:textId="6CE8E972">
            <w:pPr>
              <w:spacing w:line="240" w:lineRule="exact"/>
              <w:rPr>
                <w:b/>
                <w:bCs/>
              </w:rPr>
            </w:pPr>
            <w:r>
              <w:rPr>
                <w:b/>
                <w:bCs/>
              </w:rPr>
              <w:t>2</w:t>
            </w:r>
          </w:p>
        </w:tc>
        <w:tc>
          <w:tcPr>
            <w:tcW w:w="8671" w:type="dxa"/>
          </w:tcPr>
          <w:p w:rsidR="00D50F44" w:rsidP="0061628A" w14:paraId="79F71959" w14:textId="553F887C">
            <w:pPr>
              <w:pStyle w:val="NoSpacing"/>
              <w:rPr>
                <w:b/>
                <w:bCs/>
              </w:rPr>
            </w:pPr>
            <w:r>
              <w:rPr>
                <w:b/>
                <w:bCs/>
              </w:rPr>
              <w:t>WoMo-afspraken Noordwest-Nederland</w:t>
            </w:r>
          </w:p>
          <w:p w:rsidR="0061628A" w:rsidP="0061628A" w14:paraId="6ECD0D69" w14:textId="77777777">
            <w:pPr>
              <w:pStyle w:val="NoSpacing"/>
              <w:rPr>
                <w:b/>
                <w:bCs/>
              </w:rPr>
            </w:pPr>
          </w:p>
          <w:p w:rsidRPr="009A36E6" w:rsidR="0061628A" w:rsidP="0061628A" w14:paraId="499B1C31" w14:textId="2805DB08">
            <w:pPr>
              <w:pStyle w:val="NoSpacing"/>
              <w:rPr>
                <w:b/>
                <w:bCs/>
                <w:i/>
                <w:iCs/>
              </w:rPr>
            </w:pPr>
            <w:r w:rsidRPr="009A36E6">
              <w:rPr>
                <w:b/>
                <w:bCs/>
                <w:i/>
                <w:iCs/>
              </w:rPr>
              <w:t>WoKT-afspraken Noordwest-Nederland</w:t>
            </w:r>
          </w:p>
          <w:p w:rsidRPr="0061628A" w:rsidR="0061628A" w:rsidP="0061628A" w14:paraId="25854BE7" w14:textId="77777777">
            <w:pPr>
              <w:pStyle w:val="NoSpacing"/>
              <w:rPr>
                <w:b/>
                <w:bCs/>
                <w:u w:val="single"/>
              </w:rPr>
            </w:pPr>
          </w:p>
          <w:tbl>
            <w:tblPr>
              <w:tblStyle w:val="TableGrid"/>
              <w:tblW w:w="8656" w:type="dxa"/>
              <w:tblInd w:w="0" w:type="dxa"/>
              <w:tblBorders>
                <w:bottom w:val="none" w:color="auto" w:sz="0" w:space="0"/>
                <w:right w:val="none" w:color="auto" w:sz="0" w:space="0"/>
              </w:tblBorders>
              <w:tblLook w:val="04A0"/>
            </w:tblPr>
            <w:tblGrid>
              <w:gridCol w:w="1369"/>
              <w:gridCol w:w="1865"/>
              <w:gridCol w:w="914"/>
              <w:gridCol w:w="1259"/>
              <w:gridCol w:w="1103"/>
              <w:gridCol w:w="2146"/>
            </w:tblGrid>
            <w:tr w:rsidTr="009935CA" w14:paraId="767D0B06" w14:textId="77777777">
              <w:tblPrEx>
                <w:tblW w:w="8656" w:type="dxa"/>
                <w:tblInd w:w="0" w:type="dxa"/>
                <w:tblBorders>
                  <w:bottom w:val="none" w:color="auto" w:sz="0" w:space="0"/>
                  <w:right w:val="none" w:color="auto" w:sz="0" w:space="0"/>
                </w:tblBorders>
                <w:tblLook w:val="04A0"/>
              </w:tblPrEx>
              <w:trPr>
                <w:trHeight w:val="20"/>
              </w:trPr>
              <w:tc>
                <w:tcPr>
                  <w:tcW w:w="1370" w:type="dxa"/>
                </w:tcPr>
                <w:p w:rsidRPr="00922AEF" w:rsidR="0061628A" w:rsidP="0061628A" w14:paraId="14EEE73F" w14:textId="77777777">
                  <w:pPr>
                    <w:rPr>
                      <w:b/>
                      <w:bCs/>
                      <w:sz w:val="16"/>
                      <w:szCs w:val="16"/>
                    </w:rPr>
                  </w:pPr>
                  <w:r w:rsidRPr="00922AEF">
                    <w:rPr>
                      <w:b/>
                      <w:bCs/>
                      <w:sz w:val="16"/>
                      <w:szCs w:val="16"/>
                    </w:rPr>
                    <w:t>Naam indienende gemeente/</w:t>
                  </w:r>
                </w:p>
                <w:p w:rsidRPr="00922AEF" w:rsidR="0061628A" w:rsidP="0061628A" w14:paraId="2C2A07A5" w14:textId="77777777">
                  <w:pPr>
                    <w:rPr>
                      <w:b/>
                      <w:bCs/>
                      <w:sz w:val="16"/>
                      <w:szCs w:val="16"/>
                    </w:rPr>
                  </w:pPr>
                  <w:r w:rsidRPr="00922AEF">
                    <w:rPr>
                      <w:b/>
                      <w:bCs/>
                      <w:sz w:val="16"/>
                      <w:szCs w:val="16"/>
                    </w:rPr>
                    <w:t>penvoerder</w:t>
                  </w:r>
                </w:p>
                <w:p w:rsidRPr="00922AEF" w:rsidR="0061628A" w:rsidP="0061628A" w14:paraId="637421C7" w14:textId="77777777">
                  <w:pPr>
                    <w:rPr>
                      <w:b/>
                      <w:bCs/>
                      <w:sz w:val="16"/>
                      <w:szCs w:val="16"/>
                    </w:rPr>
                  </w:pPr>
                  <w:r w:rsidRPr="00922AEF">
                    <w:rPr>
                      <w:b/>
                      <w:bCs/>
                      <w:sz w:val="16"/>
                      <w:szCs w:val="16"/>
                    </w:rPr>
                    <w:t xml:space="preserve"> </w:t>
                  </w:r>
                </w:p>
              </w:tc>
              <w:tc>
                <w:tcPr>
                  <w:tcW w:w="1876" w:type="dxa"/>
                </w:tcPr>
                <w:p w:rsidRPr="00922AEF" w:rsidR="0061628A" w:rsidP="0061628A" w14:paraId="7940AB27" w14:textId="77777777">
                  <w:pPr>
                    <w:rPr>
                      <w:b/>
                      <w:bCs/>
                      <w:sz w:val="16"/>
                      <w:szCs w:val="16"/>
                    </w:rPr>
                  </w:pPr>
                  <w:r w:rsidRPr="00922AEF">
                    <w:rPr>
                      <w:b/>
                      <w:bCs/>
                      <w:sz w:val="16"/>
                      <w:szCs w:val="16"/>
                    </w:rPr>
                    <w:t>Naam voorstel</w:t>
                  </w:r>
                </w:p>
              </w:tc>
              <w:tc>
                <w:tcPr>
                  <w:tcW w:w="936" w:type="dxa"/>
                </w:tcPr>
                <w:p w:rsidRPr="00922AEF" w:rsidR="0061628A" w:rsidP="0061628A" w14:paraId="40F2EB88" w14:textId="77777777">
                  <w:pPr>
                    <w:rPr>
                      <w:b/>
                      <w:bCs/>
                      <w:sz w:val="16"/>
                      <w:szCs w:val="16"/>
                    </w:rPr>
                  </w:pPr>
                  <w:r w:rsidRPr="00922AEF">
                    <w:rPr>
                      <w:b/>
                      <w:bCs/>
                      <w:sz w:val="16"/>
                      <w:szCs w:val="16"/>
                    </w:rPr>
                    <w:t xml:space="preserve">Aantal woningen </w:t>
                  </w:r>
                </w:p>
              </w:tc>
              <w:tc>
                <w:tcPr>
                  <w:tcW w:w="1315" w:type="dxa"/>
                </w:tcPr>
                <w:p w:rsidRPr="00922AEF" w:rsidR="0061628A" w:rsidP="0061628A" w14:paraId="42429DB1" w14:textId="77777777">
                  <w:pPr>
                    <w:rPr>
                      <w:b/>
                      <w:bCs/>
                      <w:sz w:val="16"/>
                      <w:szCs w:val="16"/>
                    </w:rPr>
                  </w:pPr>
                  <w:r w:rsidRPr="00922AEF">
                    <w:rPr>
                      <w:b/>
                      <w:bCs/>
                      <w:sz w:val="16"/>
                      <w:szCs w:val="16"/>
                    </w:rPr>
                    <w:t>Rijksbijdrage (incl. btw, prijspeil 2025)</w:t>
                  </w:r>
                </w:p>
              </w:tc>
              <w:tc>
                <w:tcPr>
                  <w:tcW w:w="1164" w:type="dxa"/>
                </w:tcPr>
                <w:p w:rsidRPr="00922AEF" w:rsidR="0061628A" w:rsidP="0061628A" w14:paraId="10A86E9D" w14:textId="77777777">
                  <w:pPr>
                    <w:rPr>
                      <w:b/>
                      <w:bCs/>
                      <w:sz w:val="16"/>
                      <w:szCs w:val="16"/>
                    </w:rPr>
                  </w:pPr>
                  <w:r w:rsidRPr="00922AEF">
                    <w:rPr>
                      <w:b/>
                      <w:bCs/>
                      <w:sz w:val="16"/>
                      <w:szCs w:val="16"/>
                    </w:rPr>
                    <w:t>Regionale bijdrage (incl. btw, prijspeil 2025)</w:t>
                  </w:r>
                </w:p>
              </w:tc>
              <w:tc>
                <w:tcPr>
                  <w:tcW w:w="1995" w:type="dxa"/>
                </w:tcPr>
                <w:p w:rsidRPr="00922AEF" w:rsidR="0061628A" w:rsidP="0061628A" w14:paraId="28A83250" w14:textId="77777777">
                  <w:pPr>
                    <w:rPr>
                      <w:b/>
                      <w:bCs/>
                      <w:sz w:val="16"/>
                      <w:szCs w:val="16"/>
                    </w:rPr>
                  </w:pPr>
                  <w:r w:rsidRPr="00922AEF">
                    <w:rPr>
                      <w:b/>
                      <w:bCs/>
                      <w:sz w:val="16"/>
                      <w:szCs w:val="16"/>
                    </w:rPr>
                    <w:t xml:space="preserve">Maatregelen </w:t>
                  </w:r>
                </w:p>
                <w:p w:rsidRPr="00922AEF" w:rsidR="0061628A" w:rsidP="0061628A" w14:paraId="579EE028" w14:textId="77777777">
                  <w:pPr>
                    <w:rPr>
                      <w:b/>
                      <w:bCs/>
                      <w:sz w:val="16"/>
                      <w:szCs w:val="16"/>
                    </w:rPr>
                  </w:pPr>
                </w:p>
                <w:p w:rsidRPr="00922AEF" w:rsidR="0061628A" w:rsidP="0061628A" w14:paraId="050A481C" w14:textId="77777777">
                  <w:pPr>
                    <w:rPr>
                      <w:b/>
                      <w:bCs/>
                      <w:sz w:val="16"/>
                      <w:szCs w:val="16"/>
                    </w:rPr>
                  </w:pPr>
                </w:p>
              </w:tc>
            </w:tr>
            <w:tr w:rsidTr="009935CA" w14:paraId="05F08E84" w14:textId="77777777">
              <w:tblPrEx>
                <w:tblW w:w="8656" w:type="dxa"/>
                <w:tblInd w:w="0" w:type="dxa"/>
                <w:tblLook w:val="04A0"/>
              </w:tblPrEx>
              <w:trPr>
                <w:trHeight w:val="20"/>
              </w:trPr>
              <w:tc>
                <w:tcPr>
                  <w:tcW w:w="1370" w:type="dxa"/>
                  <w:hideMark/>
                </w:tcPr>
                <w:p w:rsidRPr="00922AEF" w:rsidR="0061628A" w:rsidP="0061628A" w14:paraId="361CCF81" w14:textId="77777777">
                  <w:pPr>
                    <w:rPr>
                      <w:rFonts w:cs="Calibri"/>
                      <w:sz w:val="16"/>
                      <w:szCs w:val="16"/>
                    </w:rPr>
                  </w:pPr>
                  <w:r w:rsidRPr="00922AEF">
                    <w:rPr>
                      <w:rFonts w:cs="Calibri"/>
                      <w:sz w:val="16"/>
                      <w:szCs w:val="16"/>
                    </w:rPr>
                    <w:t>Amstelveen en</w:t>
                  </w:r>
                  <w:r w:rsidRPr="00922AEF">
                    <w:rPr>
                      <w:rFonts w:cs="Calibri"/>
                      <w:sz w:val="16"/>
                      <w:szCs w:val="16"/>
                    </w:rPr>
                    <w:br/>
                    <w:t>Aalsmeer</w:t>
                  </w:r>
                </w:p>
              </w:tc>
              <w:tc>
                <w:tcPr>
                  <w:tcW w:w="1876" w:type="dxa"/>
                </w:tcPr>
                <w:p w:rsidRPr="00922AEF" w:rsidR="0061628A" w:rsidP="0061628A" w14:paraId="0A51581D" w14:textId="77777777">
                  <w:pPr>
                    <w:rPr>
                      <w:sz w:val="16"/>
                      <w:szCs w:val="16"/>
                    </w:rPr>
                  </w:pPr>
                  <w:r w:rsidRPr="00922AEF">
                    <w:rPr>
                      <w:rFonts w:cs="Calibri"/>
                      <w:sz w:val="16"/>
                      <w:szCs w:val="16"/>
                    </w:rPr>
                    <w:t>Stadshart Amstelveen</w:t>
                  </w:r>
                </w:p>
              </w:tc>
              <w:tc>
                <w:tcPr>
                  <w:tcW w:w="936" w:type="dxa"/>
                </w:tcPr>
                <w:p w:rsidRPr="00922AEF" w:rsidR="0061628A" w:rsidP="0061628A" w14:paraId="6DAE189D" w14:textId="77777777">
                  <w:pPr>
                    <w:rPr>
                      <w:sz w:val="16"/>
                      <w:szCs w:val="16"/>
                    </w:rPr>
                  </w:pPr>
                  <w:r w:rsidRPr="00922AEF">
                    <w:rPr>
                      <w:rFonts w:cs="Calibri"/>
                      <w:sz w:val="16"/>
                      <w:szCs w:val="16"/>
                    </w:rPr>
                    <w:t>3.389</w:t>
                  </w:r>
                </w:p>
              </w:tc>
              <w:tc>
                <w:tcPr>
                  <w:tcW w:w="1315" w:type="dxa"/>
                </w:tcPr>
                <w:p w:rsidRPr="00922AEF" w:rsidR="0061628A" w:rsidP="0061628A" w14:paraId="4AF33532" w14:textId="77777777">
                  <w:pPr>
                    <w:rPr>
                      <w:sz w:val="16"/>
                      <w:szCs w:val="16"/>
                    </w:rPr>
                  </w:pPr>
                  <w:r w:rsidRPr="00922AEF">
                    <w:rPr>
                      <w:rFonts w:cs="Calibri"/>
                      <w:sz w:val="16"/>
                      <w:szCs w:val="16"/>
                    </w:rPr>
                    <w:t>€ 14.447.400</w:t>
                  </w:r>
                </w:p>
              </w:tc>
              <w:tc>
                <w:tcPr>
                  <w:tcW w:w="1164" w:type="dxa"/>
                </w:tcPr>
                <w:p w:rsidRPr="00922AEF" w:rsidR="0061628A" w:rsidP="0061628A" w14:paraId="6F4CAA3C" w14:textId="77777777">
                  <w:pPr>
                    <w:rPr>
                      <w:sz w:val="16"/>
                      <w:szCs w:val="16"/>
                    </w:rPr>
                  </w:pPr>
                  <w:r w:rsidRPr="00922AEF">
                    <w:rPr>
                      <w:rFonts w:cs="Calibri"/>
                      <w:sz w:val="16"/>
                      <w:szCs w:val="16"/>
                    </w:rPr>
                    <w:t>€ 9.680.000</w:t>
                  </w:r>
                </w:p>
              </w:tc>
              <w:tc>
                <w:tcPr>
                  <w:tcW w:w="1995" w:type="dxa"/>
                </w:tcPr>
                <w:p w:rsidRPr="00922AEF" w:rsidR="0061628A" w:rsidP="0061628A" w14:paraId="6B2BAF4A" w14:textId="77777777">
                  <w:pPr>
                    <w:rPr>
                      <w:sz w:val="16"/>
                      <w:szCs w:val="16"/>
                    </w:rPr>
                  </w:pPr>
                  <w:r w:rsidRPr="00922AEF">
                    <w:rPr>
                      <w:rFonts w:cs="Calibri"/>
                      <w:sz w:val="16"/>
                      <w:szCs w:val="16"/>
                    </w:rPr>
                    <w:t>Herinrichting busstation, aanleg fietsenstalling</w:t>
                  </w:r>
                </w:p>
              </w:tc>
            </w:tr>
            <w:tr w:rsidTr="009935CA" w14:paraId="5145169A" w14:textId="77777777">
              <w:tblPrEx>
                <w:tblW w:w="8656" w:type="dxa"/>
                <w:tblInd w:w="0" w:type="dxa"/>
                <w:tblLook w:val="04A0"/>
              </w:tblPrEx>
              <w:trPr>
                <w:trHeight w:val="20"/>
              </w:trPr>
              <w:tc>
                <w:tcPr>
                  <w:tcW w:w="1370" w:type="dxa"/>
                  <w:hideMark/>
                </w:tcPr>
                <w:p w:rsidRPr="00922AEF" w:rsidR="0061628A" w:rsidP="0061628A" w14:paraId="78980F54" w14:textId="77777777">
                  <w:pPr>
                    <w:rPr>
                      <w:rFonts w:cs="Calibri"/>
                      <w:sz w:val="16"/>
                      <w:szCs w:val="16"/>
                    </w:rPr>
                  </w:pPr>
                  <w:r w:rsidRPr="00922AEF">
                    <w:rPr>
                      <w:rFonts w:cs="Calibri"/>
                      <w:sz w:val="16"/>
                      <w:szCs w:val="16"/>
                    </w:rPr>
                    <w:t>Amsterdam</w:t>
                  </w:r>
                </w:p>
              </w:tc>
              <w:tc>
                <w:tcPr>
                  <w:tcW w:w="1876" w:type="dxa"/>
                </w:tcPr>
                <w:p w:rsidRPr="00922AEF" w:rsidR="0061628A" w:rsidP="0061628A" w14:paraId="7C90FE40" w14:textId="77777777">
                  <w:pPr>
                    <w:rPr>
                      <w:sz w:val="16"/>
                      <w:szCs w:val="16"/>
                    </w:rPr>
                  </w:pPr>
                  <w:r w:rsidRPr="00922AEF">
                    <w:rPr>
                      <w:rFonts w:cs="Calibri"/>
                      <w:sz w:val="16"/>
                      <w:szCs w:val="16"/>
                    </w:rPr>
                    <w:t>Nieuwe Sloterweg</w:t>
                  </w:r>
                </w:p>
              </w:tc>
              <w:tc>
                <w:tcPr>
                  <w:tcW w:w="936" w:type="dxa"/>
                </w:tcPr>
                <w:p w:rsidRPr="00922AEF" w:rsidR="0061628A" w:rsidP="0061628A" w14:paraId="6176DD73" w14:textId="77777777">
                  <w:pPr>
                    <w:rPr>
                      <w:sz w:val="16"/>
                      <w:szCs w:val="16"/>
                    </w:rPr>
                  </w:pPr>
                  <w:r w:rsidRPr="00922AEF">
                    <w:rPr>
                      <w:rFonts w:cs="Calibri"/>
                      <w:sz w:val="16"/>
                      <w:szCs w:val="16"/>
                    </w:rPr>
                    <w:t>5.107</w:t>
                  </w:r>
                </w:p>
              </w:tc>
              <w:tc>
                <w:tcPr>
                  <w:tcW w:w="1315" w:type="dxa"/>
                </w:tcPr>
                <w:p w:rsidRPr="00922AEF" w:rsidR="0061628A" w:rsidP="0061628A" w14:paraId="281A7CE4" w14:textId="77777777">
                  <w:pPr>
                    <w:rPr>
                      <w:sz w:val="16"/>
                      <w:szCs w:val="16"/>
                    </w:rPr>
                  </w:pPr>
                  <w:r w:rsidRPr="00922AEF">
                    <w:rPr>
                      <w:rFonts w:cs="Calibri"/>
                      <w:sz w:val="16"/>
                      <w:szCs w:val="16"/>
                    </w:rPr>
                    <w:t>€ 62.361.007</w:t>
                  </w:r>
                </w:p>
              </w:tc>
              <w:tc>
                <w:tcPr>
                  <w:tcW w:w="1164" w:type="dxa"/>
                </w:tcPr>
                <w:p w:rsidRPr="00922AEF" w:rsidR="0061628A" w:rsidP="0061628A" w14:paraId="1B35F0D3" w14:textId="77777777">
                  <w:pPr>
                    <w:rPr>
                      <w:sz w:val="16"/>
                      <w:szCs w:val="16"/>
                    </w:rPr>
                  </w:pPr>
                  <w:r w:rsidRPr="00922AEF">
                    <w:rPr>
                      <w:rFonts w:cs="Calibri"/>
                      <w:sz w:val="16"/>
                      <w:szCs w:val="16"/>
                    </w:rPr>
                    <w:t>€ 33.747.743</w:t>
                  </w:r>
                </w:p>
              </w:tc>
              <w:tc>
                <w:tcPr>
                  <w:tcW w:w="1995" w:type="dxa"/>
                </w:tcPr>
                <w:p w:rsidRPr="00922AEF" w:rsidR="0061628A" w:rsidP="0061628A" w14:paraId="7F6498C1" w14:textId="77777777">
                  <w:pPr>
                    <w:rPr>
                      <w:sz w:val="16"/>
                      <w:szCs w:val="16"/>
                    </w:rPr>
                  </w:pPr>
                  <w:r w:rsidRPr="00922AEF">
                    <w:rPr>
                      <w:rFonts w:cs="Calibri"/>
                      <w:sz w:val="16"/>
                      <w:szCs w:val="16"/>
                    </w:rPr>
                    <w:t>Aanleg fiets- en voetgangerstunnel (spoor), aanleg fiets- en voetgangersbruggen, herinrichting fiets- en voetgangerspaden</w:t>
                  </w:r>
                </w:p>
              </w:tc>
            </w:tr>
            <w:tr w:rsidTr="009935CA" w14:paraId="541C8A1F" w14:textId="77777777">
              <w:tblPrEx>
                <w:tblW w:w="8656" w:type="dxa"/>
                <w:tblInd w:w="0" w:type="dxa"/>
                <w:tblLook w:val="04A0"/>
              </w:tblPrEx>
              <w:trPr>
                <w:trHeight w:val="20"/>
              </w:trPr>
              <w:tc>
                <w:tcPr>
                  <w:tcW w:w="1370" w:type="dxa"/>
                  <w:hideMark/>
                </w:tcPr>
                <w:p w:rsidRPr="00922AEF" w:rsidR="0061628A" w:rsidP="0061628A" w14:paraId="628100C3" w14:textId="77777777">
                  <w:pPr>
                    <w:rPr>
                      <w:rFonts w:cs="Calibri"/>
                      <w:sz w:val="16"/>
                      <w:szCs w:val="16"/>
                    </w:rPr>
                  </w:pPr>
                  <w:r w:rsidRPr="00922AEF">
                    <w:rPr>
                      <w:rFonts w:cs="Calibri"/>
                      <w:sz w:val="16"/>
                      <w:szCs w:val="16"/>
                    </w:rPr>
                    <w:t>Amsterdam</w:t>
                  </w:r>
                </w:p>
              </w:tc>
              <w:tc>
                <w:tcPr>
                  <w:tcW w:w="1876" w:type="dxa"/>
                </w:tcPr>
                <w:p w:rsidRPr="00922AEF" w:rsidR="0061628A" w:rsidP="0061628A" w14:paraId="0A072B7C" w14:textId="77777777">
                  <w:pPr>
                    <w:rPr>
                      <w:sz w:val="16"/>
                      <w:szCs w:val="16"/>
                    </w:rPr>
                  </w:pPr>
                  <w:r w:rsidRPr="00922AEF">
                    <w:rPr>
                      <w:rFonts w:cs="Calibri"/>
                      <w:sz w:val="16"/>
                      <w:szCs w:val="16"/>
                    </w:rPr>
                    <w:t>ZaanIJ corridor Van Hasselt</w:t>
                  </w:r>
                </w:p>
              </w:tc>
              <w:tc>
                <w:tcPr>
                  <w:tcW w:w="936" w:type="dxa"/>
                </w:tcPr>
                <w:p w:rsidRPr="00922AEF" w:rsidR="0061628A" w:rsidP="0061628A" w14:paraId="501BE413" w14:textId="77777777">
                  <w:pPr>
                    <w:rPr>
                      <w:sz w:val="16"/>
                      <w:szCs w:val="16"/>
                    </w:rPr>
                  </w:pPr>
                  <w:r w:rsidRPr="00922AEF">
                    <w:rPr>
                      <w:rFonts w:cs="Calibri"/>
                      <w:sz w:val="16"/>
                      <w:szCs w:val="16"/>
                    </w:rPr>
                    <w:t>8.000</w:t>
                  </w:r>
                </w:p>
              </w:tc>
              <w:tc>
                <w:tcPr>
                  <w:tcW w:w="1315" w:type="dxa"/>
                </w:tcPr>
                <w:p w:rsidRPr="00922AEF" w:rsidR="0061628A" w:rsidP="0061628A" w14:paraId="5909974D" w14:textId="77777777">
                  <w:pPr>
                    <w:rPr>
                      <w:sz w:val="16"/>
                      <w:szCs w:val="16"/>
                    </w:rPr>
                  </w:pPr>
                  <w:r w:rsidRPr="00922AEF">
                    <w:rPr>
                      <w:rFonts w:cs="Calibri"/>
                      <w:sz w:val="16"/>
                      <w:szCs w:val="16"/>
                    </w:rPr>
                    <w:t>€ 103.480.000</w:t>
                  </w:r>
                </w:p>
              </w:tc>
              <w:tc>
                <w:tcPr>
                  <w:tcW w:w="1164" w:type="dxa"/>
                </w:tcPr>
                <w:p w:rsidRPr="00922AEF" w:rsidR="0061628A" w:rsidP="0061628A" w14:paraId="5FFE3C1D" w14:textId="77777777">
                  <w:pPr>
                    <w:rPr>
                      <w:sz w:val="16"/>
                      <w:szCs w:val="16"/>
                    </w:rPr>
                  </w:pPr>
                  <w:r w:rsidRPr="00922AEF">
                    <w:rPr>
                      <w:rFonts w:cs="Calibri"/>
                      <w:sz w:val="16"/>
                      <w:szCs w:val="16"/>
                    </w:rPr>
                    <w:t>€ 184.000.000</w:t>
                  </w:r>
                </w:p>
              </w:tc>
              <w:tc>
                <w:tcPr>
                  <w:tcW w:w="1995" w:type="dxa"/>
                </w:tcPr>
                <w:p w:rsidRPr="00922AEF" w:rsidR="0061628A" w:rsidP="0061628A" w14:paraId="375507E4" w14:textId="77777777">
                  <w:pPr>
                    <w:rPr>
                      <w:sz w:val="16"/>
                      <w:szCs w:val="16"/>
                    </w:rPr>
                  </w:pPr>
                  <w:r w:rsidRPr="00922AEF">
                    <w:rPr>
                      <w:rFonts w:cs="Calibri"/>
                      <w:sz w:val="16"/>
                      <w:szCs w:val="16"/>
                    </w:rPr>
                    <w:t>HOV-verbinding</w:t>
                  </w:r>
                </w:p>
              </w:tc>
            </w:tr>
            <w:tr w:rsidTr="009935CA" w14:paraId="1695BF20" w14:textId="77777777">
              <w:tblPrEx>
                <w:tblW w:w="8656" w:type="dxa"/>
                <w:tblInd w:w="0" w:type="dxa"/>
                <w:tblLook w:val="04A0"/>
              </w:tblPrEx>
              <w:trPr>
                <w:trHeight w:val="20"/>
              </w:trPr>
              <w:tc>
                <w:tcPr>
                  <w:tcW w:w="1370" w:type="dxa"/>
                  <w:hideMark/>
                </w:tcPr>
                <w:p w:rsidRPr="00922AEF" w:rsidR="0061628A" w:rsidP="0061628A" w14:paraId="65EBAE5C" w14:textId="77777777">
                  <w:pPr>
                    <w:rPr>
                      <w:rFonts w:cs="Calibri"/>
                      <w:sz w:val="16"/>
                      <w:szCs w:val="16"/>
                    </w:rPr>
                  </w:pPr>
                  <w:r w:rsidRPr="00922AEF">
                    <w:rPr>
                      <w:rFonts w:cs="Calibri"/>
                      <w:sz w:val="16"/>
                      <w:szCs w:val="16"/>
                    </w:rPr>
                    <w:t>De Ronde Venen</w:t>
                  </w:r>
                </w:p>
              </w:tc>
              <w:tc>
                <w:tcPr>
                  <w:tcW w:w="1876" w:type="dxa"/>
                </w:tcPr>
                <w:p w:rsidRPr="00922AEF" w:rsidR="0061628A" w:rsidP="0061628A" w14:paraId="1D8CFD3B" w14:textId="77777777">
                  <w:pPr>
                    <w:rPr>
                      <w:sz w:val="16"/>
                      <w:szCs w:val="16"/>
                    </w:rPr>
                  </w:pPr>
                  <w:r w:rsidRPr="00922AEF">
                    <w:rPr>
                      <w:rFonts w:cs="Calibri"/>
                      <w:sz w:val="16"/>
                      <w:szCs w:val="16"/>
                    </w:rPr>
                    <w:t>Woningbouw De Ronde</w:t>
                  </w:r>
                  <w:r w:rsidRPr="00922AEF">
                    <w:rPr>
                      <w:rFonts w:cs="Calibri"/>
                      <w:sz w:val="16"/>
                      <w:szCs w:val="16"/>
                    </w:rPr>
                    <w:br/>
                    <w:t>Venen 2025-2033</w:t>
                  </w:r>
                </w:p>
              </w:tc>
              <w:tc>
                <w:tcPr>
                  <w:tcW w:w="936" w:type="dxa"/>
                </w:tcPr>
                <w:p w:rsidRPr="00922AEF" w:rsidR="0061628A" w:rsidP="0061628A" w14:paraId="44DB72EF" w14:textId="77777777">
                  <w:pPr>
                    <w:rPr>
                      <w:sz w:val="16"/>
                      <w:szCs w:val="16"/>
                    </w:rPr>
                  </w:pPr>
                  <w:r w:rsidRPr="00922AEF">
                    <w:rPr>
                      <w:rFonts w:cs="Calibri"/>
                      <w:sz w:val="16"/>
                      <w:szCs w:val="16"/>
                    </w:rPr>
                    <w:t>2.173</w:t>
                  </w:r>
                </w:p>
              </w:tc>
              <w:tc>
                <w:tcPr>
                  <w:tcW w:w="1315" w:type="dxa"/>
                </w:tcPr>
                <w:p w:rsidRPr="00922AEF" w:rsidR="0061628A" w:rsidP="0061628A" w14:paraId="31D52500" w14:textId="77777777">
                  <w:pPr>
                    <w:rPr>
                      <w:sz w:val="16"/>
                      <w:szCs w:val="16"/>
                    </w:rPr>
                  </w:pPr>
                  <w:r w:rsidRPr="00922AEF">
                    <w:rPr>
                      <w:rFonts w:cs="Calibri"/>
                      <w:sz w:val="16"/>
                      <w:szCs w:val="16"/>
                    </w:rPr>
                    <w:t>€ 12.485.254</w:t>
                  </w:r>
                </w:p>
              </w:tc>
              <w:tc>
                <w:tcPr>
                  <w:tcW w:w="1164" w:type="dxa"/>
                </w:tcPr>
                <w:p w:rsidRPr="00922AEF" w:rsidR="0061628A" w:rsidP="0061628A" w14:paraId="58F9333C" w14:textId="77777777">
                  <w:pPr>
                    <w:rPr>
                      <w:sz w:val="16"/>
                      <w:szCs w:val="16"/>
                    </w:rPr>
                  </w:pPr>
                  <w:r w:rsidRPr="00922AEF">
                    <w:rPr>
                      <w:rFonts w:cs="Calibri"/>
                      <w:sz w:val="16"/>
                      <w:szCs w:val="16"/>
                    </w:rPr>
                    <w:t>€ 8.506.380</w:t>
                  </w:r>
                </w:p>
              </w:tc>
              <w:tc>
                <w:tcPr>
                  <w:tcW w:w="1995" w:type="dxa"/>
                </w:tcPr>
                <w:p w:rsidRPr="00922AEF" w:rsidR="0061628A" w:rsidP="0061628A" w14:paraId="6B2F7483" w14:textId="77777777">
                  <w:pPr>
                    <w:rPr>
                      <w:sz w:val="16"/>
                      <w:szCs w:val="16"/>
                    </w:rPr>
                  </w:pPr>
                  <w:r w:rsidRPr="00922AEF">
                    <w:rPr>
                      <w:rFonts w:cs="Calibri"/>
                      <w:sz w:val="16"/>
                      <w:szCs w:val="16"/>
                    </w:rPr>
                    <w:t>Herinrichting ontsluitingsweg tot erftoegangsweg, realisatie van bushalte, herinrichten van bushalte, realisatie van mobiliteitshub, verbreding ontsluitingsweg, verbreding van kruising</w:t>
                  </w:r>
                </w:p>
              </w:tc>
            </w:tr>
            <w:tr w:rsidTr="009935CA" w14:paraId="32796E36" w14:textId="77777777">
              <w:tblPrEx>
                <w:tblW w:w="8656" w:type="dxa"/>
                <w:tblInd w:w="0" w:type="dxa"/>
                <w:tblLook w:val="04A0"/>
              </w:tblPrEx>
              <w:trPr>
                <w:trHeight w:val="20"/>
              </w:trPr>
              <w:tc>
                <w:tcPr>
                  <w:tcW w:w="1370" w:type="dxa"/>
                  <w:hideMark/>
                </w:tcPr>
                <w:p w:rsidRPr="00922AEF" w:rsidR="0061628A" w:rsidP="0061628A" w14:paraId="09D1FA15" w14:textId="77777777">
                  <w:pPr>
                    <w:rPr>
                      <w:rFonts w:cs="Calibri"/>
                      <w:sz w:val="16"/>
                      <w:szCs w:val="16"/>
                    </w:rPr>
                  </w:pPr>
                  <w:r w:rsidRPr="00922AEF">
                    <w:rPr>
                      <w:rFonts w:cs="Calibri"/>
                      <w:sz w:val="16"/>
                      <w:szCs w:val="16"/>
                    </w:rPr>
                    <w:t>Dijk en Waard</w:t>
                  </w:r>
                </w:p>
              </w:tc>
              <w:tc>
                <w:tcPr>
                  <w:tcW w:w="1876" w:type="dxa"/>
                </w:tcPr>
                <w:p w:rsidRPr="00922AEF" w:rsidR="0061628A" w:rsidP="0061628A" w14:paraId="5773A7BB" w14:textId="77777777">
                  <w:pPr>
                    <w:rPr>
                      <w:sz w:val="16"/>
                      <w:szCs w:val="16"/>
                    </w:rPr>
                  </w:pPr>
                  <w:r w:rsidRPr="00922AEF">
                    <w:rPr>
                      <w:rFonts w:cs="Calibri"/>
                      <w:sz w:val="16"/>
                      <w:szCs w:val="16"/>
                    </w:rPr>
                    <w:t>OV-knoop Dijk en Waard</w:t>
                  </w:r>
                </w:p>
              </w:tc>
              <w:tc>
                <w:tcPr>
                  <w:tcW w:w="936" w:type="dxa"/>
                </w:tcPr>
                <w:p w:rsidRPr="00922AEF" w:rsidR="0061628A" w:rsidP="0061628A" w14:paraId="0AF6A24E" w14:textId="77777777">
                  <w:pPr>
                    <w:rPr>
                      <w:sz w:val="16"/>
                      <w:szCs w:val="16"/>
                    </w:rPr>
                  </w:pPr>
                  <w:r w:rsidRPr="00922AEF">
                    <w:rPr>
                      <w:rFonts w:cs="Calibri"/>
                      <w:sz w:val="16"/>
                      <w:szCs w:val="16"/>
                    </w:rPr>
                    <w:t>6.740</w:t>
                  </w:r>
                </w:p>
              </w:tc>
              <w:tc>
                <w:tcPr>
                  <w:tcW w:w="1315" w:type="dxa"/>
                </w:tcPr>
                <w:p w:rsidRPr="00922AEF" w:rsidR="0061628A" w:rsidP="0061628A" w14:paraId="32BD36FF" w14:textId="77777777">
                  <w:pPr>
                    <w:rPr>
                      <w:sz w:val="16"/>
                      <w:szCs w:val="16"/>
                    </w:rPr>
                  </w:pPr>
                  <w:r w:rsidRPr="00922AEF">
                    <w:rPr>
                      <w:rFonts w:cs="Calibri"/>
                      <w:sz w:val="16"/>
                      <w:szCs w:val="16"/>
                    </w:rPr>
                    <w:t>€ 38.503.562</w:t>
                  </w:r>
                </w:p>
              </w:tc>
              <w:tc>
                <w:tcPr>
                  <w:tcW w:w="1164" w:type="dxa"/>
                </w:tcPr>
                <w:p w:rsidRPr="00922AEF" w:rsidR="0061628A" w:rsidP="0061628A" w14:paraId="1FF39201" w14:textId="77777777">
                  <w:pPr>
                    <w:rPr>
                      <w:sz w:val="16"/>
                      <w:szCs w:val="16"/>
                    </w:rPr>
                  </w:pPr>
                  <w:r w:rsidRPr="00922AEF">
                    <w:rPr>
                      <w:rFonts w:cs="Calibri"/>
                      <w:sz w:val="16"/>
                      <w:szCs w:val="16"/>
                    </w:rPr>
                    <w:t>€ 20.836.871</w:t>
                  </w:r>
                </w:p>
              </w:tc>
              <w:tc>
                <w:tcPr>
                  <w:tcW w:w="1995" w:type="dxa"/>
                </w:tcPr>
                <w:p w:rsidRPr="00922AEF" w:rsidR="0061628A" w:rsidP="0061628A" w14:paraId="5E350122" w14:textId="77777777">
                  <w:pPr>
                    <w:rPr>
                      <w:sz w:val="16"/>
                      <w:szCs w:val="16"/>
                    </w:rPr>
                  </w:pPr>
                  <w:r w:rsidRPr="00922AEF">
                    <w:rPr>
                      <w:rFonts w:cs="Calibri"/>
                      <w:sz w:val="16"/>
                      <w:szCs w:val="16"/>
                    </w:rPr>
                    <w:t>Aanleg fiets- en voetgangerstunnel (spoor), opheffen gelijkvloerse spoorkruising, aanpassing ondergrondse infrastructuur, aanleg van fietsparkeervoorzieningen, aanleg van busstation</w:t>
                  </w:r>
                </w:p>
              </w:tc>
            </w:tr>
            <w:tr w:rsidTr="009935CA" w14:paraId="255DFCB0" w14:textId="77777777">
              <w:tblPrEx>
                <w:tblW w:w="8656" w:type="dxa"/>
                <w:tblInd w:w="0" w:type="dxa"/>
                <w:tblLook w:val="04A0"/>
              </w:tblPrEx>
              <w:trPr>
                <w:trHeight w:val="20"/>
              </w:trPr>
              <w:tc>
                <w:tcPr>
                  <w:tcW w:w="1370" w:type="dxa"/>
                  <w:hideMark/>
                </w:tcPr>
                <w:p w:rsidRPr="00922AEF" w:rsidR="0061628A" w:rsidP="0061628A" w14:paraId="7785E6EE" w14:textId="77777777">
                  <w:pPr>
                    <w:rPr>
                      <w:rFonts w:cs="Calibri"/>
                      <w:sz w:val="16"/>
                      <w:szCs w:val="16"/>
                    </w:rPr>
                  </w:pPr>
                  <w:r w:rsidRPr="00922AEF">
                    <w:rPr>
                      <w:rFonts w:cs="Calibri"/>
                      <w:sz w:val="16"/>
                      <w:szCs w:val="16"/>
                    </w:rPr>
                    <w:t>Dronten</w:t>
                  </w:r>
                </w:p>
              </w:tc>
              <w:tc>
                <w:tcPr>
                  <w:tcW w:w="1876" w:type="dxa"/>
                </w:tcPr>
                <w:p w:rsidRPr="00922AEF" w:rsidR="0061628A" w:rsidP="0061628A" w14:paraId="66F92614" w14:textId="77777777">
                  <w:pPr>
                    <w:rPr>
                      <w:sz w:val="16"/>
                      <w:szCs w:val="16"/>
                    </w:rPr>
                  </w:pPr>
                  <w:r w:rsidRPr="00922AEF">
                    <w:rPr>
                      <w:rFonts w:cs="Calibri"/>
                      <w:sz w:val="16"/>
                      <w:szCs w:val="16"/>
                    </w:rPr>
                    <w:t>Uitleggebied Zuid: veilig en</w:t>
                  </w:r>
                  <w:r w:rsidRPr="00922AEF">
                    <w:rPr>
                      <w:rFonts w:cs="Calibri"/>
                      <w:sz w:val="16"/>
                      <w:szCs w:val="16"/>
                    </w:rPr>
                    <w:br/>
                    <w:t>bereikbaar</w:t>
                  </w:r>
                </w:p>
              </w:tc>
              <w:tc>
                <w:tcPr>
                  <w:tcW w:w="936" w:type="dxa"/>
                </w:tcPr>
                <w:p w:rsidRPr="00922AEF" w:rsidR="0061628A" w:rsidP="0061628A" w14:paraId="7F36C393" w14:textId="77777777">
                  <w:pPr>
                    <w:rPr>
                      <w:sz w:val="16"/>
                      <w:szCs w:val="16"/>
                    </w:rPr>
                  </w:pPr>
                  <w:r w:rsidRPr="00922AEF">
                    <w:rPr>
                      <w:rFonts w:cs="Calibri"/>
                      <w:sz w:val="16"/>
                      <w:szCs w:val="16"/>
                    </w:rPr>
                    <w:t>1.100</w:t>
                  </w:r>
                </w:p>
              </w:tc>
              <w:tc>
                <w:tcPr>
                  <w:tcW w:w="1315" w:type="dxa"/>
                </w:tcPr>
                <w:p w:rsidRPr="00922AEF" w:rsidR="0061628A" w:rsidP="0061628A" w14:paraId="72F9D755" w14:textId="77777777">
                  <w:pPr>
                    <w:rPr>
                      <w:sz w:val="16"/>
                      <w:szCs w:val="16"/>
                    </w:rPr>
                  </w:pPr>
                  <w:r w:rsidRPr="00922AEF">
                    <w:rPr>
                      <w:rFonts w:cs="Calibri"/>
                      <w:sz w:val="16"/>
                      <w:szCs w:val="16"/>
                    </w:rPr>
                    <w:t>€ 5.901.594</w:t>
                  </w:r>
                </w:p>
              </w:tc>
              <w:tc>
                <w:tcPr>
                  <w:tcW w:w="1164" w:type="dxa"/>
                </w:tcPr>
                <w:p w:rsidRPr="00922AEF" w:rsidR="0061628A" w:rsidP="0061628A" w14:paraId="75C6DEAC" w14:textId="77777777">
                  <w:pPr>
                    <w:rPr>
                      <w:sz w:val="16"/>
                      <w:szCs w:val="16"/>
                    </w:rPr>
                  </w:pPr>
                  <w:r w:rsidRPr="00922AEF">
                    <w:rPr>
                      <w:rFonts w:cs="Calibri"/>
                      <w:sz w:val="16"/>
                      <w:szCs w:val="16"/>
                    </w:rPr>
                    <w:t>€ 3.193.750</w:t>
                  </w:r>
                </w:p>
              </w:tc>
              <w:tc>
                <w:tcPr>
                  <w:tcW w:w="1995" w:type="dxa"/>
                </w:tcPr>
                <w:p w:rsidRPr="00922AEF" w:rsidR="0061628A" w:rsidP="0061628A" w14:paraId="695963FE" w14:textId="77777777">
                  <w:pPr>
                    <w:rPr>
                      <w:sz w:val="16"/>
                      <w:szCs w:val="16"/>
                    </w:rPr>
                  </w:pPr>
                  <w:r w:rsidRPr="00922AEF">
                    <w:rPr>
                      <w:rFonts w:cs="Calibri"/>
                      <w:sz w:val="16"/>
                      <w:szCs w:val="16"/>
                    </w:rPr>
                    <w:t>Aanleg fiets- en voetgangerstunnel</w:t>
                  </w:r>
                </w:p>
              </w:tc>
            </w:tr>
            <w:tr w:rsidTr="009935CA" w14:paraId="7D242B7C" w14:textId="77777777">
              <w:tblPrEx>
                <w:tblW w:w="8656" w:type="dxa"/>
                <w:tblInd w:w="0" w:type="dxa"/>
                <w:tblLook w:val="04A0"/>
              </w:tblPrEx>
              <w:trPr>
                <w:trHeight w:val="20"/>
              </w:trPr>
              <w:tc>
                <w:tcPr>
                  <w:tcW w:w="1370" w:type="dxa"/>
                  <w:hideMark/>
                </w:tcPr>
                <w:p w:rsidRPr="00922AEF" w:rsidR="0061628A" w:rsidP="0061628A" w14:paraId="21B3B79E" w14:textId="77777777">
                  <w:pPr>
                    <w:rPr>
                      <w:rFonts w:cs="Calibri"/>
                      <w:sz w:val="16"/>
                      <w:szCs w:val="16"/>
                    </w:rPr>
                  </w:pPr>
                  <w:r w:rsidRPr="00922AEF">
                    <w:rPr>
                      <w:rFonts w:cs="Calibri"/>
                      <w:sz w:val="16"/>
                      <w:szCs w:val="16"/>
                    </w:rPr>
                    <w:t>Dronten</w:t>
                  </w:r>
                </w:p>
              </w:tc>
              <w:tc>
                <w:tcPr>
                  <w:tcW w:w="1876" w:type="dxa"/>
                </w:tcPr>
                <w:p w:rsidRPr="00922AEF" w:rsidR="0061628A" w:rsidP="0061628A" w14:paraId="0697ED69" w14:textId="77777777">
                  <w:pPr>
                    <w:rPr>
                      <w:sz w:val="16"/>
                      <w:szCs w:val="16"/>
                    </w:rPr>
                  </w:pPr>
                  <w:r w:rsidRPr="00922AEF">
                    <w:rPr>
                      <w:rFonts w:cs="Calibri"/>
                      <w:sz w:val="16"/>
                      <w:szCs w:val="16"/>
                    </w:rPr>
                    <w:t>Woningbouwproject Swifterbant Zuid</w:t>
                  </w:r>
                </w:p>
              </w:tc>
              <w:tc>
                <w:tcPr>
                  <w:tcW w:w="936" w:type="dxa"/>
                </w:tcPr>
                <w:p w:rsidRPr="00922AEF" w:rsidR="0061628A" w:rsidP="0061628A" w14:paraId="0D7B93CA" w14:textId="77777777">
                  <w:pPr>
                    <w:rPr>
                      <w:sz w:val="16"/>
                      <w:szCs w:val="16"/>
                    </w:rPr>
                  </w:pPr>
                  <w:r w:rsidRPr="00922AEF">
                    <w:rPr>
                      <w:rFonts w:cs="Calibri"/>
                      <w:sz w:val="16"/>
                      <w:szCs w:val="16"/>
                    </w:rPr>
                    <w:t>757</w:t>
                  </w:r>
                </w:p>
              </w:tc>
              <w:tc>
                <w:tcPr>
                  <w:tcW w:w="1315" w:type="dxa"/>
                </w:tcPr>
                <w:p w:rsidRPr="00922AEF" w:rsidR="0061628A" w:rsidP="0061628A" w14:paraId="58E15A2A" w14:textId="77777777">
                  <w:pPr>
                    <w:rPr>
                      <w:sz w:val="16"/>
                      <w:szCs w:val="16"/>
                    </w:rPr>
                  </w:pPr>
                  <w:r w:rsidRPr="00922AEF">
                    <w:rPr>
                      <w:rFonts w:cs="Calibri"/>
                      <w:sz w:val="16"/>
                      <w:szCs w:val="16"/>
                    </w:rPr>
                    <w:t>€ 5.174.614</w:t>
                  </w:r>
                </w:p>
              </w:tc>
              <w:tc>
                <w:tcPr>
                  <w:tcW w:w="1164" w:type="dxa"/>
                </w:tcPr>
                <w:p w:rsidRPr="00922AEF" w:rsidR="0061628A" w:rsidP="0061628A" w14:paraId="584CD66C" w14:textId="77777777">
                  <w:pPr>
                    <w:rPr>
                      <w:sz w:val="16"/>
                      <w:szCs w:val="16"/>
                    </w:rPr>
                  </w:pPr>
                  <w:r w:rsidRPr="00922AEF">
                    <w:rPr>
                      <w:rFonts w:cs="Calibri"/>
                      <w:sz w:val="16"/>
                      <w:szCs w:val="16"/>
                    </w:rPr>
                    <w:t>€ 2.861.600</w:t>
                  </w:r>
                </w:p>
              </w:tc>
              <w:tc>
                <w:tcPr>
                  <w:tcW w:w="1995" w:type="dxa"/>
                </w:tcPr>
                <w:p w:rsidRPr="00922AEF" w:rsidR="0061628A" w:rsidP="0061628A" w14:paraId="16CACCEC" w14:textId="77777777">
                  <w:pPr>
                    <w:rPr>
                      <w:sz w:val="16"/>
                      <w:szCs w:val="16"/>
                    </w:rPr>
                  </w:pPr>
                  <w:r w:rsidRPr="00922AEF">
                    <w:rPr>
                      <w:rFonts w:cs="Calibri"/>
                      <w:sz w:val="16"/>
                      <w:szCs w:val="16"/>
                    </w:rPr>
                    <w:t>Herinrichting ontsluitingswegen, aanleg rotonde, herinrichting rotonde, aanleg fietspad</w:t>
                  </w:r>
                </w:p>
              </w:tc>
            </w:tr>
            <w:tr w:rsidTr="009935CA" w14:paraId="197A2962" w14:textId="77777777">
              <w:tblPrEx>
                <w:tblW w:w="8656" w:type="dxa"/>
                <w:tblInd w:w="0" w:type="dxa"/>
                <w:tblLook w:val="04A0"/>
              </w:tblPrEx>
              <w:trPr>
                <w:trHeight w:val="20"/>
              </w:trPr>
              <w:tc>
                <w:tcPr>
                  <w:tcW w:w="1370" w:type="dxa"/>
                  <w:hideMark/>
                </w:tcPr>
                <w:p w:rsidRPr="00922AEF" w:rsidR="0061628A" w:rsidP="0061628A" w14:paraId="6FA52543" w14:textId="77777777">
                  <w:pPr>
                    <w:rPr>
                      <w:rFonts w:cs="Calibri"/>
                      <w:sz w:val="16"/>
                      <w:szCs w:val="16"/>
                    </w:rPr>
                  </w:pPr>
                  <w:r w:rsidRPr="00922AEF">
                    <w:rPr>
                      <w:rFonts w:cs="Calibri"/>
                      <w:sz w:val="16"/>
                      <w:szCs w:val="16"/>
                    </w:rPr>
                    <w:t>Eemnes</w:t>
                  </w:r>
                </w:p>
              </w:tc>
              <w:tc>
                <w:tcPr>
                  <w:tcW w:w="1876" w:type="dxa"/>
                </w:tcPr>
                <w:p w:rsidRPr="00922AEF" w:rsidR="0061628A" w:rsidP="0061628A" w14:paraId="2D9366DD" w14:textId="77777777">
                  <w:pPr>
                    <w:rPr>
                      <w:sz w:val="16"/>
                      <w:szCs w:val="16"/>
                    </w:rPr>
                  </w:pPr>
                  <w:r w:rsidRPr="00922AEF">
                    <w:rPr>
                      <w:rFonts w:cs="Calibri"/>
                      <w:sz w:val="16"/>
                      <w:szCs w:val="16"/>
                    </w:rPr>
                    <w:t>Bovenplanse infra- &amp; mobiliteitsmaatregelen</w:t>
                  </w:r>
                  <w:r w:rsidRPr="00922AEF">
                    <w:rPr>
                      <w:rFonts w:cs="Calibri"/>
                      <w:sz w:val="16"/>
                      <w:szCs w:val="16"/>
                    </w:rPr>
                    <w:br/>
                    <w:t>Zuidpolder Eemnes</w:t>
                  </w:r>
                </w:p>
              </w:tc>
              <w:tc>
                <w:tcPr>
                  <w:tcW w:w="936" w:type="dxa"/>
                </w:tcPr>
                <w:p w:rsidRPr="00922AEF" w:rsidR="0061628A" w:rsidP="0061628A" w14:paraId="0ADDF8F1" w14:textId="77777777">
                  <w:pPr>
                    <w:rPr>
                      <w:sz w:val="16"/>
                      <w:szCs w:val="16"/>
                    </w:rPr>
                  </w:pPr>
                  <w:r w:rsidRPr="00922AEF">
                    <w:rPr>
                      <w:rFonts w:cs="Calibri"/>
                      <w:sz w:val="16"/>
                      <w:szCs w:val="16"/>
                    </w:rPr>
                    <w:t>510</w:t>
                  </w:r>
                </w:p>
              </w:tc>
              <w:tc>
                <w:tcPr>
                  <w:tcW w:w="1315" w:type="dxa"/>
                </w:tcPr>
                <w:p w:rsidRPr="00922AEF" w:rsidR="0061628A" w:rsidP="0061628A" w14:paraId="00A3E210" w14:textId="77777777">
                  <w:pPr>
                    <w:rPr>
                      <w:sz w:val="16"/>
                      <w:szCs w:val="16"/>
                    </w:rPr>
                  </w:pPr>
                  <w:r w:rsidRPr="00922AEF">
                    <w:rPr>
                      <w:rFonts w:cs="Calibri"/>
                      <w:sz w:val="16"/>
                      <w:szCs w:val="16"/>
                    </w:rPr>
                    <w:t>€ 3.432.750</w:t>
                  </w:r>
                </w:p>
              </w:tc>
              <w:tc>
                <w:tcPr>
                  <w:tcW w:w="1164" w:type="dxa"/>
                </w:tcPr>
                <w:p w:rsidRPr="00922AEF" w:rsidR="0061628A" w:rsidP="0061628A" w14:paraId="2A242F3E" w14:textId="77777777">
                  <w:pPr>
                    <w:rPr>
                      <w:sz w:val="16"/>
                      <w:szCs w:val="16"/>
                    </w:rPr>
                  </w:pPr>
                  <w:r w:rsidRPr="00922AEF">
                    <w:rPr>
                      <w:rFonts w:cs="Calibri"/>
                      <w:sz w:val="16"/>
                      <w:szCs w:val="16"/>
                    </w:rPr>
                    <w:t>€ 10.544.525</w:t>
                  </w:r>
                </w:p>
              </w:tc>
              <w:tc>
                <w:tcPr>
                  <w:tcW w:w="1995" w:type="dxa"/>
                </w:tcPr>
                <w:p w:rsidRPr="00922AEF" w:rsidR="0061628A" w:rsidP="0061628A" w14:paraId="4935368A" w14:textId="77777777">
                  <w:pPr>
                    <w:rPr>
                      <w:sz w:val="16"/>
                      <w:szCs w:val="16"/>
                    </w:rPr>
                  </w:pPr>
                  <w:r w:rsidRPr="00922AEF">
                    <w:rPr>
                      <w:rFonts w:cs="Calibri"/>
                      <w:sz w:val="16"/>
                      <w:szCs w:val="16"/>
                    </w:rPr>
                    <w:t>Aanleg ontsluitingsweg, aanleg fietspad, aanleg rotonde.</w:t>
                  </w:r>
                </w:p>
              </w:tc>
            </w:tr>
            <w:tr w:rsidTr="009935CA" w14:paraId="5BA1956D" w14:textId="77777777">
              <w:tblPrEx>
                <w:tblW w:w="8656" w:type="dxa"/>
                <w:tblInd w:w="0" w:type="dxa"/>
                <w:tblLook w:val="04A0"/>
              </w:tblPrEx>
              <w:trPr>
                <w:trHeight w:val="20"/>
              </w:trPr>
              <w:tc>
                <w:tcPr>
                  <w:tcW w:w="1370" w:type="dxa"/>
                  <w:hideMark/>
                </w:tcPr>
                <w:p w:rsidRPr="00922AEF" w:rsidR="0061628A" w:rsidP="0061628A" w14:paraId="7E925D47" w14:textId="77777777">
                  <w:pPr>
                    <w:rPr>
                      <w:rFonts w:cs="Calibri"/>
                      <w:sz w:val="16"/>
                      <w:szCs w:val="16"/>
                    </w:rPr>
                  </w:pPr>
                  <w:r w:rsidRPr="00922AEF">
                    <w:rPr>
                      <w:rFonts w:cs="Calibri"/>
                      <w:sz w:val="16"/>
                      <w:szCs w:val="16"/>
                    </w:rPr>
                    <w:t>Gooische meren</w:t>
                  </w:r>
                </w:p>
              </w:tc>
              <w:tc>
                <w:tcPr>
                  <w:tcW w:w="1876" w:type="dxa"/>
                </w:tcPr>
                <w:p w:rsidRPr="00922AEF" w:rsidR="0061628A" w:rsidP="0061628A" w14:paraId="50117456" w14:textId="77777777">
                  <w:pPr>
                    <w:rPr>
                      <w:sz w:val="16"/>
                      <w:szCs w:val="16"/>
                    </w:rPr>
                  </w:pPr>
                  <w:r w:rsidRPr="00922AEF">
                    <w:rPr>
                      <w:rFonts w:cs="Calibri"/>
                      <w:sz w:val="16"/>
                      <w:szCs w:val="16"/>
                    </w:rPr>
                    <w:t>Gooise Meren - Gebiedsontwikkeling Muiden</w:t>
                  </w:r>
                  <w:r w:rsidRPr="00922AEF">
                    <w:rPr>
                      <w:rFonts w:cs="Calibri"/>
                      <w:sz w:val="16"/>
                      <w:szCs w:val="16"/>
                    </w:rPr>
                    <w:br/>
                    <w:t>Noordwest</w:t>
                  </w:r>
                </w:p>
              </w:tc>
              <w:tc>
                <w:tcPr>
                  <w:tcW w:w="936" w:type="dxa"/>
                </w:tcPr>
                <w:p w:rsidRPr="00922AEF" w:rsidR="0061628A" w:rsidP="0061628A" w14:paraId="48A8F7B6" w14:textId="77777777">
                  <w:pPr>
                    <w:rPr>
                      <w:sz w:val="16"/>
                      <w:szCs w:val="16"/>
                    </w:rPr>
                  </w:pPr>
                  <w:r w:rsidRPr="00922AEF">
                    <w:rPr>
                      <w:rFonts w:cs="Calibri"/>
                      <w:sz w:val="16"/>
                      <w:szCs w:val="16"/>
                    </w:rPr>
                    <w:t>215</w:t>
                  </w:r>
                </w:p>
              </w:tc>
              <w:tc>
                <w:tcPr>
                  <w:tcW w:w="1315" w:type="dxa"/>
                </w:tcPr>
                <w:p w:rsidRPr="00922AEF" w:rsidR="0061628A" w:rsidP="0061628A" w14:paraId="1533CD3F" w14:textId="77777777">
                  <w:pPr>
                    <w:rPr>
                      <w:sz w:val="16"/>
                      <w:szCs w:val="16"/>
                    </w:rPr>
                  </w:pPr>
                  <w:r w:rsidRPr="00922AEF">
                    <w:rPr>
                      <w:rFonts w:cs="Calibri"/>
                      <w:sz w:val="16"/>
                      <w:szCs w:val="16"/>
                    </w:rPr>
                    <w:t>€ 2.487.500</w:t>
                  </w:r>
                </w:p>
              </w:tc>
              <w:tc>
                <w:tcPr>
                  <w:tcW w:w="1164" w:type="dxa"/>
                </w:tcPr>
                <w:p w:rsidRPr="00922AEF" w:rsidR="0061628A" w:rsidP="0061628A" w14:paraId="7F55B257" w14:textId="77777777">
                  <w:pPr>
                    <w:rPr>
                      <w:sz w:val="16"/>
                      <w:szCs w:val="16"/>
                    </w:rPr>
                  </w:pPr>
                  <w:r w:rsidRPr="00922AEF">
                    <w:rPr>
                      <w:rFonts w:cs="Calibri"/>
                      <w:sz w:val="16"/>
                      <w:szCs w:val="16"/>
                    </w:rPr>
                    <w:t>€ 5.002.000</w:t>
                  </w:r>
                </w:p>
              </w:tc>
              <w:tc>
                <w:tcPr>
                  <w:tcW w:w="1995" w:type="dxa"/>
                </w:tcPr>
                <w:p w:rsidRPr="00922AEF" w:rsidR="0061628A" w:rsidP="0061628A" w14:paraId="15A7A640" w14:textId="77777777">
                  <w:pPr>
                    <w:rPr>
                      <w:sz w:val="16"/>
                      <w:szCs w:val="16"/>
                    </w:rPr>
                  </w:pPr>
                  <w:r w:rsidRPr="00922AEF">
                    <w:rPr>
                      <w:rFonts w:cs="Calibri"/>
                      <w:sz w:val="16"/>
                      <w:szCs w:val="16"/>
                    </w:rPr>
                    <w:t>Aanleg auto, fiets en voetgangersbrug</w:t>
                  </w:r>
                </w:p>
              </w:tc>
            </w:tr>
            <w:tr w:rsidTr="009935CA" w14:paraId="7CA1621E" w14:textId="77777777">
              <w:tblPrEx>
                <w:tblW w:w="8656" w:type="dxa"/>
                <w:tblInd w:w="0" w:type="dxa"/>
                <w:tblLook w:val="04A0"/>
              </w:tblPrEx>
              <w:trPr>
                <w:trHeight w:val="20"/>
              </w:trPr>
              <w:tc>
                <w:tcPr>
                  <w:tcW w:w="1370" w:type="dxa"/>
                  <w:hideMark/>
                </w:tcPr>
                <w:p w:rsidRPr="00922AEF" w:rsidR="0061628A" w:rsidP="0061628A" w14:paraId="60EE6EEE" w14:textId="77777777">
                  <w:pPr>
                    <w:rPr>
                      <w:rFonts w:cs="Calibri"/>
                      <w:sz w:val="16"/>
                      <w:szCs w:val="16"/>
                    </w:rPr>
                  </w:pPr>
                  <w:r w:rsidRPr="00922AEF">
                    <w:rPr>
                      <w:rFonts w:cs="Calibri"/>
                      <w:sz w:val="16"/>
                      <w:szCs w:val="16"/>
                    </w:rPr>
                    <w:t>Haarlem</w:t>
                  </w:r>
                </w:p>
              </w:tc>
              <w:tc>
                <w:tcPr>
                  <w:tcW w:w="1876" w:type="dxa"/>
                </w:tcPr>
                <w:p w:rsidRPr="00922AEF" w:rsidR="0061628A" w:rsidP="0061628A" w14:paraId="362295BA" w14:textId="77777777">
                  <w:pPr>
                    <w:rPr>
                      <w:sz w:val="16"/>
                      <w:szCs w:val="16"/>
                    </w:rPr>
                  </w:pPr>
                  <w:r w:rsidRPr="00922AEF">
                    <w:rPr>
                      <w:rFonts w:cs="Calibri"/>
                      <w:sz w:val="16"/>
                      <w:szCs w:val="16"/>
                    </w:rPr>
                    <w:t>Haarlem Oostpoort: Hart voor Oostpoort (WBI) +</w:t>
                  </w:r>
                  <w:r w:rsidRPr="00922AEF">
                    <w:rPr>
                      <w:rFonts w:cs="Calibri"/>
                      <w:sz w:val="16"/>
                      <w:szCs w:val="16"/>
                    </w:rPr>
                    <w:br/>
                    <w:t>Beatrixplein (buiten WBI)</w:t>
                  </w:r>
                </w:p>
              </w:tc>
              <w:tc>
                <w:tcPr>
                  <w:tcW w:w="936" w:type="dxa"/>
                </w:tcPr>
                <w:p w:rsidRPr="00922AEF" w:rsidR="0061628A" w:rsidP="0061628A" w14:paraId="67D6BE4F" w14:textId="77777777">
                  <w:pPr>
                    <w:rPr>
                      <w:sz w:val="16"/>
                      <w:szCs w:val="16"/>
                    </w:rPr>
                  </w:pPr>
                  <w:r w:rsidRPr="00922AEF">
                    <w:rPr>
                      <w:rFonts w:cs="Calibri"/>
                      <w:sz w:val="16"/>
                      <w:szCs w:val="16"/>
                    </w:rPr>
                    <w:t>1.368</w:t>
                  </w:r>
                </w:p>
              </w:tc>
              <w:tc>
                <w:tcPr>
                  <w:tcW w:w="1315" w:type="dxa"/>
                </w:tcPr>
                <w:p w:rsidRPr="00922AEF" w:rsidR="0061628A" w:rsidP="0061628A" w14:paraId="344FD051" w14:textId="77777777">
                  <w:pPr>
                    <w:rPr>
                      <w:sz w:val="16"/>
                      <w:szCs w:val="16"/>
                    </w:rPr>
                  </w:pPr>
                  <w:r w:rsidRPr="00922AEF">
                    <w:rPr>
                      <w:rFonts w:cs="Calibri"/>
                      <w:sz w:val="16"/>
                      <w:szCs w:val="16"/>
                    </w:rPr>
                    <w:t>€ 7.524.688</w:t>
                  </w:r>
                </w:p>
              </w:tc>
              <w:tc>
                <w:tcPr>
                  <w:tcW w:w="1164" w:type="dxa"/>
                </w:tcPr>
                <w:p w:rsidRPr="00922AEF" w:rsidR="0061628A" w:rsidP="0061628A" w14:paraId="74F77150" w14:textId="77777777">
                  <w:pPr>
                    <w:rPr>
                      <w:sz w:val="16"/>
                      <w:szCs w:val="16"/>
                    </w:rPr>
                  </w:pPr>
                  <w:r w:rsidRPr="00922AEF">
                    <w:rPr>
                      <w:rFonts w:cs="Calibri"/>
                      <w:sz w:val="16"/>
                      <w:szCs w:val="16"/>
                    </w:rPr>
                    <w:t>€ 13.127.827</w:t>
                  </w:r>
                </w:p>
              </w:tc>
              <w:tc>
                <w:tcPr>
                  <w:tcW w:w="1995" w:type="dxa"/>
                </w:tcPr>
                <w:p w:rsidRPr="00922AEF" w:rsidR="0061628A" w:rsidP="0061628A" w14:paraId="53C30B9D" w14:textId="77777777">
                  <w:pPr>
                    <w:rPr>
                      <w:sz w:val="16"/>
                      <w:szCs w:val="16"/>
                    </w:rPr>
                  </w:pPr>
                  <w:r w:rsidRPr="00922AEF">
                    <w:rPr>
                      <w:rFonts w:cs="Calibri"/>
                      <w:sz w:val="16"/>
                      <w:szCs w:val="16"/>
                    </w:rPr>
                    <w:t>Aanleg fietspad</w:t>
                  </w:r>
                </w:p>
              </w:tc>
            </w:tr>
            <w:tr w:rsidTr="009935CA" w14:paraId="7B9979EF" w14:textId="77777777">
              <w:tblPrEx>
                <w:tblW w:w="8656" w:type="dxa"/>
                <w:tblInd w:w="0" w:type="dxa"/>
                <w:tblLook w:val="04A0"/>
              </w:tblPrEx>
              <w:trPr>
                <w:trHeight w:val="20"/>
              </w:trPr>
              <w:tc>
                <w:tcPr>
                  <w:tcW w:w="1370" w:type="dxa"/>
                  <w:hideMark/>
                </w:tcPr>
                <w:p w:rsidRPr="00922AEF" w:rsidR="0061628A" w:rsidP="0061628A" w14:paraId="563E222B" w14:textId="77777777">
                  <w:pPr>
                    <w:rPr>
                      <w:rFonts w:cs="Calibri"/>
                      <w:sz w:val="16"/>
                      <w:szCs w:val="16"/>
                    </w:rPr>
                  </w:pPr>
                  <w:r w:rsidRPr="00922AEF">
                    <w:rPr>
                      <w:rFonts w:cs="Calibri"/>
                      <w:sz w:val="16"/>
                      <w:szCs w:val="16"/>
                    </w:rPr>
                    <w:t>Heiloo</w:t>
                  </w:r>
                </w:p>
              </w:tc>
              <w:tc>
                <w:tcPr>
                  <w:tcW w:w="1876" w:type="dxa"/>
                </w:tcPr>
                <w:p w:rsidRPr="00922AEF" w:rsidR="0061628A" w:rsidP="0061628A" w14:paraId="28B19C78" w14:textId="77777777">
                  <w:pPr>
                    <w:rPr>
                      <w:sz w:val="16"/>
                      <w:szCs w:val="16"/>
                    </w:rPr>
                  </w:pPr>
                  <w:r w:rsidRPr="00922AEF">
                    <w:rPr>
                      <w:rFonts w:cs="Calibri"/>
                      <w:sz w:val="16"/>
                      <w:szCs w:val="16"/>
                    </w:rPr>
                    <w:t>Woningbouw Zandzoom - aansluiting A9 Heiloo</w:t>
                  </w:r>
                </w:p>
              </w:tc>
              <w:tc>
                <w:tcPr>
                  <w:tcW w:w="936" w:type="dxa"/>
                </w:tcPr>
                <w:p w:rsidRPr="00922AEF" w:rsidR="0061628A" w:rsidP="0061628A" w14:paraId="40CC810F" w14:textId="77777777">
                  <w:pPr>
                    <w:rPr>
                      <w:sz w:val="16"/>
                      <w:szCs w:val="16"/>
                    </w:rPr>
                  </w:pPr>
                  <w:r w:rsidRPr="00922AEF">
                    <w:rPr>
                      <w:rFonts w:cs="Calibri"/>
                      <w:sz w:val="16"/>
                      <w:szCs w:val="16"/>
                    </w:rPr>
                    <w:t>2.925</w:t>
                  </w:r>
                </w:p>
              </w:tc>
              <w:tc>
                <w:tcPr>
                  <w:tcW w:w="1315" w:type="dxa"/>
                </w:tcPr>
                <w:p w:rsidRPr="00922AEF" w:rsidR="0061628A" w:rsidP="0061628A" w14:paraId="007FF1A6" w14:textId="77777777">
                  <w:pPr>
                    <w:rPr>
                      <w:sz w:val="16"/>
                      <w:szCs w:val="16"/>
                    </w:rPr>
                  </w:pPr>
                  <w:r w:rsidRPr="00922AEF">
                    <w:rPr>
                      <w:rFonts w:cs="Calibri"/>
                      <w:sz w:val="16"/>
                      <w:szCs w:val="16"/>
                    </w:rPr>
                    <w:t>€ 23.133.750</w:t>
                  </w:r>
                </w:p>
              </w:tc>
              <w:tc>
                <w:tcPr>
                  <w:tcW w:w="1164" w:type="dxa"/>
                </w:tcPr>
                <w:p w:rsidRPr="00922AEF" w:rsidR="0061628A" w:rsidP="0061628A" w14:paraId="47660E93" w14:textId="77777777">
                  <w:pPr>
                    <w:rPr>
                      <w:sz w:val="16"/>
                      <w:szCs w:val="16"/>
                    </w:rPr>
                  </w:pPr>
                  <w:r w:rsidRPr="00922AEF">
                    <w:rPr>
                      <w:rFonts w:cs="Calibri"/>
                      <w:sz w:val="16"/>
                      <w:szCs w:val="16"/>
                    </w:rPr>
                    <w:t>€ 67.527.242</w:t>
                  </w:r>
                </w:p>
              </w:tc>
              <w:tc>
                <w:tcPr>
                  <w:tcW w:w="1995" w:type="dxa"/>
                </w:tcPr>
                <w:p w:rsidRPr="00922AEF" w:rsidR="0061628A" w:rsidP="0061628A" w14:paraId="3149E9C2" w14:textId="77777777">
                  <w:pPr>
                    <w:rPr>
                      <w:sz w:val="16"/>
                      <w:szCs w:val="16"/>
                    </w:rPr>
                  </w:pPr>
                  <w:r w:rsidRPr="00922AEF">
                    <w:rPr>
                      <w:rFonts w:cs="Calibri"/>
                      <w:sz w:val="16"/>
                      <w:szCs w:val="16"/>
                    </w:rPr>
                    <w:t>Aanleg ontsluitingswegen, aanleg kruisingen</w:t>
                  </w:r>
                </w:p>
              </w:tc>
            </w:tr>
            <w:tr w:rsidTr="009935CA" w14:paraId="1892DDDC" w14:textId="77777777">
              <w:tblPrEx>
                <w:tblW w:w="8656" w:type="dxa"/>
                <w:tblInd w:w="0" w:type="dxa"/>
                <w:tblLook w:val="04A0"/>
              </w:tblPrEx>
              <w:trPr>
                <w:trHeight w:val="20"/>
              </w:trPr>
              <w:tc>
                <w:tcPr>
                  <w:tcW w:w="1370" w:type="dxa"/>
                  <w:hideMark/>
                </w:tcPr>
                <w:p w:rsidRPr="00922AEF" w:rsidR="0061628A" w:rsidP="0061628A" w14:paraId="49E7CA72" w14:textId="77777777">
                  <w:pPr>
                    <w:rPr>
                      <w:rFonts w:cs="Calibri"/>
                      <w:sz w:val="16"/>
                      <w:szCs w:val="16"/>
                    </w:rPr>
                  </w:pPr>
                  <w:r w:rsidRPr="00922AEF">
                    <w:rPr>
                      <w:rFonts w:cs="Calibri"/>
                      <w:sz w:val="16"/>
                      <w:szCs w:val="16"/>
                    </w:rPr>
                    <w:t>Hoorn</w:t>
                  </w:r>
                </w:p>
              </w:tc>
              <w:tc>
                <w:tcPr>
                  <w:tcW w:w="1876" w:type="dxa"/>
                </w:tcPr>
                <w:p w:rsidRPr="00922AEF" w:rsidR="0061628A" w:rsidP="0061628A" w14:paraId="5C4E64BC" w14:textId="77777777">
                  <w:pPr>
                    <w:rPr>
                      <w:sz w:val="16"/>
                      <w:szCs w:val="16"/>
                    </w:rPr>
                  </w:pPr>
                  <w:r w:rsidRPr="00922AEF">
                    <w:rPr>
                      <w:rFonts w:cs="Calibri"/>
                      <w:sz w:val="16"/>
                      <w:szCs w:val="16"/>
                    </w:rPr>
                    <w:t>Poort van Hoorn: station Hoorn spoorse zaken</w:t>
                  </w:r>
                </w:p>
              </w:tc>
              <w:tc>
                <w:tcPr>
                  <w:tcW w:w="936" w:type="dxa"/>
                </w:tcPr>
                <w:p w:rsidRPr="00922AEF" w:rsidR="0061628A" w:rsidP="0061628A" w14:paraId="467B5AA9" w14:textId="77777777">
                  <w:pPr>
                    <w:rPr>
                      <w:sz w:val="16"/>
                      <w:szCs w:val="16"/>
                    </w:rPr>
                  </w:pPr>
                  <w:r w:rsidRPr="00922AEF">
                    <w:rPr>
                      <w:rFonts w:cs="Calibri"/>
                      <w:sz w:val="16"/>
                      <w:szCs w:val="16"/>
                    </w:rPr>
                    <w:t>1.277</w:t>
                  </w:r>
                </w:p>
              </w:tc>
              <w:tc>
                <w:tcPr>
                  <w:tcW w:w="1315" w:type="dxa"/>
                </w:tcPr>
                <w:p w:rsidRPr="00922AEF" w:rsidR="0061628A" w:rsidP="0061628A" w14:paraId="0551E17C" w14:textId="77777777">
                  <w:pPr>
                    <w:rPr>
                      <w:sz w:val="16"/>
                      <w:szCs w:val="16"/>
                    </w:rPr>
                  </w:pPr>
                  <w:r w:rsidRPr="00922AEF">
                    <w:rPr>
                      <w:rFonts w:cs="Calibri"/>
                      <w:sz w:val="16"/>
                      <w:szCs w:val="16"/>
                    </w:rPr>
                    <w:t>€ 22.589.489</w:t>
                  </w:r>
                </w:p>
              </w:tc>
              <w:tc>
                <w:tcPr>
                  <w:tcW w:w="1164" w:type="dxa"/>
                </w:tcPr>
                <w:p w:rsidRPr="00922AEF" w:rsidR="0061628A" w:rsidP="0061628A" w14:paraId="31440E97" w14:textId="77777777">
                  <w:pPr>
                    <w:rPr>
                      <w:sz w:val="16"/>
                      <w:szCs w:val="16"/>
                    </w:rPr>
                  </w:pPr>
                  <w:r w:rsidRPr="00922AEF">
                    <w:rPr>
                      <w:rFonts w:cs="Calibri"/>
                      <w:sz w:val="16"/>
                      <w:szCs w:val="16"/>
                    </w:rPr>
                    <w:t>€ 12.224.695</w:t>
                  </w:r>
                </w:p>
              </w:tc>
              <w:tc>
                <w:tcPr>
                  <w:tcW w:w="1995" w:type="dxa"/>
                </w:tcPr>
                <w:p w:rsidRPr="00922AEF" w:rsidR="0061628A" w:rsidP="0061628A" w14:paraId="1AF087B5" w14:textId="77777777">
                  <w:pPr>
                    <w:rPr>
                      <w:sz w:val="16"/>
                      <w:szCs w:val="16"/>
                    </w:rPr>
                  </w:pPr>
                  <w:r w:rsidRPr="00922AEF">
                    <w:rPr>
                      <w:rFonts w:cs="Calibri"/>
                      <w:sz w:val="16"/>
                      <w:szCs w:val="16"/>
                    </w:rPr>
                    <w:t>Verplaatsing railinzetsplaats, vervanging relaishuis, vervanging traverse</w:t>
                  </w:r>
                </w:p>
              </w:tc>
            </w:tr>
            <w:tr w:rsidTr="009935CA" w14:paraId="264F106A" w14:textId="77777777">
              <w:tblPrEx>
                <w:tblW w:w="8656" w:type="dxa"/>
                <w:tblInd w:w="0" w:type="dxa"/>
                <w:tblLook w:val="04A0"/>
              </w:tblPrEx>
              <w:trPr>
                <w:trHeight w:val="20"/>
              </w:trPr>
              <w:tc>
                <w:tcPr>
                  <w:tcW w:w="1370" w:type="dxa"/>
                  <w:hideMark/>
                </w:tcPr>
                <w:p w:rsidRPr="00922AEF" w:rsidR="0061628A" w:rsidP="0061628A" w14:paraId="5555EFC0" w14:textId="77777777">
                  <w:pPr>
                    <w:rPr>
                      <w:rFonts w:cs="Calibri"/>
                      <w:sz w:val="16"/>
                      <w:szCs w:val="16"/>
                    </w:rPr>
                  </w:pPr>
                  <w:r w:rsidRPr="00922AEF">
                    <w:rPr>
                      <w:rFonts w:cs="Calibri"/>
                      <w:sz w:val="16"/>
                      <w:szCs w:val="16"/>
                    </w:rPr>
                    <w:t>Laren</w:t>
                  </w:r>
                </w:p>
              </w:tc>
              <w:tc>
                <w:tcPr>
                  <w:tcW w:w="1876" w:type="dxa"/>
                </w:tcPr>
                <w:p w:rsidRPr="00922AEF" w:rsidR="0061628A" w:rsidP="0061628A" w14:paraId="5CDB86BE" w14:textId="77777777">
                  <w:pPr>
                    <w:rPr>
                      <w:sz w:val="16"/>
                      <w:szCs w:val="16"/>
                    </w:rPr>
                  </w:pPr>
                  <w:r w:rsidRPr="00922AEF">
                    <w:rPr>
                      <w:rFonts w:cs="Calibri"/>
                      <w:sz w:val="16"/>
                      <w:szCs w:val="16"/>
                    </w:rPr>
                    <w:t>Knoop Crailo - Regio Gooi en</w:t>
                  </w:r>
                  <w:r w:rsidRPr="00922AEF">
                    <w:rPr>
                      <w:rFonts w:cs="Calibri"/>
                      <w:sz w:val="16"/>
                      <w:szCs w:val="16"/>
                    </w:rPr>
                    <w:br/>
                    <w:t>Vechtstreek</w:t>
                  </w:r>
                </w:p>
              </w:tc>
              <w:tc>
                <w:tcPr>
                  <w:tcW w:w="936" w:type="dxa"/>
                </w:tcPr>
                <w:p w:rsidRPr="00922AEF" w:rsidR="0061628A" w:rsidP="0061628A" w14:paraId="6CCD19BC" w14:textId="77777777">
                  <w:pPr>
                    <w:rPr>
                      <w:sz w:val="16"/>
                      <w:szCs w:val="16"/>
                    </w:rPr>
                  </w:pPr>
                  <w:r w:rsidRPr="00922AEF">
                    <w:rPr>
                      <w:rFonts w:cs="Calibri"/>
                      <w:sz w:val="16"/>
                      <w:szCs w:val="16"/>
                    </w:rPr>
                    <w:t>1.266</w:t>
                  </w:r>
                </w:p>
              </w:tc>
              <w:tc>
                <w:tcPr>
                  <w:tcW w:w="1315" w:type="dxa"/>
                </w:tcPr>
                <w:p w:rsidRPr="00922AEF" w:rsidR="0061628A" w:rsidP="0061628A" w14:paraId="13614506" w14:textId="77777777">
                  <w:pPr>
                    <w:rPr>
                      <w:sz w:val="16"/>
                      <w:szCs w:val="16"/>
                    </w:rPr>
                  </w:pPr>
                  <w:r w:rsidRPr="00922AEF">
                    <w:rPr>
                      <w:rFonts w:cs="Calibri"/>
                      <w:sz w:val="16"/>
                      <w:szCs w:val="16"/>
                    </w:rPr>
                    <w:t>€ 3.164.976</w:t>
                  </w:r>
                </w:p>
              </w:tc>
              <w:tc>
                <w:tcPr>
                  <w:tcW w:w="1164" w:type="dxa"/>
                </w:tcPr>
                <w:p w:rsidRPr="00922AEF" w:rsidR="0061628A" w:rsidP="0061628A" w14:paraId="15A1B73F" w14:textId="77777777">
                  <w:pPr>
                    <w:rPr>
                      <w:sz w:val="16"/>
                      <w:szCs w:val="16"/>
                    </w:rPr>
                  </w:pPr>
                  <w:r w:rsidRPr="00922AEF">
                    <w:rPr>
                      <w:rFonts w:cs="Calibri"/>
                      <w:sz w:val="16"/>
                      <w:szCs w:val="16"/>
                    </w:rPr>
                    <w:t>€ 1.712.782</w:t>
                  </w:r>
                </w:p>
              </w:tc>
              <w:tc>
                <w:tcPr>
                  <w:tcW w:w="1995" w:type="dxa"/>
                </w:tcPr>
                <w:p w:rsidRPr="00922AEF" w:rsidR="0061628A" w:rsidP="0061628A" w14:paraId="77FFAAF9" w14:textId="77777777">
                  <w:pPr>
                    <w:rPr>
                      <w:sz w:val="16"/>
                      <w:szCs w:val="16"/>
                    </w:rPr>
                  </w:pPr>
                  <w:r w:rsidRPr="00922AEF">
                    <w:rPr>
                      <w:rFonts w:cs="Calibri"/>
                      <w:sz w:val="16"/>
                      <w:szCs w:val="16"/>
                    </w:rPr>
                    <w:t>Herinrichting kruisingen</w:t>
                  </w:r>
                </w:p>
              </w:tc>
            </w:tr>
            <w:tr w:rsidTr="009935CA" w14:paraId="79F03899" w14:textId="77777777">
              <w:tblPrEx>
                <w:tblW w:w="8656" w:type="dxa"/>
                <w:tblInd w:w="0" w:type="dxa"/>
                <w:tblLook w:val="04A0"/>
              </w:tblPrEx>
              <w:trPr>
                <w:trHeight w:val="20"/>
              </w:trPr>
              <w:tc>
                <w:tcPr>
                  <w:tcW w:w="1370" w:type="dxa"/>
                  <w:hideMark/>
                </w:tcPr>
                <w:p w:rsidRPr="00922AEF" w:rsidR="0061628A" w:rsidP="0061628A" w14:paraId="42357305" w14:textId="77777777">
                  <w:pPr>
                    <w:rPr>
                      <w:rFonts w:cs="Calibri"/>
                      <w:sz w:val="16"/>
                      <w:szCs w:val="16"/>
                    </w:rPr>
                  </w:pPr>
                  <w:r w:rsidRPr="00922AEF">
                    <w:rPr>
                      <w:rFonts w:cs="Calibri"/>
                      <w:sz w:val="16"/>
                      <w:szCs w:val="16"/>
                    </w:rPr>
                    <w:t>Medemblik</w:t>
                  </w:r>
                </w:p>
              </w:tc>
              <w:tc>
                <w:tcPr>
                  <w:tcW w:w="1876" w:type="dxa"/>
                </w:tcPr>
                <w:p w:rsidRPr="00922AEF" w:rsidR="0061628A" w:rsidP="0061628A" w14:paraId="178A6FB8" w14:textId="77777777">
                  <w:pPr>
                    <w:rPr>
                      <w:sz w:val="16"/>
                      <w:szCs w:val="16"/>
                    </w:rPr>
                  </w:pPr>
                  <w:r w:rsidRPr="00922AEF">
                    <w:rPr>
                      <w:rFonts w:cs="Calibri"/>
                      <w:sz w:val="16"/>
                      <w:szCs w:val="16"/>
                    </w:rPr>
                    <w:t>Medemblik</w:t>
                  </w:r>
                </w:p>
              </w:tc>
              <w:tc>
                <w:tcPr>
                  <w:tcW w:w="936" w:type="dxa"/>
                </w:tcPr>
                <w:p w:rsidRPr="00922AEF" w:rsidR="0061628A" w:rsidP="0061628A" w14:paraId="34ECA4B6" w14:textId="77777777">
                  <w:pPr>
                    <w:rPr>
                      <w:sz w:val="16"/>
                      <w:szCs w:val="16"/>
                    </w:rPr>
                  </w:pPr>
                  <w:r w:rsidRPr="00922AEF">
                    <w:rPr>
                      <w:rFonts w:cs="Calibri"/>
                      <w:sz w:val="16"/>
                      <w:szCs w:val="16"/>
                    </w:rPr>
                    <w:t>648</w:t>
                  </w:r>
                </w:p>
              </w:tc>
              <w:tc>
                <w:tcPr>
                  <w:tcW w:w="1315" w:type="dxa"/>
                </w:tcPr>
                <w:p w:rsidRPr="00922AEF" w:rsidR="0061628A" w:rsidP="0061628A" w14:paraId="75779CCD" w14:textId="77777777">
                  <w:pPr>
                    <w:rPr>
                      <w:sz w:val="16"/>
                      <w:szCs w:val="16"/>
                    </w:rPr>
                  </w:pPr>
                  <w:r w:rsidRPr="00922AEF">
                    <w:rPr>
                      <w:rFonts w:cs="Calibri"/>
                      <w:sz w:val="16"/>
                      <w:szCs w:val="16"/>
                    </w:rPr>
                    <w:t>€ 1.957.311</w:t>
                  </w:r>
                </w:p>
              </w:tc>
              <w:tc>
                <w:tcPr>
                  <w:tcW w:w="1164" w:type="dxa"/>
                </w:tcPr>
                <w:p w:rsidRPr="00922AEF" w:rsidR="0061628A" w:rsidP="0061628A" w14:paraId="08C757A4" w14:textId="77777777">
                  <w:pPr>
                    <w:rPr>
                      <w:sz w:val="16"/>
                      <w:szCs w:val="16"/>
                    </w:rPr>
                  </w:pPr>
                  <w:r w:rsidRPr="00922AEF">
                    <w:rPr>
                      <w:rFonts w:cs="Calibri"/>
                      <w:sz w:val="16"/>
                      <w:szCs w:val="16"/>
                    </w:rPr>
                    <w:t>€ 1.059.234</w:t>
                  </w:r>
                </w:p>
              </w:tc>
              <w:tc>
                <w:tcPr>
                  <w:tcW w:w="1995" w:type="dxa"/>
                </w:tcPr>
                <w:p w:rsidRPr="00922AEF" w:rsidR="0061628A" w:rsidP="0061628A" w14:paraId="6279E918" w14:textId="77777777">
                  <w:pPr>
                    <w:rPr>
                      <w:sz w:val="16"/>
                      <w:szCs w:val="16"/>
                    </w:rPr>
                  </w:pPr>
                  <w:r w:rsidRPr="00922AEF">
                    <w:rPr>
                      <w:rFonts w:cs="Calibri"/>
                      <w:sz w:val="16"/>
                      <w:szCs w:val="16"/>
                    </w:rPr>
                    <w:t>Aanleg rotonde, realiseren bushalte</w:t>
                  </w:r>
                </w:p>
              </w:tc>
            </w:tr>
            <w:tr w:rsidTr="009935CA" w14:paraId="36CE6322" w14:textId="77777777">
              <w:tblPrEx>
                <w:tblW w:w="8656" w:type="dxa"/>
                <w:tblInd w:w="0" w:type="dxa"/>
                <w:tblLook w:val="04A0"/>
              </w:tblPrEx>
              <w:trPr>
                <w:trHeight w:val="20"/>
              </w:trPr>
              <w:tc>
                <w:tcPr>
                  <w:tcW w:w="1370" w:type="dxa"/>
                  <w:hideMark/>
                </w:tcPr>
                <w:p w:rsidRPr="00922AEF" w:rsidR="0061628A" w:rsidP="0061628A" w14:paraId="0FB84197" w14:textId="77777777">
                  <w:pPr>
                    <w:rPr>
                      <w:rFonts w:cs="Calibri"/>
                      <w:sz w:val="16"/>
                      <w:szCs w:val="16"/>
                    </w:rPr>
                  </w:pPr>
                  <w:r w:rsidRPr="00922AEF">
                    <w:rPr>
                      <w:rFonts w:cs="Calibri"/>
                      <w:sz w:val="16"/>
                      <w:szCs w:val="16"/>
                    </w:rPr>
                    <w:t>Noordoostpolder</w:t>
                  </w:r>
                </w:p>
              </w:tc>
              <w:tc>
                <w:tcPr>
                  <w:tcW w:w="1876" w:type="dxa"/>
                </w:tcPr>
                <w:p w:rsidRPr="00922AEF" w:rsidR="0061628A" w:rsidP="0061628A" w14:paraId="2AB90903" w14:textId="77777777">
                  <w:pPr>
                    <w:rPr>
                      <w:sz w:val="16"/>
                      <w:szCs w:val="16"/>
                    </w:rPr>
                  </w:pPr>
                  <w:r w:rsidRPr="00922AEF">
                    <w:rPr>
                      <w:rFonts w:cs="Calibri"/>
                      <w:sz w:val="16"/>
                      <w:szCs w:val="16"/>
                    </w:rPr>
                    <w:t>Espelerlaan</w:t>
                  </w:r>
                </w:p>
              </w:tc>
              <w:tc>
                <w:tcPr>
                  <w:tcW w:w="936" w:type="dxa"/>
                </w:tcPr>
                <w:p w:rsidRPr="00922AEF" w:rsidR="0061628A" w:rsidP="0061628A" w14:paraId="179B72B0" w14:textId="77777777">
                  <w:pPr>
                    <w:rPr>
                      <w:sz w:val="16"/>
                      <w:szCs w:val="16"/>
                    </w:rPr>
                  </w:pPr>
                  <w:r w:rsidRPr="00922AEF">
                    <w:rPr>
                      <w:rFonts w:cs="Calibri"/>
                      <w:sz w:val="16"/>
                      <w:szCs w:val="16"/>
                    </w:rPr>
                    <w:t>700</w:t>
                  </w:r>
                </w:p>
              </w:tc>
              <w:tc>
                <w:tcPr>
                  <w:tcW w:w="1315" w:type="dxa"/>
                </w:tcPr>
                <w:p w:rsidRPr="00922AEF" w:rsidR="0061628A" w:rsidP="0061628A" w14:paraId="418B7F10" w14:textId="77777777">
                  <w:pPr>
                    <w:rPr>
                      <w:sz w:val="16"/>
                      <w:szCs w:val="16"/>
                    </w:rPr>
                  </w:pPr>
                  <w:r w:rsidRPr="00922AEF">
                    <w:rPr>
                      <w:rFonts w:cs="Calibri"/>
                      <w:sz w:val="16"/>
                      <w:szCs w:val="16"/>
                    </w:rPr>
                    <w:t>€ 5.150.847</w:t>
                  </w:r>
                </w:p>
              </w:tc>
              <w:tc>
                <w:tcPr>
                  <w:tcW w:w="1164" w:type="dxa"/>
                </w:tcPr>
                <w:p w:rsidRPr="00922AEF" w:rsidR="0061628A" w:rsidP="0061628A" w14:paraId="1F965A56" w14:textId="77777777">
                  <w:pPr>
                    <w:rPr>
                      <w:sz w:val="16"/>
                      <w:szCs w:val="16"/>
                    </w:rPr>
                  </w:pPr>
                  <w:r w:rsidRPr="00922AEF">
                    <w:rPr>
                      <w:rFonts w:cs="Calibri"/>
                      <w:sz w:val="16"/>
                      <w:szCs w:val="16"/>
                    </w:rPr>
                    <w:t>€ 2.814.500</w:t>
                  </w:r>
                </w:p>
              </w:tc>
              <w:tc>
                <w:tcPr>
                  <w:tcW w:w="1995" w:type="dxa"/>
                </w:tcPr>
                <w:p w:rsidRPr="00922AEF" w:rsidR="0061628A" w:rsidP="0061628A" w14:paraId="661460B1" w14:textId="77777777">
                  <w:pPr>
                    <w:rPr>
                      <w:sz w:val="16"/>
                      <w:szCs w:val="16"/>
                    </w:rPr>
                  </w:pPr>
                  <w:r w:rsidRPr="00922AEF">
                    <w:rPr>
                      <w:rFonts w:cs="Calibri"/>
                      <w:sz w:val="16"/>
                      <w:szCs w:val="16"/>
                    </w:rPr>
                    <w:t>Herinrichting ontsluitingswegen, aanleg rotondes, herinrichting kruising</w:t>
                  </w:r>
                </w:p>
              </w:tc>
            </w:tr>
            <w:tr w:rsidTr="009935CA" w14:paraId="423EFF73" w14:textId="77777777">
              <w:tblPrEx>
                <w:tblW w:w="8656" w:type="dxa"/>
                <w:tblInd w:w="0" w:type="dxa"/>
                <w:tblLook w:val="04A0"/>
              </w:tblPrEx>
              <w:trPr>
                <w:trHeight w:val="20"/>
              </w:trPr>
              <w:tc>
                <w:tcPr>
                  <w:tcW w:w="1370" w:type="dxa"/>
                  <w:hideMark/>
                </w:tcPr>
                <w:p w:rsidRPr="00922AEF" w:rsidR="0061628A" w:rsidP="0061628A" w14:paraId="26BDDA5B" w14:textId="77777777">
                  <w:pPr>
                    <w:rPr>
                      <w:rFonts w:cs="Calibri"/>
                      <w:sz w:val="16"/>
                      <w:szCs w:val="16"/>
                    </w:rPr>
                  </w:pPr>
                  <w:r w:rsidRPr="00922AEF">
                    <w:rPr>
                      <w:rFonts w:cs="Calibri"/>
                      <w:sz w:val="16"/>
                      <w:szCs w:val="16"/>
                    </w:rPr>
                    <w:t>Opmeer</w:t>
                  </w:r>
                </w:p>
              </w:tc>
              <w:tc>
                <w:tcPr>
                  <w:tcW w:w="1876" w:type="dxa"/>
                </w:tcPr>
                <w:p w:rsidRPr="00922AEF" w:rsidR="0061628A" w:rsidP="0061628A" w14:paraId="5C6EA814" w14:textId="77777777">
                  <w:pPr>
                    <w:rPr>
                      <w:sz w:val="16"/>
                      <w:szCs w:val="16"/>
                    </w:rPr>
                  </w:pPr>
                  <w:r w:rsidRPr="00922AEF">
                    <w:rPr>
                      <w:rFonts w:cs="Calibri"/>
                      <w:sz w:val="16"/>
                      <w:szCs w:val="16"/>
                    </w:rPr>
                    <w:t>Opmeer, Hoogwoud-Oost</w:t>
                  </w:r>
                </w:p>
              </w:tc>
              <w:tc>
                <w:tcPr>
                  <w:tcW w:w="936" w:type="dxa"/>
                </w:tcPr>
                <w:p w:rsidRPr="00922AEF" w:rsidR="0061628A" w:rsidP="0061628A" w14:paraId="1C32EAFF" w14:textId="77777777">
                  <w:pPr>
                    <w:rPr>
                      <w:sz w:val="16"/>
                      <w:szCs w:val="16"/>
                    </w:rPr>
                  </w:pPr>
                  <w:r w:rsidRPr="00922AEF">
                    <w:rPr>
                      <w:rFonts w:cs="Calibri"/>
                      <w:sz w:val="16"/>
                      <w:szCs w:val="16"/>
                    </w:rPr>
                    <w:t>700</w:t>
                  </w:r>
                </w:p>
              </w:tc>
              <w:tc>
                <w:tcPr>
                  <w:tcW w:w="1315" w:type="dxa"/>
                </w:tcPr>
                <w:p w:rsidRPr="00922AEF" w:rsidR="0061628A" w:rsidP="0061628A" w14:paraId="686E0968" w14:textId="77777777">
                  <w:pPr>
                    <w:rPr>
                      <w:sz w:val="16"/>
                      <w:szCs w:val="16"/>
                    </w:rPr>
                  </w:pPr>
                  <w:r w:rsidRPr="00922AEF">
                    <w:rPr>
                      <w:rFonts w:cs="Calibri"/>
                      <w:sz w:val="16"/>
                      <w:szCs w:val="16"/>
                    </w:rPr>
                    <w:t>€ 7.960.000</w:t>
                  </w:r>
                </w:p>
              </w:tc>
              <w:tc>
                <w:tcPr>
                  <w:tcW w:w="1164" w:type="dxa"/>
                </w:tcPr>
                <w:p w:rsidRPr="00922AEF" w:rsidR="0061628A" w:rsidP="0061628A" w14:paraId="606BD3A4" w14:textId="77777777">
                  <w:pPr>
                    <w:rPr>
                      <w:sz w:val="16"/>
                      <w:szCs w:val="16"/>
                    </w:rPr>
                  </w:pPr>
                  <w:r w:rsidRPr="00922AEF">
                    <w:rPr>
                      <w:rFonts w:cs="Calibri"/>
                      <w:sz w:val="16"/>
                      <w:szCs w:val="16"/>
                    </w:rPr>
                    <w:t>€ 4.912.100</w:t>
                  </w:r>
                </w:p>
              </w:tc>
              <w:tc>
                <w:tcPr>
                  <w:tcW w:w="1995" w:type="dxa"/>
                </w:tcPr>
                <w:p w:rsidRPr="00922AEF" w:rsidR="0061628A" w:rsidP="0061628A" w14:paraId="23A313E5" w14:textId="77777777">
                  <w:pPr>
                    <w:rPr>
                      <w:sz w:val="16"/>
                      <w:szCs w:val="16"/>
                    </w:rPr>
                  </w:pPr>
                  <w:r w:rsidRPr="00922AEF">
                    <w:rPr>
                      <w:rFonts w:cs="Calibri"/>
                      <w:sz w:val="16"/>
                      <w:szCs w:val="16"/>
                    </w:rPr>
                    <w:t>Aanleg ontsluitingswegen, aanleg kruising, herinrichting ontsluitingswegen</w:t>
                  </w:r>
                </w:p>
              </w:tc>
            </w:tr>
            <w:tr w:rsidTr="009935CA" w14:paraId="42C40506" w14:textId="77777777">
              <w:tblPrEx>
                <w:tblW w:w="8656" w:type="dxa"/>
                <w:tblInd w:w="0" w:type="dxa"/>
                <w:tblLook w:val="04A0"/>
              </w:tblPrEx>
              <w:trPr>
                <w:trHeight w:val="20"/>
              </w:trPr>
              <w:tc>
                <w:tcPr>
                  <w:tcW w:w="1370" w:type="dxa"/>
                </w:tcPr>
                <w:p w:rsidRPr="00234F50" w:rsidR="0061628A" w:rsidP="0061628A" w14:paraId="05DAAEA8" w14:textId="77777777">
                  <w:pPr>
                    <w:rPr>
                      <w:rFonts w:cs="Calibri"/>
                      <w:sz w:val="16"/>
                      <w:szCs w:val="16"/>
                    </w:rPr>
                  </w:pPr>
                  <w:r w:rsidRPr="00234F50">
                    <w:rPr>
                      <w:rFonts w:cs="Calibri"/>
                      <w:sz w:val="16"/>
                      <w:szCs w:val="16"/>
                    </w:rPr>
                    <w:t>Regio Foodvalley</w:t>
                  </w:r>
                </w:p>
              </w:tc>
              <w:tc>
                <w:tcPr>
                  <w:tcW w:w="1876" w:type="dxa"/>
                </w:tcPr>
                <w:p w:rsidRPr="00234F50" w:rsidR="0061628A" w:rsidP="0061628A" w14:paraId="316B0846" w14:textId="77777777">
                  <w:pPr>
                    <w:rPr>
                      <w:rFonts w:cs="Calibri"/>
                      <w:sz w:val="16"/>
                      <w:szCs w:val="16"/>
                    </w:rPr>
                  </w:pPr>
                  <w:r w:rsidRPr="00234F50">
                    <w:rPr>
                      <w:rFonts w:cs="Calibri"/>
                      <w:sz w:val="16"/>
                      <w:szCs w:val="16"/>
                    </w:rPr>
                    <w:t>Doorﬁetsroutes Regio Foodvalley, drager voor verstedelijkingsopgave</w:t>
                  </w:r>
                </w:p>
              </w:tc>
              <w:tc>
                <w:tcPr>
                  <w:tcW w:w="936" w:type="dxa"/>
                </w:tcPr>
                <w:p w:rsidRPr="00234F50" w:rsidR="0061628A" w:rsidP="0061628A" w14:paraId="72292378" w14:textId="77777777">
                  <w:pPr>
                    <w:rPr>
                      <w:rFonts w:cs="Calibri"/>
                      <w:sz w:val="16"/>
                      <w:szCs w:val="16"/>
                    </w:rPr>
                  </w:pPr>
                  <w:r w:rsidRPr="00234F50">
                    <w:rPr>
                      <w:rFonts w:cs="Calibri"/>
                      <w:sz w:val="16"/>
                      <w:szCs w:val="16"/>
                    </w:rPr>
                    <w:t>4.060</w:t>
                  </w:r>
                </w:p>
              </w:tc>
              <w:tc>
                <w:tcPr>
                  <w:tcW w:w="1315" w:type="dxa"/>
                </w:tcPr>
                <w:p w:rsidRPr="00234F50" w:rsidR="0061628A" w:rsidP="0061628A" w14:paraId="2F429BB8" w14:textId="77777777">
                  <w:pPr>
                    <w:rPr>
                      <w:rFonts w:cs="Calibri"/>
                      <w:sz w:val="16"/>
                      <w:szCs w:val="16"/>
                    </w:rPr>
                  </w:pPr>
                  <w:r w:rsidRPr="00234F50">
                    <w:rPr>
                      <w:rFonts w:cs="Calibri"/>
                      <w:sz w:val="16"/>
                      <w:szCs w:val="16"/>
                    </w:rPr>
                    <w:t>€ 43.222.620</w:t>
                  </w:r>
                </w:p>
              </w:tc>
              <w:tc>
                <w:tcPr>
                  <w:tcW w:w="1164" w:type="dxa"/>
                </w:tcPr>
                <w:p w:rsidRPr="00234F50" w:rsidR="0061628A" w:rsidP="0061628A" w14:paraId="295CB5B1" w14:textId="77777777">
                  <w:pPr>
                    <w:rPr>
                      <w:rFonts w:cs="Calibri"/>
                      <w:sz w:val="16"/>
                      <w:szCs w:val="16"/>
                    </w:rPr>
                  </w:pPr>
                  <w:r w:rsidRPr="00234F50">
                    <w:rPr>
                      <w:rFonts w:cs="Calibri"/>
                      <w:sz w:val="16"/>
                      <w:szCs w:val="16"/>
                    </w:rPr>
                    <w:t>€ 23.390.672</w:t>
                  </w:r>
                </w:p>
              </w:tc>
              <w:tc>
                <w:tcPr>
                  <w:tcW w:w="1995" w:type="dxa"/>
                </w:tcPr>
                <w:p w:rsidRPr="00234F50" w:rsidR="0061628A" w:rsidP="0061628A" w14:paraId="64B30497" w14:textId="77777777">
                  <w:pPr>
                    <w:rPr>
                      <w:rFonts w:cs="Calibri"/>
                      <w:sz w:val="16"/>
                      <w:szCs w:val="16"/>
                    </w:rPr>
                  </w:pPr>
                  <w:r w:rsidRPr="00234F50">
                    <w:rPr>
                      <w:rFonts w:cs="Calibri"/>
                      <w:sz w:val="16"/>
                      <w:szCs w:val="16"/>
                    </w:rPr>
                    <w:t>Aanleg fietsroutes, aanleg fietstunnel (spoor)</w:t>
                  </w:r>
                </w:p>
              </w:tc>
            </w:tr>
            <w:tr w:rsidTr="009935CA" w14:paraId="0C8BD277" w14:textId="77777777">
              <w:tblPrEx>
                <w:tblW w:w="8656" w:type="dxa"/>
                <w:tblInd w:w="0" w:type="dxa"/>
                <w:tblLook w:val="04A0"/>
              </w:tblPrEx>
              <w:trPr>
                <w:trHeight w:val="20"/>
              </w:trPr>
              <w:tc>
                <w:tcPr>
                  <w:tcW w:w="1370" w:type="dxa"/>
                  <w:hideMark/>
                </w:tcPr>
                <w:p w:rsidRPr="00922AEF" w:rsidR="0061628A" w:rsidP="0061628A" w14:paraId="75018DCB" w14:textId="77777777">
                  <w:pPr>
                    <w:rPr>
                      <w:rFonts w:cs="Calibri"/>
                      <w:sz w:val="16"/>
                      <w:szCs w:val="16"/>
                    </w:rPr>
                  </w:pPr>
                  <w:r w:rsidRPr="00922AEF">
                    <w:rPr>
                      <w:rFonts w:cs="Calibri"/>
                      <w:sz w:val="16"/>
                      <w:szCs w:val="16"/>
                    </w:rPr>
                    <w:t>Rhenen</w:t>
                  </w:r>
                </w:p>
              </w:tc>
              <w:tc>
                <w:tcPr>
                  <w:tcW w:w="1876" w:type="dxa"/>
                </w:tcPr>
                <w:p w:rsidRPr="00922AEF" w:rsidR="0061628A" w:rsidP="0061628A" w14:paraId="57A9A40C" w14:textId="77777777">
                  <w:pPr>
                    <w:rPr>
                      <w:sz w:val="16"/>
                      <w:szCs w:val="16"/>
                    </w:rPr>
                  </w:pPr>
                  <w:r w:rsidRPr="00922AEF">
                    <w:rPr>
                      <w:rFonts w:cs="Calibri"/>
                      <w:sz w:val="16"/>
                      <w:szCs w:val="16"/>
                    </w:rPr>
                    <w:t>Ongelijkvloerse ﬁetskruising</w:t>
                  </w:r>
                  <w:r w:rsidRPr="00922AEF">
                    <w:rPr>
                      <w:rFonts w:cs="Calibri"/>
                      <w:sz w:val="16"/>
                      <w:szCs w:val="16"/>
                    </w:rPr>
                    <w:br/>
                    <w:t>N233/Veenendaallijn</w:t>
                  </w:r>
                  <w:r w:rsidRPr="00922AEF">
                    <w:rPr>
                      <w:rFonts w:cs="Calibri"/>
                      <w:sz w:val="16"/>
                      <w:szCs w:val="16"/>
                    </w:rPr>
                    <w:br/>
                    <w:t>Achterberg</w:t>
                  </w:r>
                </w:p>
              </w:tc>
              <w:tc>
                <w:tcPr>
                  <w:tcW w:w="936" w:type="dxa"/>
                </w:tcPr>
                <w:p w:rsidRPr="00922AEF" w:rsidR="0061628A" w:rsidP="0061628A" w14:paraId="22075194" w14:textId="77777777">
                  <w:pPr>
                    <w:rPr>
                      <w:sz w:val="16"/>
                      <w:szCs w:val="16"/>
                    </w:rPr>
                  </w:pPr>
                  <w:r w:rsidRPr="00922AEF">
                    <w:rPr>
                      <w:rFonts w:cs="Calibri"/>
                      <w:sz w:val="16"/>
                      <w:szCs w:val="16"/>
                    </w:rPr>
                    <w:t>202</w:t>
                  </w:r>
                </w:p>
              </w:tc>
              <w:tc>
                <w:tcPr>
                  <w:tcW w:w="1315" w:type="dxa"/>
                </w:tcPr>
                <w:p w:rsidRPr="00922AEF" w:rsidR="0061628A" w:rsidP="0061628A" w14:paraId="0DD15FDA" w14:textId="77777777">
                  <w:pPr>
                    <w:rPr>
                      <w:sz w:val="16"/>
                      <w:szCs w:val="16"/>
                    </w:rPr>
                  </w:pPr>
                  <w:r w:rsidRPr="00922AEF">
                    <w:rPr>
                      <w:rFonts w:cs="Calibri"/>
                      <w:sz w:val="16"/>
                      <w:szCs w:val="16"/>
                    </w:rPr>
                    <w:t>€ 1.990.000</w:t>
                  </w:r>
                </w:p>
              </w:tc>
              <w:tc>
                <w:tcPr>
                  <w:tcW w:w="1164" w:type="dxa"/>
                </w:tcPr>
                <w:p w:rsidRPr="00922AEF" w:rsidR="0061628A" w:rsidP="0061628A" w14:paraId="3456F3CE" w14:textId="77777777">
                  <w:pPr>
                    <w:rPr>
                      <w:sz w:val="16"/>
                      <w:szCs w:val="16"/>
                    </w:rPr>
                  </w:pPr>
                  <w:r w:rsidRPr="00922AEF">
                    <w:rPr>
                      <w:rFonts w:cs="Calibri"/>
                      <w:sz w:val="16"/>
                      <w:szCs w:val="16"/>
                    </w:rPr>
                    <w:t>€ 2.000.000</w:t>
                  </w:r>
                </w:p>
              </w:tc>
              <w:tc>
                <w:tcPr>
                  <w:tcW w:w="1995" w:type="dxa"/>
                </w:tcPr>
                <w:p w:rsidRPr="00922AEF" w:rsidR="0061628A" w:rsidP="0061628A" w14:paraId="06D3F5DD" w14:textId="77777777">
                  <w:pPr>
                    <w:rPr>
                      <w:sz w:val="16"/>
                      <w:szCs w:val="16"/>
                    </w:rPr>
                  </w:pPr>
                  <w:r w:rsidRPr="00922AEF">
                    <w:rPr>
                      <w:rFonts w:cs="Calibri"/>
                      <w:sz w:val="16"/>
                      <w:szCs w:val="16"/>
                    </w:rPr>
                    <w:t>Aanleg fietsbrug</w:t>
                  </w:r>
                </w:p>
              </w:tc>
            </w:tr>
            <w:tr w:rsidTr="009935CA" w14:paraId="7E54C813" w14:textId="77777777">
              <w:tblPrEx>
                <w:tblW w:w="8656" w:type="dxa"/>
                <w:tblInd w:w="0" w:type="dxa"/>
                <w:tblLook w:val="04A0"/>
              </w:tblPrEx>
              <w:trPr>
                <w:trHeight w:val="20"/>
              </w:trPr>
              <w:tc>
                <w:tcPr>
                  <w:tcW w:w="1370" w:type="dxa"/>
                  <w:hideMark/>
                </w:tcPr>
                <w:p w:rsidRPr="00922AEF" w:rsidR="0061628A" w:rsidP="0061628A" w14:paraId="6B15D507" w14:textId="77777777">
                  <w:pPr>
                    <w:rPr>
                      <w:rFonts w:cs="Calibri"/>
                      <w:sz w:val="16"/>
                      <w:szCs w:val="16"/>
                    </w:rPr>
                  </w:pPr>
                  <w:r w:rsidRPr="00922AEF">
                    <w:rPr>
                      <w:rFonts w:cs="Calibri"/>
                      <w:sz w:val="16"/>
                      <w:szCs w:val="16"/>
                    </w:rPr>
                    <w:t>Stede Broec</w:t>
                  </w:r>
                </w:p>
              </w:tc>
              <w:tc>
                <w:tcPr>
                  <w:tcW w:w="1876" w:type="dxa"/>
                </w:tcPr>
                <w:p w:rsidRPr="00922AEF" w:rsidR="0061628A" w:rsidP="0061628A" w14:paraId="3F9A576B" w14:textId="77777777">
                  <w:pPr>
                    <w:rPr>
                      <w:sz w:val="16"/>
                      <w:szCs w:val="16"/>
                    </w:rPr>
                  </w:pPr>
                  <w:r w:rsidRPr="00922AEF">
                    <w:rPr>
                      <w:rFonts w:cs="Calibri"/>
                      <w:sz w:val="16"/>
                      <w:szCs w:val="16"/>
                    </w:rPr>
                    <w:t>Gebiedsontwikkeling</w:t>
                  </w:r>
                  <w:r w:rsidRPr="00922AEF">
                    <w:rPr>
                      <w:rFonts w:cs="Calibri"/>
                      <w:sz w:val="16"/>
                      <w:szCs w:val="16"/>
                    </w:rPr>
                    <w:br/>
                    <w:t>Centrum West - Venhuizen</w:t>
                  </w:r>
                </w:p>
              </w:tc>
              <w:tc>
                <w:tcPr>
                  <w:tcW w:w="936" w:type="dxa"/>
                </w:tcPr>
                <w:p w:rsidRPr="00922AEF" w:rsidR="0061628A" w:rsidP="0061628A" w14:paraId="1F1870AD" w14:textId="77777777">
                  <w:pPr>
                    <w:rPr>
                      <w:sz w:val="16"/>
                      <w:szCs w:val="16"/>
                    </w:rPr>
                  </w:pPr>
                  <w:r w:rsidRPr="00922AEF">
                    <w:rPr>
                      <w:rFonts w:cs="Calibri"/>
                      <w:sz w:val="16"/>
                      <w:szCs w:val="16"/>
                    </w:rPr>
                    <w:t>249</w:t>
                  </w:r>
                </w:p>
              </w:tc>
              <w:tc>
                <w:tcPr>
                  <w:tcW w:w="1315" w:type="dxa"/>
                </w:tcPr>
                <w:p w:rsidRPr="00922AEF" w:rsidR="0061628A" w:rsidP="0061628A" w14:paraId="07A7574C" w14:textId="77777777">
                  <w:pPr>
                    <w:rPr>
                      <w:sz w:val="16"/>
                      <w:szCs w:val="16"/>
                    </w:rPr>
                  </w:pPr>
                  <w:r w:rsidRPr="00922AEF">
                    <w:rPr>
                      <w:rFonts w:cs="Calibri"/>
                      <w:sz w:val="16"/>
                      <w:szCs w:val="16"/>
                    </w:rPr>
                    <w:t>€ 534.048</w:t>
                  </w:r>
                </w:p>
              </w:tc>
              <w:tc>
                <w:tcPr>
                  <w:tcW w:w="1164" w:type="dxa"/>
                </w:tcPr>
                <w:p w:rsidRPr="00922AEF" w:rsidR="0061628A" w:rsidP="0061628A" w14:paraId="39CCA5CC" w14:textId="77777777">
                  <w:pPr>
                    <w:rPr>
                      <w:sz w:val="16"/>
                      <w:szCs w:val="16"/>
                    </w:rPr>
                  </w:pPr>
                  <w:r w:rsidRPr="00922AEF">
                    <w:rPr>
                      <w:rFonts w:cs="Calibri"/>
                      <w:sz w:val="16"/>
                      <w:szCs w:val="16"/>
                    </w:rPr>
                    <w:t>€ 536.732</w:t>
                  </w:r>
                </w:p>
              </w:tc>
              <w:tc>
                <w:tcPr>
                  <w:tcW w:w="1995" w:type="dxa"/>
                </w:tcPr>
                <w:p w:rsidRPr="00922AEF" w:rsidR="0061628A" w:rsidP="0061628A" w14:paraId="7B015CDF" w14:textId="77777777">
                  <w:pPr>
                    <w:rPr>
                      <w:sz w:val="16"/>
                      <w:szCs w:val="16"/>
                    </w:rPr>
                  </w:pPr>
                  <w:r w:rsidRPr="00922AEF">
                    <w:rPr>
                      <w:rFonts w:cs="Calibri"/>
                      <w:sz w:val="16"/>
                      <w:szCs w:val="16"/>
                    </w:rPr>
                    <w:t xml:space="preserve">Aanleg fiets- en voetgangertsunnel, uitbreiding fietsenstalling, aanleg P+R </w:t>
                  </w:r>
                </w:p>
              </w:tc>
            </w:tr>
            <w:tr w:rsidTr="009935CA" w14:paraId="58EC5E83" w14:textId="77777777">
              <w:tblPrEx>
                <w:tblW w:w="8656" w:type="dxa"/>
                <w:tblInd w:w="0" w:type="dxa"/>
                <w:tblLook w:val="04A0"/>
              </w:tblPrEx>
              <w:trPr>
                <w:trHeight w:val="20"/>
              </w:trPr>
              <w:tc>
                <w:tcPr>
                  <w:tcW w:w="1370" w:type="dxa"/>
                  <w:hideMark/>
                </w:tcPr>
                <w:p w:rsidRPr="00922AEF" w:rsidR="0061628A" w:rsidP="0061628A" w14:paraId="158C84DB" w14:textId="77777777">
                  <w:pPr>
                    <w:rPr>
                      <w:rFonts w:cs="Calibri"/>
                      <w:sz w:val="16"/>
                      <w:szCs w:val="16"/>
                    </w:rPr>
                  </w:pPr>
                  <w:r w:rsidRPr="00922AEF">
                    <w:rPr>
                      <w:rFonts w:cs="Calibri"/>
                      <w:sz w:val="16"/>
                      <w:szCs w:val="16"/>
                    </w:rPr>
                    <w:t>Stede Broec</w:t>
                  </w:r>
                </w:p>
              </w:tc>
              <w:tc>
                <w:tcPr>
                  <w:tcW w:w="1876" w:type="dxa"/>
                </w:tcPr>
                <w:p w:rsidRPr="00922AEF" w:rsidR="0061628A" w:rsidP="0061628A" w14:paraId="4AD17417" w14:textId="77777777">
                  <w:pPr>
                    <w:rPr>
                      <w:sz w:val="16"/>
                      <w:szCs w:val="16"/>
                    </w:rPr>
                  </w:pPr>
                  <w:r w:rsidRPr="00922AEF">
                    <w:rPr>
                      <w:rFonts w:cs="Calibri"/>
                      <w:sz w:val="16"/>
                      <w:szCs w:val="16"/>
                    </w:rPr>
                    <w:t>Gebiedsontwikkeling</w:t>
                  </w:r>
                  <w:r w:rsidRPr="00922AEF">
                    <w:rPr>
                      <w:rFonts w:cs="Calibri"/>
                      <w:sz w:val="16"/>
                      <w:szCs w:val="16"/>
                    </w:rPr>
                    <w:br/>
                    <w:t>Nijevoert</w:t>
                  </w:r>
                </w:p>
              </w:tc>
              <w:tc>
                <w:tcPr>
                  <w:tcW w:w="936" w:type="dxa"/>
                </w:tcPr>
                <w:p w:rsidRPr="00922AEF" w:rsidR="0061628A" w:rsidP="0061628A" w14:paraId="605F687A" w14:textId="77777777">
                  <w:pPr>
                    <w:rPr>
                      <w:sz w:val="16"/>
                      <w:szCs w:val="16"/>
                    </w:rPr>
                  </w:pPr>
                  <w:r w:rsidRPr="00922AEF">
                    <w:rPr>
                      <w:rFonts w:cs="Calibri"/>
                      <w:sz w:val="16"/>
                      <w:szCs w:val="16"/>
                    </w:rPr>
                    <w:t>501</w:t>
                  </w:r>
                </w:p>
              </w:tc>
              <w:tc>
                <w:tcPr>
                  <w:tcW w:w="1315" w:type="dxa"/>
                </w:tcPr>
                <w:p w:rsidRPr="00922AEF" w:rsidR="0061628A" w:rsidP="0061628A" w14:paraId="4737ED28" w14:textId="77777777">
                  <w:pPr>
                    <w:rPr>
                      <w:sz w:val="16"/>
                      <w:szCs w:val="16"/>
                    </w:rPr>
                  </w:pPr>
                  <w:r w:rsidRPr="00922AEF">
                    <w:rPr>
                      <w:rFonts w:cs="Calibri"/>
                      <w:sz w:val="16"/>
                      <w:szCs w:val="16"/>
                    </w:rPr>
                    <w:t>€ 3.534.389</w:t>
                  </w:r>
                </w:p>
              </w:tc>
              <w:tc>
                <w:tcPr>
                  <w:tcW w:w="1164" w:type="dxa"/>
                </w:tcPr>
                <w:p w:rsidRPr="00922AEF" w:rsidR="0061628A" w:rsidP="0061628A" w14:paraId="4791F365" w14:textId="77777777">
                  <w:pPr>
                    <w:rPr>
                      <w:sz w:val="16"/>
                      <w:szCs w:val="16"/>
                    </w:rPr>
                  </w:pPr>
                  <w:r w:rsidRPr="00922AEF">
                    <w:rPr>
                      <w:rFonts w:cs="Calibri"/>
                      <w:sz w:val="16"/>
                      <w:szCs w:val="16"/>
                    </w:rPr>
                    <w:t>€ 1.912.696</w:t>
                  </w:r>
                </w:p>
              </w:tc>
              <w:tc>
                <w:tcPr>
                  <w:tcW w:w="1995" w:type="dxa"/>
                </w:tcPr>
                <w:p w:rsidRPr="00922AEF" w:rsidR="0061628A" w:rsidP="0061628A" w14:paraId="453337B1" w14:textId="77777777">
                  <w:pPr>
                    <w:rPr>
                      <w:sz w:val="16"/>
                      <w:szCs w:val="16"/>
                    </w:rPr>
                  </w:pPr>
                  <w:r w:rsidRPr="00922AEF">
                    <w:rPr>
                      <w:rFonts w:cs="Calibri"/>
                      <w:sz w:val="16"/>
                      <w:szCs w:val="16"/>
                    </w:rPr>
                    <w:t>Aanleg ontsluitingsweg</w:t>
                  </w:r>
                </w:p>
              </w:tc>
            </w:tr>
            <w:tr w:rsidTr="009935CA" w14:paraId="2A76D7A3" w14:textId="77777777">
              <w:tblPrEx>
                <w:tblW w:w="8656" w:type="dxa"/>
                <w:tblInd w:w="0" w:type="dxa"/>
                <w:tblLook w:val="04A0"/>
              </w:tblPrEx>
              <w:trPr>
                <w:trHeight w:val="20"/>
              </w:trPr>
              <w:tc>
                <w:tcPr>
                  <w:tcW w:w="1370" w:type="dxa"/>
                  <w:hideMark/>
                </w:tcPr>
                <w:p w:rsidRPr="00922AEF" w:rsidR="0061628A" w:rsidP="0061628A" w14:paraId="7EF29FED" w14:textId="77777777">
                  <w:pPr>
                    <w:rPr>
                      <w:rFonts w:cs="Calibri"/>
                      <w:sz w:val="16"/>
                      <w:szCs w:val="16"/>
                    </w:rPr>
                  </w:pPr>
                  <w:r w:rsidRPr="00922AEF">
                    <w:rPr>
                      <w:rFonts w:cs="Calibri"/>
                      <w:sz w:val="16"/>
                      <w:szCs w:val="16"/>
                    </w:rPr>
                    <w:t>Stede Broec</w:t>
                  </w:r>
                </w:p>
              </w:tc>
              <w:tc>
                <w:tcPr>
                  <w:tcW w:w="1876" w:type="dxa"/>
                </w:tcPr>
                <w:p w:rsidRPr="00922AEF" w:rsidR="0061628A" w:rsidP="0061628A" w14:paraId="3CEE4D38" w14:textId="77777777">
                  <w:pPr>
                    <w:rPr>
                      <w:sz w:val="16"/>
                      <w:szCs w:val="16"/>
                    </w:rPr>
                  </w:pPr>
                  <w:r w:rsidRPr="00922AEF">
                    <w:rPr>
                      <w:rFonts w:cs="Calibri"/>
                      <w:sz w:val="16"/>
                      <w:szCs w:val="16"/>
                    </w:rPr>
                    <w:t>Hoogkarspel Zuid</w:t>
                  </w:r>
                </w:p>
              </w:tc>
              <w:tc>
                <w:tcPr>
                  <w:tcW w:w="936" w:type="dxa"/>
                </w:tcPr>
                <w:p w:rsidRPr="00922AEF" w:rsidR="0061628A" w:rsidP="0061628A" w14:paraId="1D153C94" w14:textId="77777777">
                  <w:pPr>
                    <w:rPr>
                      <w:sz w:val="16"/>
                      <w:szCs w:val="16"/>
                    </w:rPr>
                  </w:pPr>
                  <w:r w:rsidRPr="00922AEF">
                    <w:rPr>
                      <w:rFonts w:cs="Calibri"/>
                      <w:sz w:val="16"/>
                      <w:szCs w:val="16"/>
                    </w:rPr>
                    <w:t>500</w:t>
                  </w:r>
                </w:p>
              </w:tc>
              <w:tc>
                <w:tcPr>
                  <w:tcW w:w="1315" w:type="dxa"/>
                </w:tcPr>
                <w:p w:rsidRPr="00922AEF" w:rsidR="0061628A" w:rsidP="0061628A" w14:paraId="52C1CE6F" w14:textId="77777777">
                  <w:pPr>
                    <w:rPr>
                      <w:sz w:val="16"/>
                      <w:szCs w:val="16"/>
                    </w:rPr>
                  </w:pPr>
                  <w:r w:rsidRPr="00922AEF">
                    <w:rPr>
                      <w:rFonts w:cs="Calibri"/>
                      <w:sz w:val="16"/>
                      <w:szCs w:val="16"/>
                    </w:rPr>
                    <w:t>€ 4.228.750</w:t>
                  </w:r>
                </w:p>
              </w:tc>
              <w:tc>
                <w:tcPr>
                  <w:tcW w:w="1164" w:type="dxa"/>
                </w:tcPr>
                <w:p w:rsidRPr="00922AEF" w:rsidR="0061628A" w:rsidP="0061628A" w14:paraId="70195BE7" w14:textId="77777777">
                  <w:pPr>
                    <w:rPr>
                      <w:sz w:val="16"/>
                      <w:szCs w:val="16"/>
                    </w:rPr>
                  </w:pPr>
                  <w:r w:rsidRPr="00922AEF">
                    <w:rPr>
                      <w:rFonts w:cs="Calibri"/>
                      <w:sz w:val="16"/>
                      <w:szCs w:val="16"/>
                    </w:rPr>
                    <w:t>€ 2.750.000</w:t>
                  </w:r>
                </w:p>
              </w:tc>
              <w:tc>
                <w:tcPr>
                  <w:tcW w:w="1995" w:type="dxa"/>
                </w:tcPr>
                <w:p w:rsidRPr="00922AEF" w:rsidR="0061628A" w:rsidP="0061628A" w14:paraId="17E7961F" w14:textId="77777777">
                  <w:pPr>
                    <w:rPr>
                      <w:sz w:val="16"/>
                      <w:szCs w:val="16"/>
                    </w:rPr>
                  </w:pPr>
                  <w:r w:rsidRPr="00922AEF">
                    <w:rPr>
                      <w:rFonts w:cs="Calibri"/>
                      <w:sz w:val="16"/>
                      <w:szCs w:val="16"/>
                    </w:rPr>
                    <w:t>Aanleg ontsluitingsweg</w:t>
                  </w:r>
                </w:p>
              </w:tc>
            </w:tr>
            <w:tr w:rsidTr="009935CA" w14:paraId="2A3038FD" w14:textId="77777777">
              <w:tblPrEx>
                <w:tblW w:w="8656" w:type="dxa"/>
                <w:tblInd w:w="0" w:type="dxa"/>
                <w:tblLook w:val="04A0"/>
              </w:tblPrEx>
              <w:trPr>
                <w:trHeight w:val="20"/>
              </w:trPr>
              <w:tc>
                <w:tcPr>
                  <w:tcW w:w="1370" w:type="dxa"/>
                  <w:hideMark/>
                </w:tcPr>
                <w:p w:rsidRPr="00922AEF" w:rsidR="0061628A" w:rsidP="0061628A" w14:paraId="2C3B60C8" w14:textId="77777777">
                  <w:pPr>
                    <w:rPr>
                      <w:rFonts w:cs="Calibri"/>
                      <w:sz w:val="16"/>
                      <w:szCs w:val="16"/>
                    </w:rPr>
                  </w:pPr>
                  <w:r w:rsidRPr="00922AEF">
                    <w:rPr>
                      <w:rFonts w:cs="Calibri"/>
                      <w:sz w:val="16"/>
                      <w:szCs w:val="16"/>
                    </w:rPr>
                    <w:t>Urk</w:t>
                  </w:r>
                </w:p>
              </w:tc>
              <w:tc>
                <w:tcPr>
                  <w:tcW w:w="1876" w:type="dxa"/>
                </w:tcPr>
                <w:p w:rsidRPr="00922AEF" w:rsidR="0061628A" w:rsidP="0061628A" w14:paraId="7CFCA6F4" w14:textId="77777777">
                  <w:pPr>
                    <w:rPr>
                      <w:sz w:val="16"/>
                      <w:szCs w:val="16"/>
                    </w:rPr>
                  </w:pPr>
                  <w:r w:rsidRPr="00922AEF">
                    <w:rPr>
                      <w:rFonts w:cs="Calibri"/>
                      <w:sz w:val="16"/>
                      <w:szCs w:val="16"/>
                    </w:rPr>
                    <w:t>Spuiweg</w:t>
                  </w:r>
                </w:p>
              </w:tc>
              <w:tc>
                <w:tcPr>
                  <w:tcW w:w="936" w:type="dxa"/>
                </w:tcPr>
                <w:p w:rsidRPr="00922AEF" w:rsidR="0061628A" w:rsidP="0061628A" w14:paraId="039DD7BB" w14:textId="77777777">
                  <w:pPr>
                    <w:rPr>
                      <w:sz w:val="16"/>
                      <w:szCs w:val="16"/>
                    </w:rPr>
                  </w:pPr>
                  <w:r w:rsidRPr="00922AEF">
                    <w:rPr>
                      <w:rFonts w:cs="Calibri"/>
                      <w:sz w:val="16"/>
                      <w:szCs w:val="16"/>
                    </w:rPr>
                    <w:t>876</w:t>
                  </w:r>
                </w:p>
              </w:tc>
              <w:tc>
                <w:tcPr>
                  <w:tcW w:w="1315" w:type="dxa"/>
                </w:tcPr>
                <w:p w:rsidRPr="00922AEF" w:rsidR="0061628A" w:rsidP="0061628A" w14:paraId="5969C26D" w14:textId="77777777">
                  <w:pPr>
                    <w:rPr>
                      <w:sz w:val="16"/>
                      <w:szCs w:val="16"/>
                    </w:rPr>
                  </w:pPr>
                  <w:r w:rsidRPr="00922AEF">
                    <w:rPr>
                      <w:rFonts w:cs="Calibri"/>
                      <w:sz w:val="16"/>
                      <w:szCs w:val="16"/>
                    </w:rPr>
                    <w:t>€ 9.403.934</w:t>
                  </w:r>
                </w:p>
              </w:tc>
              <w:tc>
                <w:tcPr>
                  <w:tcW w:w="1164" w:type="dxa"/>
                </w:tcPr>
                <w:p w:rsidRPr="00922AEF" w:rsidR="0061628A" w:rsidP="0061628A" w14:paraId="4954B0DB" w14:textId="77777777">
                  <w:pPr>
                    <w:rPr>
                      <w:sz w:val="16"/>
                      <w:szCs w:val="16"/>
                    </w:rPr>
                  </w:pPr>
                  <w:r w:rsidRPr="00922AEF">
                    <w:rPr>
                      <w:rFonts w:cs="Calibri"/>
                      <w:sz w:val="16"/>
                      <w:szCs w:val="16"/>
                    </w:rPr>
                    <w:t>€ 37.510.000</w:t>
                  </w:r>
                </w:p>
              </w:tc>
              <w:tc>
                <w:tcPr>
                  <w:tcW w:w="1995" w:type="dxa"/>
                </w:tcPr>
                <w:p w:rsidRPr="00922AEF" w:rsidR="0061628A" w:rsidP="0061628A" w14:paraId="5111928E" w14:textId="77777777">
                  <w:pPr>
                    <w:rPr>
                      <w:sz w:val="16"/>
                      <w:szCs w:val="16"/>
                    </w:rPr>
                  </w:pPr>
                  <w:r w:rsidRPr="00922AEF">
                    <w:rPr>
                      <w:rFonts w:cs="Calibri"/>
                      <w:sz w:val="16"/>
                      <w:szCs w:val="16"/>
                    </w:rPr>
                    <w:t>Aanleg ontsluitingswegen, aanleg rotondes</w:t>
                  </w:r>
                  <w:r w:rsidRPr="008E2FD4">
                    <w:rPr>
                      <w:rFonts w:cs="Calibri"/>
                      <w:sz w:val="16"/>
                      <w:szCs w:val="16"/>
                    </w:rPr>
                    <w:t>, PM</w:t>
                  </w:r>
                </w:p>
              </w:tc>
            </w:tr>
            <w:tr w:rsidTr="009935CA" w14:paraId="6AE2834C" w14:textId="77777777">
              <w:tblPrEx>
                <w:tblW w:w="8656" w:type="dxa"/>
                <w:tblInd w:w="0" w:type="dxa"/>
                <w:tblLook w:val="04A0"/>
              </w:tblPrEx>
              <w:trPr>
                <w:trHeight w:val="20"/>
              </w:trPr>
              <w:tc>
                <w:tcPr>
                  <w:tcW w:w="1370" w:type="dxa"/>
                  <w:hideMark/>
                </w:tcPr>
                <w:p w:rsidRPr="00922AEF" w:rsidR="0061628A" w:rsidP="0061628A" w14:paraId="17070EDD" w14:textId="77777777">
                  <w:pPr>
                    <w:rPr>
                      <w:rFonts w:cs="Calibri"/>
                      <w:sz w:val="16"/>
                      <w:szCs w:val="16"/>
                    </w:rPr>
                  </w:pPr>
                  <w:r w:rsidRPr="00922AEF">
                    <w:rPr>
                      <w:rFonts w:cs="Calibri"/>
                      <w:sz w:val="16"/>
                      <w:szCs w:val="16"/>
                    </w:rPr>
                    <w:t>Utrecht</w:t>
                  </w:r>
                </w:p>
              </w:tc>
              <w:tc>
                <w:tcPr>
                  <w:tcW w:w="1876" w:type="dxa"/>
                </w:tcPr>
                <w:p w:rsidRPr="00922AEF" w:rsidR="0061628A" w:rsidP="0061628A" w14:paraId="04D1FCAB" w14:textId="77777777">
                  <w:pPr>
                    <w:rPr>
                      <w:sz w:val="16"/>
                      <w:szCs w:val="16"/>
                    </w:rPr>
                  </w:pPr>
                  <w:r w:rsidRPr="00922AEF">
                    <w:rPr>
                      <w:rFonts w:cs="Calibri"/>
                      <w:sz w:val="16"/>
                      <w:szCs w:val="16"/>
                    </w:rPr>
                    <w:t>Noordwest</w:t>
                  </w:r>
                </w:p>
              </w:tc>
              <w:tc>
                <w:tcPr>
                  <w:tcW w:w="936" w:type="dxa"/>
                </w:tcPr>
                <w:p w:rsidRPr="00922AEF" w:rsidR="0061628A" w:rsidP="0061628A" w14:paraId="06D6F16F" w14:textId="77777777">
                  <w:pPr>
                    <w:rPr>
                      <w:sz w:val="16"/>
                      <w:szCs w:val="16"/>
                    </w:rPr>
                  </w:pPr>
                  <w:r w:rsidRPr="00922AEF">
                    <w:rPr>
                      <w:rFonts w:cs="Calibri"/>
                      <w:sz w:val="16"/>
                      <w:szCs w:val="16"/>
                    </w:rPr>
                    <w:t>1.840</w:t>
                  </w:r>
                </w:p>
              </w:tc>
              <w:tc>
                <w:tcPr>
                  <w:tcW w:w="1315" w:type="dxa"/>
                </w:tcPr>
                <w:p w:rsidRPr="00922AEF" w:rsidR="0061628A" w:rsidP="0061628A" w14:paraId="7EF8E379" w14:textId="77777777">
                  <w:pPr>
                    <w:rPr>
                      <w:sz w:val="16"/>
                      <w:szCs w:val="16"/>
                    </w:rPr>
                  </w:pPr>
                  <w:r w:rsidRPr="00922AEF">
                    <w:rPr>
                      <w:rFonts w:cs="Calibri"/>
                      <w:sz w:val="16"/>
                      <w:szCs w:val="16"/>
                    </w:rPr>
                    <w:t>€ 8.284.619</w:t>
                  </w:r>
                </w:p>
              </w:tc>
              <w:tc>
                <w:tcPr>
                  <w:tcW w:w="1164" w:type="dxa"/>
                </w:tcPr>
                <w:p w:rsidRPr="00922AEF" w:rsidR="0061628A" w:rsidP="0061628A" w14:paraId="2D3B82FB" w14:textId="77777777">
                  <w:pPr>
                    <w:rPr>
                      <w:sz w:val="16"/>
                      <w:szCs w:val="16"/>
                    </w:rPr>
                  </w:pPr>
                  <w:r w:rsidRPr="00922AEF">
                    <w:rPr>
                      <w:rFonts w:cs="Calibri"/>
                      <w:sz w:val="16"/>
                      <w:szCs w:val="16"/>
                    </w:rPr>
                    <w:t>€ 5.948.750</w:t>
                  </w:r>
                </w:p>
              </w:tc>
              <w:tc>
                <w:tcPr>
                  <w:tcW w:w="1995" w:type="dxa"/>
                </w:tcPr>
                <w:p w:rsidRPr="00922AEF" w:rsidR="0061628A" w:rsidP="0061628A" w14:paraId="5F1CB1EC" w14:textId="77777777">
                  <w:pPr>
                    <w:rPr>
                      <w:sz w:val="16"/>
                      <w:szCs w:val="16"/>
                    </w:rPr>
                  </w:pPr>
                  <w:r w:rsidRPr="00922AEF">
                    <w:rPr>
                      <w:rFonts w:cs="Calibri"/>
                      <w:sz w:val="16"/>
                      <w:szCs w:val="16"/>
                    </w:rPr>
                    <w:t>Aanleg fiets- en voetgangerspaden</w:t>
                  </w:r>
                </w:p>
              </w:tc>
            </w:tr>
            <w:tr w:rsidTr="009935CA" w14:paraId="264A31AE" w14:textId="77777777">
              <w:tblPrEx>
                <w:tblW w:w="8656" w:type="dxa"/>
                <w:tblInd w:w="0" w:type="dxa"/>
                <w:tblLook w:val="04A0"/>
              </w:tblPrEx>
              <w:trPr>
                <w:trHeight w:val="20"/>
              </w:trPr>
              <w:tc>
                <w:tcPr>
                  <w:tcW w:w="1370" w:type="dxa"/>
                  <w:hideMark/>
                </w:tcPr>
                <w:p w:rsidRPr="00922AEF" w:rsidR="0061628A" w:rsidP="0061628A" w14:paraId="0ED3EF47" w14:textId="77777777">
                  <w:pPr>
                    <w:rPr>
                      <w:rFonts w:cs="Calibri"/>
                      <w:sz w:val="16"/>
                      <w:szCs w:val="16"/>
                    </w:rPr>
                  </w:pPr>
                  <w:r w:rsidRPr="00922AEF">
                    <w:rPr>
                      <w:rFonts w:cs="Calibri"/>
                      <w:sz w:val="16"/>
                      <w:szCs w:val="16"/>
                    </w:rPr>
                    <w:t>Utrecht</w:t>
                  </w:r>
                </w:p>
              </w:tc>
              <w:tc>
                <w:tcPr>
                  <w:tcW w:w="1876" w:type="dxa"/>
                </w:tcPr>
                <w:p w:rsidRPr="00922AEF" w:rsidR="0061628A" w:rsidP="0061628A" w14:paraId="738F2339" w14:textId="77777777">
                  <w:pPr>
                    <w:rPr>
                      <w:sz w:val="16"/>
                      <w:szCs w:val="16"/>
                    </w:rPr>
                  </w:pPr>
                  <w:r w:rsidRPr="00922AEF">
                    <w:rPr>
                      <w:rFonts w:cs="Calibri"/>
                      <w:sz w:val="16"/>
                      <w:szCs w:val="16"/>
                    </w:rPr>
                    <w:t>Overvecht</w:t>
                  </w:r>
                </w:p>
              </w:tc>
              <w:tc>
                <w:tcPr>
                  <w:tcW w:w="936" w:type="dxa"/>
                </w:tcPr>
                <w:p w:rsidRPr="00922AEF" w:rsidR="0061628A" w:rsidP="0061628A" w14:paraId="554736E5" w14:textId="77777777">
                  <w:pPr>
                    <w:rPr>
                      <w:sz w:val="16"/>
                      <w:szCs w:val="16"/>
                    </w:rPr>
                  </w:pPr>
                  <w:r w:rsidRPr="00922AEF">
                    <w:rPr>
                      <w:rFonts w:cs="Calibri"/>
                      <w:sz w:val="16"/>
                      <w:szCs w:val="16"/>
                    </w:rPr>
                    <w:t>2.267</w:t>
                  </w:r>
                </w:p>
              </w:tc>
              <w:tc>
                <w:tcPr>
                  <w:tcW w:w="1315" w:type="dxa"/>
                </w:tcPr>
                <w:p w:rsidRPr="00922AEF" w:rsidR="0061628A" w:rsidP="0061628A" w14:paraId="2811CC54" w14:textId="77777777">
                  <w:pPr>
                    <w:rPr>
                      <w:sz w:val="16"/>
                      <w:szCs w:val="16"/>
                    </w:rPr>
                  </w:pPr>
                  <w:r w:rsidRPr="00922AEF">
                    <w:rPr>
                      <w:rFonts w:cs="Calibri"/>
                      <w:sz w:val="16"/>
                      <w:szCs w:val="16"/>
                    </w:rPr>
                    <w:t>€ 26.914.750</w:t>
                  </w:r>
                </w:p>
              </w:tc>
              <w:tc>
                <w:tcPr>
                  <w:tcW w:w="1164" w:type="dxa"/>
                </w:tcPr>
                <w:p w:rsidRPr="00922AEF" w:rsidR="0061628A" w:rsidP="0061628A" w14:paraId="4DD883E3" w14:textId="77777777">
                  <w:pPr>
                    <w:rPr>
                      <w:sz w:val="16"/>
                      <w:szCs w:val="16"/>
                    </w:rPr>
                  </w:pPr>
                  <w:r w:rsidRPr="00922AEF">
                    <w:rPr>
                      <w:rFonts w:cs="Calibri"/>
                      <w:sz w:val="16"/>
                      <w:szCs w:val="16"/>
                    </w:rPr>
                    <w:t>€ 30.790.000</w:t>
                  </w:r>
                </w:p>
              </w:tc>
              <w:tc>
                <w:tcPr>
                  <w:tcW w:w="1995" w:type="dxa"/>
                </w:tcPr>
                <w:p w:rsidRPr="00922AEF" w:rsidR="0061628A" w:rsidP="0061628A" w14:paraId="06487F59" w14:textId="77777777">
                  <w:pPr>
                    <w:rPr>
                      <w:sz w:val="16"/>
                      <w:szCs w:val="16"/>
                    </w:rPr>
                  </w:pPr>
                  <w:r w:rsidRPr="00922AEF">
                    <w:rPr>
                      <w:rFonts w:cs="Calibri"/>
                      <w:sz w:val="16"/>
                      <w:szCs w:val="16"/>
                    </w:rPr>
                    <w:t xml:space="preserve">Henrichting fietspaden, aanleg fiets- en </w:t>
                  </w:r>
                  <w:r w:rsidRPr="00922AEF">
                    <w:rPr>
                      <w:rFonts w:cs="Calibri"/>
                      <w:sz w:val="16"/>
                      <w:szCs w:val="16"/>
                    </w:rPr>
                    <w:t>voetgangersbrug (weg), aanleg HOV-verbinding</w:t>
                  </w:r>
                </w:p>
              </w:tc>
            </w:tr>
            <w:tr w:rsidTr="009935CA" w14:paraId="010C6F9B" w14:textId="77777777">
              <w:tblPrEx>
                <w:tblW w:w="8656" w:type="dxa"/>
                <w:tblInd w:w="0" w:type="dxa"/>
                <w:tblLook w:val="04A0"/>
              </w:tblPrEx>
              <w:trPr>
                <w:trHeight w:val="20"/>
              </w:trPr>
              <w:tc>
                <w:tcPr>
                  <w:tcW w:w="1370" w:type="dxa"/>
                  <w:hideMark/>
                </w:tcPr>
                <w:p w:rsidRPr="00922AEF" w:rsidR="0061628A" w:rsidP="0061628A" w14:paraId="0760AA78" w14:textId="77777777">
                  <w:pPr>
                    <w:rPr>
                      <w:rFonts w:cs="Calibri"/>
                      <w:sz w:val="16"/>
                      <w:szCs w:val="16"/>
                    </w:rPr>
                  </w:pPr>
                  <w:r w:rsidRPr="00922AEF">
                    <w:rPr>
                      <w:rFonts w:cs="Calibri"/>
                      <w:sz w:val="16"/>
                      <w:szCs w:val="16"/>
                    </w:rPr>
                    <w:t>Vijfheerenlanden</w:t>
                  </w:r>
                </w:p>
              </w:tc>
              <w:tc>
                <w:tcPr>
                  <w:tcW w:w="1876" w:type="dxa"/>
                </w:tcPr>
                <w:p w:rsidRPr="00922AEF" w:rsidR="0061628A" w:rsidP="0061628A" w14:paraId="2278714C" w14:textId="77777777">
                  <w:pPr>
                    <w:rPr>
                      <w:sz w:val="16"/>
                      <w:szCs w:val="16"/>
                    </w:rPr>
                  </w:pPr>
                  <w:r w:rsidRPr="00922AEF">
                    <w:rPr>
                      <w:rFonts w:cs="Calibri"/>
                      <w:sz w:val="16"/>
                      <w:szCs w:val="16"/>
                    </w:rPr>
                    <w:t>Broekgraaf-Noord te Leerdam</w:t>
                  </w:r>
                </w:p>
              </w:tc>
              <w:tc>
                <w:tcPr>
                  <w:tcW w:w="936" w:type="dxa"/>
                </w:tcPr>
                <w:p w:rsidRPr="00922AEF" w:rsidR="0061628A" w:rsidP="0061628A" w14:paraId="019F30D4" w14:textId="77777777">
                  <w:pPr>
                    <w:rPr>
                      <w:sz w:val="16"/>
                      <w:szCs w:val="16"/>
                    </w:rPr>
                  </w:pPr>
                  <w:r w:rsidRPr="00922AEF">
                    <w:rPr>
                      <w:rFonts w:cs="Calibri"/>
                      <w:sz w:val="16"/>
                      <w:szCs w:val="16"/>
                    </w:rPr>
                    <w:t>800</w:t>
                  </w:r>
                </w:p>
              </w:tc>
              <w:tc>
                <w:tcPr>
                  <w:tcW w:w="1315" w:type="dxa"/>
                </w:tcPr>
                <w:p w:rsidRPr="00922AEF" w:rsidR="0061628A" w:rsidP="0061628A" w14:paraId="5320DBAE" w14:textId="77777777">
                  <w:pPr>
                    <w:rPr>
                      <w:sz w:val="16"/>
                      <w:szCs w:val="16"/>
                    </w:rPr>
                  </w:pPr>
                  <w:r w:rsidRPr="00922AEF">
                    <w:rPr>
                      <w:rFonts w:cs="Calibri"/>
                      <w:sz w:val="16"/>
                      <w:szCs w:val="16"/>
                    </w:rPr>
                    <w:t>€ 6.219.248</w:t>
                  </w:r>
                </w:p>
              </w:tc>
              <w:tc>
                <w:tcPr>
                  <w:tcW w:w="1164" w:type="dxa"/>
                </w:tcPr>
                <w:p w:rsidRPr="00922AEF" w:rsidR="0061628A" w:rsidP="0061628A" w14:paraId="2E987190" w14:textId="77777777">
                  <w:pPr>
                    <w:rPr>
                      <w:sz w:val="16"/>
                      <w:szCs w:val="16"/>
                    </w:rPr>
                  </w:pPr>
                  <w:r w:rsidRPr="00922AEF">
                    <w:rPr>
                      <w:rFonts w:cs="Calibri"/>
                      <w:sz w:val="16"/>
                      <w:szCs w:val="16"/>
                    </w:rPr>
                    <w:t>€ 6.250.501</w:t>
                  </w:r>
                </w:p>
              </w:tc>
              <w:tc>
                <w:tcPr>
                  <w:tcW w:w="1995" w:type="dxa"/>
                </w:tcPr>
                <w:p w:rsidRPr="00922AEF" w:rsidR="0061628A" w:rsidP="0061628A" w14:paraId="29496DF7" w14:textId="77777777">
                  <w:pPr>
                    <w:rPr>
                      <w:sz w:val="16"/>
                      <w:szCs w:val="16"/>
                    </w:rPr>
                  </w:pPr>
                  <w:r w:rsidRPr="00922AEF">
                    <w:rPr>
                      <w:rFonts w:cs="Calibri"/>
                      <w:sz w:val="16"/>
                      <w:szCs w:val="16"/>
                    </w:rPr>
                    <w:t>Aanleg fietstunnel, aanleg fietspaden</w:t>
                  </w:r>
                </w:p>
              </w:tc>
            </w:tr>
            <w:tr w:rsidTr="0061628A" w14:paraId="134244E2" w14:textId="77777777">
              <w:tblPrEx>
                <w:tblW w:w="8656" w:type="dxa"/>
                <w:tblInd w:w="0" w:type="dxa"/>
                <w:tblLook w:val="04A0"/>
              </w:tblPrEx>
              <w:trPr>
                <w:trHeight w:val="20"/>
              </w:trPr>
              <w:tc>
                <w:tcPr>
                  <w:tcW w:w="1370" w:type="dxa"/>
                  <w:tcBorders>
                    <w:bottom w:val="single" w:color="000000" w:sz="4" w:space="0"/>
                  </w:tcBorders>
                  <w:hideMark/>
                </w:tcPr>
                <w:p w:rsidRPr="00922AEF" w:rsidR="0061628A" w:rsidP="0061628A" w14:paraId="55223CBD" w14:textId="77777777">
                  <w:pPr>
                    <w:rPr>
                      <w:rFonts w:cs="Calibri"/>
                      <w:sz w:val="16"/>
                      <w:szCs w:val="16"/>
                    </w:rPr>
                  </w:pPr>
                  <w:r w:rsidRPr="00922AEF">
                    <w:rPr>
                      <w:rFonts w:cs="Calibri"/>
                      <w:sz w:val="16"/>
                      <w:szCs w:val="16"/>
                    </w:rPr>
                    <w:t>Wijk bij Duurstede</w:t>
                  </w:r>
                </w:p>
              </w:tc>
              <w:tc>
                <w:tcPr>
                  <w:tcW w:w="1876" w:type="dxa"/>
                  <w:tcBorders>
                    <w:bottom w:val="single" w:color="000000" w:sz="4" w:space="0"/>
                  </w:tcBorders>
                </w:tcPr>
                <w:p w:rsidRPr="00922AEF" w:rsidR="0061628A" w:rsidP="0061628A" w14:paraId="1D80F7AE" w14:textId="77777777">
                  <w:pPr>
                    <w:rPr>
                      <w:sz w:val="16"/>
                      <w:szCs w:val="16"/>
                    </w:rPr>
                  </w:pPr>
                  <w:r w:rsidRPr="00922AEF">
                    <w:rPr>
                      <w:rFonts w:cs="Calibri"/>
                      <w:sz w:val="16"/>
                      <w:szCs w:val="16"/>
                    </w:rPr>
                    <w:t>De Geer III Wijk bij Duurstede</w:t>
                  </w:r>
                </w:p>
              </w:tc>
              <w:tc>
                <w:tcPr>
                  <w:tcW w:w="936" w:type="dxa"/>
                  <w:tcBorders>
                    <w:bottom w:val="single" w:color="000000" w:sz="4" w:space="0"/>
                  </w:tcBorders>
                </w:tcPr>
                <w:p w:rsidRPr="00922AEF" w:rsidR="0061628A" w:rsidP="0061628A" w14:paraId="77AA850E" w14:textId="77777777">
                  <w:pPr>
                    <w:rPr>
                      <w:sz w:val="16"/>
                      <w:szCs w:val="16"/>
                    </w:rPr>
                  </w:pPr>
                  <w:r w:rsidRPr="00922AEF">
                    <w:rPr>
                      <w:rFonts w:cs="Calibri"/>
                      <w:sz w:val="16"/>
                      <w:szCs w:val="16"/>
                    </w:rPr>
                    <w:t>663</w:t>
                  </w:r>
                </w:p>
              </w:tc>
              <w:tc>
                <w:tcPr>
                  <w:tcW w:w="1315" w:type="dxa"/>
                  <w:tcBorders>
                    <w:bottom w:val="single" w:color="000000" w:sz="4" w:space="0"/>
                  </w:tcBorders>
                </w:tcPr>
                <w:p w:rsidRPr="00922AEF" w:rsidR="0061628A" w:rsidP="0061628A" w14:paraId="63BF68CA" w14:textId="77777777">
                  <w:pPr>
                    <w:rPr>
                      <w:sz w:val="16"/>
                      <w:szCs w:val="16"/>
                    </w:rPr>
                  </w:pPr>
                  <w:r w:rsidRPr="00922AEF">
                    <w:rPr>
                      <w:rFonts w:cs="Calibri"/>
                      <w:sz w:val="16"/>
                      <w:szCs w:val="16"/>
                    </w:rPr>
                    <w:t>€ 3.663.455</w:t>
                  </w:r>
                </w:p>
              </w:tc>
              <w:tc>
                <w:tcPr>
                  <w:tcW w:w="1164" w:type="dxa"/>
                  <w:tcBorders>
                    <w:bottom w:val="single" w:color="000000" w:sz="4" w:space="0"/>
                  </w:tcBorders>
                </w:tcPr>
                <w:p w:rsidRPr="00922AEF" w:rsidR="0061628A" w:rsidP="0061628A" w14:paraId="4123ED37" w14:textId="77777777">
                  <w:pPr>
                    <w:rPr>
                      <w:sz w:val="16"/>
                      <w:szCs w:val="16"/>
                    </w:rPr>
                  </w:pPr>
                  <w:r w:rsidRPr="00922AEF">
                    <w:rPr>
                      <w:rFonts w:cs="Calibri"/>
                      <w:sz w:val="16"/>
                      <w:szCs w:val="16"/>
                    </w:rPr>
                    <w:t>€ 2.454.576</w:t>
                  </w:r>
                </w:p>
              </w:tc>
              <w:tc>
                <w:tcPr>
                  <w:tcW w:w="1995" w:type="dxa"/>
                  <w:tcBorders>
                    <w:bottom w:val="single" w:color="000000" w:sz="4" w:space="0"/>
                  </w:tcBorders>
                </w:tcPr>
                <w:p w:rsidRPr="00922AEF" w:rsidR="0061628A" w:rsidP="0061628A" w14:paraId="1A503D09" w14:textId="77777777">
                  <w:pPr>
                    <w:rPr>
                      <w:sz w:val="16"/>
                      <w:szCs w:val="16"/>
                    </w:rPr>
                  </w:pPr>
                  <w:r w:rsidRPr="00922AEF">
                    <w:rPr>
                      <w:rFonts w:cs="Calibri"/>
                      <w:sz w:val="16"/>
                      <w:szCs w:val="16"/>
                    </w:rPr>
                    <w:t>Aanleg rotonde</w:t>
                  </w:r>
                </w:p>
              </w:tc>
            </w:tr>
            <w:tr w:rsidTr="0061628A" w14:paraId="1473D0EA" w14:textId="77777777">
              <w:tblPrEx>
                <w:tblW w:w="8656" w:type="dxa"/>
                <w:tblInd w:w="0" w:type="dxa"/>
                <w:tblLook w:val="04A0"/>
              </w:tblPrEx>
              <w:trPr>
                <w:trHeight w:val="20"/>
              </w:trPr>
              <w:tc>
                <w:tcPr>
                  <w:tcW w:w="1370" w:type="dxa"/>
                  <w:tcBorders>
                    <w:bottom w:val="single" w:color="auto" w:sz="4" w:space="0"/>
                  </w:tcBorders>
                  <w:hideMark/>
                </w:tcPr>
                <w:p w:rsidRPr="00922AEF" w:rsidR="0061628A" w:rsidP="0061628A" w14:paraId="705957EF" w14:textId="77777777">
                  <w:pPr>
                    <w:rPr>
                      <w:rFonts w:cs="Calibri"/>
                      <w:sz w:val="16"/>
                      <w:szCs w:val="16"/>
                    </w:rPr>
                  </w:pPr>
                  <w:r w:rsidRPr="00922AEF">
                    <w:rPr>
                      <w:rFonts w:cs="Calibri"/>
                      <w:sz w:val="16"/>
                      <w:szCs w:val="16"/>
                    </w:rPr>
                    <w:t>Woudenberg</w:t>
                  </w:r>
                </w:p>
              </w:tc>
              <w:tc>
                <w:tcPr>
                  <w:tcW w:w="1876" w:type="dxa"/>
                  <w:tcBorders>
                    <w:bottom w:val="single" w:color="auto" w:sz="4" w:space="0"/>
                  </w:tcBorders>
                </w:tcPr>
                <w:p w:rsidRPr="00922AEF" w:rsidR="0061628A" w:rsidP="0061628A" w14:paraId="2E8F50C1" w14:textId="77777777">
                  <w:pPr>
                    <w:rPr>
                      <w:sz w:val="16"/>
                      <w:szCs w:val="16"/>
                    </w:rPr>
                  </w:pPr>
                  <w:r w:rsidRPr="00922AEF">
                    <w:rPr>
                      <w:rFonts w:cs="Calibri"/>
                      <w:sz w:val="16"/>
                      <w:szCs w:val="16"/>
                    </w:rPr>
                    <w:t>Bovenplanse mobiliteitsmaatregelen</w:t>
                  </w:r>
                  <w:r w:rsidRPr="00922AEF">
                    <w:rPr>
                      <w:rFonts w:cs="Calibri"/>
                      <w:sz w:val="16"/>
                      <w:szCs w:val="16"/>
                    </w:rPr>
                    <w:br/>
                    <w:t>Hoevelaar fase 3</w:t>
                  </w:r>
                </w:p>
              </w:tc>
              <w:tc>
                <w:tcPr>
                  <w:tcW w:w="936" w:type="dxa"/>
                  <w:tcBorders>
                    <w:bottom w:val="single" w:color="auto" w:sz="4" w:space="0"/>
                  </w:tcBorders>
                </w:tcPr>
                <w:p w:rsidRPr="00922AEF" w:rsidR="0061628A" w:rsidP="0061628A" w14:paraId="4B19C95D" w14:textId="77777777">
                  <w:pPr>
                    <w:rPr>
                      <w:sz w:val="16"/>
                      <w:szCs w:val="16"/>
                    </w:rPr>
                  </w:pPr>
                  <w:r w:rsidRPr="00922AEF">
                    <w:rPr>
                      <w:rFonts w:cs="Calibri"/>
                      <w:sz w:val="16"/>
                      <w:szCs w:val="16"/>
                    </w:rPr>
                    <w:t>575</w:t>
                  </w:r>
                </w:p>
              </w:tc>
              <w:tc>
                <w:tcPr>
                  <w:tcW w:w="1315" w:type="dxa"/>
                  <w:tcBorders>
                    <w:bottom w:val="single" w:color="auto" w:sz="4" w:space="0"/>
                  </w:tcBorders>
                </w:tcPr>
                <w:p w:rsidRPr="00922AEF" w:rsidR="0061628A" w:rsidP="0061628A" w14:paraId="374ED90A" w14:textId="77777777">
                  <w:pPr>
                    <w:rPr>
                      <w:sz w:val="16"/>
                      <w:szCs w:val="16"/>
                    </w:rPr>
                  </w:pPr>
                  <w:r w:rsidRPr="00922AEF">
                    <w:rPr>
                      <w:rFonts w:cs="Calibri"/>
                      <w:sz w:val="16"/>
                      <w:szCs w:val="16"/>
                    </w:rPr>
                    <w:t>€ 1.076.331</w:t>
                  </w:r>
                </w:p>
              </w:tc>
              <w:tc>
                <w:tcPr>
                  <w:tcW w:w="1164" w:type="dxa"/>
                  <w:tcBorders>
                    <w:bottom w:val="single" w:color="auto" w:sz="4" w:space="0"/>
                  </w:tcBorders>
                </w:tcPr>
                <w:p w:rsidRPr="00922AEF" w:rsidR="0061628A" w:rsidP="0061628A" w14:paraId="66E92FD2" w14:textId="77777777">
                  <w:pPr>
                    <w:rPr>
                      <w:sz w:val="16"/>
                      <w:szCs w:val="16"/>
                    </w:rPr>
                  </w:pPr>
                  <w:r w:rsidRPr="00922AEF">
                    <w:rPr>
                      <w:rFonts w:cs="Calibri"/>
                      <w:sz w:val="16"/>
                      <w:szCs w:val="16"/>
                    </w:rPr>
                    <w:t>€ 721.160</w:t>
                  </w:r>
                </w:p>
              </w:tc>
              <w:tc>
                <w:tcPr>
                  <w:tcW w:w="1995" w:type="dxa"/>
                  <w:tcBorders>
                    <w:bottom w:val="single" w:color="auto" w:sz="4" w:space="0"/>
                  </w:tcBorders>
                </w:tcPr>
                <w:p w:rsidRPr="00922AEF" w:rsidR="0061628A" w:rsidP="0061628A" w14:paraId="1ADC674E" w14:textId="77777777">
                  <w:pPr>
                    <w:rPr>
                      <w:sz w:val="16"/>
                      <w:szCs w:val="16"/>
                    </w:rPr>
                  </w:pPr>
                  <w:r w:rsidRPr="00922AEF">
                    <w:rPr>
                      <w:rFonts w:cs="Calibri"/>
                      <w:sz w:val="16"/>
                      <w:szCs w:val="16"/>
                    </w:rPr>
                    <w:t xml:space="preserve">Herinrichting ronde </w:t>
                  </w:r>
                </w:p>
              </w:tc>
            </w:tr>
          </w:tbl>
          <w:p w:rsidR="00B604B0" w:rsidP="00B604B0" w14:paraId="4D535C7C" w14:textId="77777777">
            <w:pPr>
              <w:pStyle w:val="NoSpacing"/>
              <w:rPr>
                <w:b/>
                <w:bCs/>
              </w:rPr>
            </w:pPr>
          </w:p>
          <w:p w:rsidRPr="009A36E6" w:rsidR="0050221C" w:rsidP="00B604B0" w14:paraId="61E42E2F" w14:textId="71CB5B3D">
            <w:pPr>
              <w:pStyle w:val="NoSpacing"/>
              <w:rPr>
                <w:b/>
                <w:bCs/>
                <w:i/>
                <w:iCs/>
              </w:rPr>
            </w:pPr>
            <w:r w:rsidRPr="009A36E6">
              <w:rPr>
                <w:b/>
                <w:bCs/>
                <w:i/>
                <w:iCs/>
              </w:rPr>
              <w:t>Afspraken grootschalige woningbouw Noordwest-Nederland</w:t>
            </w:r>
          </w:p>
          <w:p w:rsidRPr="009A36E6" w:rsidR="0061628A" w:rsidP="00B604B0" w14:paraId="0660FBBA" w14:textId="3B37AC92">
            <w:pPr>
              <w:pStyle w:val="NoSpacing"/>
              <w:rPr>
                <w:u w:val="single"/>
              </w:rPr>
            </w:pPr>
            <w:r w:rsidRPr="009A36E6">
              <w:rPr>
                <w:u w:val="single"/>
              </w:rPr>
              <w:t>Utrecht Groot Merwede</w:t>
            </w:r>
          </w:p>
          <w:p w:rsidRPr="00922AEF" w:rsidR="0061628A" w:rsidP="00EF0DC4" w14:paraId="6C391781" w14:textId="77777777">
            <w:pPr>
              <w:pStyle w:val="ListParagraph"/>
              <w:numPr>
                <w:ilvl w:val="0"/>
                <w:numId w:val="15"/>
              </w:numPr>
              <w:spacing w:line="276" w:lineRule="auto"/>
              <w:rPr>
                <w:rFonts w:eastAsia="Calibri" w:cs="Times New Roman"/>
              </w:rPr>
            </w:pPr>
            <w:r w:rsidRPr="00922AEF">
              <w:rPr>
                <w:rFonts w:eastAsia="Calibri" w:cs="Times New Roman"/>
              </w:rPr>
              <w:t xml:space="preserve">In het nationaal grootschalige woningbouwgebied Utrecht Groot Merwede worden tot en met 2030 25.500 woningen gebouwd, zoals afgesproken in het BO MIRT 2022. </w:t>
            </w:r>
          </w:p>
          <w:p w:rsidRPr="00922AEF" w:rsidR="0061628A" w:rsidP="00EF0DC4" w14:paraId="6547A32D" w14:textId="77777777">
            <w:pPr>
              <w:pStyle w:val="ListParagraph"/>
              <w:numPr>
                <w:ilvl w:val="0"/>
                <w:numId w:val="15"/>
              </w:numPr>
              <w:spacing w:line="276" w:lineRule="auto"/>
              <w:rPr>
                <w:rFonts w:eastAsia="Calibri" w:cs="Times New Roman"/>
              </w:rPr>
            </w:pPr>
            <w:r w:rsidRPr="00922AEF">
              <w:rPr>
                <w:rFonts w:eastAsia="Calibri" w:cs="Times New Roman"/>
              </w:rPr>
              <w:t xml:space="preserve">Aanvullend wordt er in Groot Merwede tot en met 2034 gestart met de bouw van </w:t>
            </w:r>
            <w:r>
              <w:rPr>
                <w:rFonts w:eastAsia="Calibri" w:cs="Times New Roman"/>
              </w:rPr>
              <w:t>circa</w:t>
            </w:r>
            <w:r w:rsidRPr="00922AEF">
              <w:rPr>
                <w:rFonts w:eastAsia="Calibri" w:cs="Times New Roman"/>
              </w:rPr>
              <w:t xml:space="preserve"> 10.000 extra nieuwe woningen. Voor de ontsluiting en bereikbaarheid van deze woningen reserveert het Rijk een bijdrage van </w:t>
            </w:r>
            <w:r>
              <w:rPr>
                <w:rFonts w:eastAsia="Calibri" w:cs="Times New Roman"/>
              </w:rPr>
              <w:t>circa</w:t>
            </w:r>
            <w:r w:rsidRPr="00922AEF">
              <w:rPr>
                <w:rFonts w:eastAsia="Calibri" w:cs="Times New Roman"/>
              </w:rPr>
              <w:t xml:space="preserve"> € 562,3 miljoen ten behoeve van de aanleg van de Merwedelijn. De voorwaarden verbonden aan deze middelen en nadere bestuurlijke afspraken zijn te vinden onder agendapunt MIRT-verkenning OV en Wonen Regio Utrecht en MIRT-onderzoek A12-zone i.s.m. Rijnenburg.</w:t>
            </w:r>
          </w:p>
          <w:p w:rsidRPr="0061628A" w:rsidR="0061628A" w:rsidP="00EF0DC4" w14:paraId="6E0F2F3E" w14:textId="0CFF4447">
            <w:pPr>
              <w:pStyle w:val="ListParagraph"/>
              <w:numPr>
                <w:ilvl w:val="0"/>
                <w:numId w:val="15"/>
              </w:numPr>
              <w:spacing w:line="276" w:lineRule="auto"/>
            </w:pPr>
            <w:r w:rsidRPr="00922AEF">
              <w:rPr>
                <w:rFonts w:eastAsia="Calibri" w:cs="Times New Roman"/>
              </w:rPr>
              <w:t xml:space="preserve">Het Rijk reserveert voor </w:t>
            </w:r>
            <w:r w:rsidR="00830123">
              <w:rPr>
                <w:rFonts w:eastAsia="Calibri" w:cs="Times New Roman"/>
              </w:rPr>
              <w:t xml:space="preserve">gemeente </w:t>
            </w:r>
            <w:r w:rsidRPr="00922AEF">
              <w:rPr>
                <w:rFonts w:eastAsia="Calibri" w:cs="Times New Roman"/>
              </w:rPr>
              <w:t xml:space="preserve">Utrecht een bijdrage van </w:t>
            </w:r>
            <w:r>
              <w:rPr>
                <w:rFonts w:eastAsia="Calibri" w:cs="Times New Roman"/>
              </w:rPr>
              <w:t>circa</w:t>
            </w:r>
            <w:r w:rsidRPr="00922AEF">
              <w:rPr>
                <w:rFonts w:eastAsia="Calibri" w:cs="Times New Roman"/>
              </w:rPr>
              <w:t xml:space="preserve"> € 13,9 miljoen vanuit het gebiedsbudget voor maatregelen ten behoeve toekomstbestendigheid, (her)inrichting openbare ruimte en verwervingen/(bedrijfs)verplaatsingen</w:t>
            </w:r>
            <w:r>
              <w:rPr>
                <w:rFonts w:eastAsia="Calibri" w:cs="Times New Roman"/>
              </w:rPr>
              <w:t xml:space="preserve"> onder voorwaarde dat de regio minimaal eenzelfde bedrag reserveert</w:t>
            </w:r>
            <w:r w:rsidRPr="00922AEF">
              <w:rPr>
                <w:rFonts w:eastAsia="Calibri" w:cs="Times New Roman"/>
              </w:rPr>
              <w:t xml:space="preserve">.  </w:t>
            </w:r>
          </w:p>
          <w:p w:rsidRPr="0061628A" w:rsidR="0061628A" w:rsidP="00EF0DC4" w14:paraId="5D34ED7F" w14:textId="719EA43A">
            <w:pPr>
              <w:pStyle w:val="ListParagraph"/>
              <w:numPr>
                <w:ilvl w:val="0"/>
                <w:numId w:val="15"/>
              </w:numPr>
              <w:spacing w:line="276" w:lineRule="auto"/>
            </w:pPr>
            <w:r w:rsidRPr="0061628A">
              <w:rPr>
                <w:rFonts w:eastAsia="Calibri" w:cs="Times New Roman"/>
              </w:rPr>
              <w:t>Het Rijk reserveert voor Nieuwegein een bijdrage van circa € 21,4 miljoen vanuit het gebiedsbudget voor (her)inrichting openbare ruimte en verwervingen/(bedrijfs)verplaatsingen onder voorwaarde dat de regio minimaal eenzelfde bedrag reserveert.</w:t>
            </w:r>
          </w:p>
          <w:p w:rsidR="0061628A" w:rsidP="00B604B0" w14:paraId="4A6B642D" w14:textId="77777777">
            <w:pPr>
              <w:pStyle w:val="NoSpacing"/>
              <w:rPr>
                <w:b/>
                <w:bCs/>
              </w:rPr>
            </w:pPr>
          </w:p>
          <w:p w:rsidRPr="009A36E6" w:rsidR="0061628A" w:rsidP="00B604B0" w14:paraId="4978AD18" w14:textId="77777777">
            <w:pPr>
              <w:pStyle w:val="NoSpacing"/>
              <w:rPr>
                <w:u w:val="single"/>
              </w:rPr>
            </w:pPr>
            <w:r w:rsidRPr="009A36E6">
              <w:rPr>
                <w:u w:val="single"/>
              </w:rPr>
              <w:t>Haven-Stad</w:t>
            </w:r>
          </w:p>
          <w:p w:rsidRPr="00922AEF" w:rsidR="002C6E51" w:rsidP="00EF0DC4" w14:paraId="71B41285" w14:textId="77777777">
            <w:pPr>
              <w:pStyle w:val="ListParagraph"/>
              <w:numPr>
                <w:ilvl w:val="0"/>
                <w:numId w:val="16"/>
              </w:numPr>
              <w:spacing w:line="276" w:lineRule="auto"/>
            </w:pPr>
            <w:r w:rsidRPr="00922AEF">
              <w:rPr>
                <w:rFonts w:eastAsia="Calibri" w:cs="Times New Roman"/>
              </w:rPr>
              <w:t>In het nationaal grootschalige woningbouwgebied Haven-Stad, liggend in gemeenten Amsterdam en Zaanstad, worden tot en met 2030 9.000 woningen gebouwd, zoals afgesproken in het BO MIRT 2022.</w:t>
            </w:r>
          </w:p>
          <w:p w:rsidRPr="00922AEF" w:rsidR="002C6E51" w:rsidP="00EF0DC4" w14:paraId="243774D9" w14:textId="77777777">
            <w:pPr>
              <w:pStyle w:val="ListParagraph"/>
              <w:numPr>
                <w:ilvl w:val="0"/>
                <w:numId w:val="16"/>
              </w:numPr>
              <w:spacing w:line="276" w:lineRule="auto"/>
            </w:pPr>
            <w:r w:rsidRPr="00922AEF">
              <w:t xml:space="preserve">Aanvullend wordt er in Haven-Stad tot en met 2034 gestart met de bouw van </w:t>
            </w:r>
            <w:r>
              <w:t>circa</w:t>
            </w:r>
            <w:r w:rsidRPr="00922AEF">
              <w:t xml:space="preserve"> 1000 extra nieuwe woningen in de Achtersluispolder. </w:t>
            </w:r>
          </w:p>
          <w:p w:rsidRPr="00922AEF" w:rsidR="002C6E51" w:rsidP="00EF0DC4" w14:paraId="7E8A7E79" w14:textId="297A7195">
            <w:pPr>
              <w:pStyle w:val="ListParagraph"/>
              <w:numPr>
                <w:ilvl w:val="0"/>
                <w:numId w:val="16"/>
              </w:numPr>
              <w:spacing w:line="276" w:lineRule="auto"/>
            </w:pPr>
            <w:r w:rsidRPr="00922AEF">
              <w:rPr>
                <w:rFonts w:eastAsia="Calibri" w:cs="Times New Roman"/>
              </w:rPr>
              <w:t xml:space="preserve">Het Rijk reserveert voor </w:t>
            </w:r>
            <w:r w:rsidR="00830123">
              <w:rPr>
                <w:rFonts w:eastAsia="Calibri" w:cs="Times New Roman"/>
              </w:rPr>
              <w:t xml:space="preserve">gemeente </w:t>
            </w:r>
            <w:r w:rsidRPr="00922AEF">
              <w:rPr>
                <w:rFonts w:eastAsia="Calibri" w:cs="Times New Roman"/>
              </w:rPr>
              <w:t xml:space="preserve">Zaandam een bijdrage van </w:t>
            </w:r>
            <w:r>
              <w:rPr>
                <w:rFonts w:eastAsia="Calibri" w:cs="Times New Roman"/>
              </w:rPr>
              <w:t>circa</w:t>
            </w:r>
            <w:r w:rsidRPr="00922AEF">
              <w:rPr>
                <w:rFonts w:eastAsia="Calibri" w:cs="Times New Roman"/>
              </w:rPr>
              <w:t xml:space="preserve"> € 11 miljoen vanuit het gebiedsbudget voor maatregelen ten behoeve van </w:t>
            </w:r>
            <w:r>
              <w:rPr>
                <w:rFonts w:eastAsia="Calibri" w:cs="Times New Roman"/>
              </w:rPr>
              <w:t>bedrijfsverplaatsingen, groene inrichting Zijkanaal H en klimaatmaatregelen Sluiskwartier</w:t>
            </w:r>
            <w:r w:rsidRPr="00922AEF">
              <w:rPr>
                <w:rFonts w:eastAsia="Calibri" w:cs="Times New Roman"/>
              </w:rPr>
              <w:t xml:space="preserve">  </w:t>
            </w:r>
            <w:r w:rsidRPr="00922AEF">
              <w:t xml:space="preserve"> onder voorwaarde dat de regio minimaal eenzelfde bijdrage reserveert</w:t>
            </w:r>
            <w:r w:rsidRPr="00922AEF">
              <w:rPr>
                <w:rFonts w:eastAsia="Calibri" w:cs="Times New Roman"/>
              </w:rPr>
              <w:t xml:space="preserve">. </w:t>
            </w:r>
          </w:p>
          <w:p w:rsidRPr="00922AEF" w:rsidR="002C6E51" w:rsidP="00EF0DC4" w14:paraId="2222D967" w14:textId="77777777">
            <w:pPr>
              <w:pStyle w:val="ListParagraph"/>
              <w:numPr>
                <w:ilvl w:val="0"/>
                <w:numId w:val="16"/>
              </w:numPr>
              <w:spacing w:line="276" w:lineRule="auto"/>
            </w:pPr>
            <w:r w:rsidRPr="00922AEF">
              <w:t xml:space="preserve">Voor de ontsluiting en bereikbaarheid van deze woningen reserveert het Rijk een bijdrage van </w:t>
            </w:r>
            <w:r>
              <w:t>circa</w:t>
            </w:r>
            <w:r w:rsidRPr="00922AEF">
              <w:t xml:space="preserve"> € 53,5 miljoen </w:t>
            </w:r>
            <w:r>
              <w:t xml:space="preserve">voor de gemeente Zaanstad </w:t>
            </w:r>
            <w:r w:rsidRPr="00922AEF">
              <w:t xml:space="preserve">ten behoeve van de HOV ZaanIJ </w:t>
            </w:r>
            <w:r>
              <w:t xml:space="preserve">en de bereikbaarheid van de Achtersluispolder </w:t>
            </w:r>
            <w:r w:rsidRPr="00922AEF">
              <w:t xml:space="preserve">onder voorwaarde dat de regio minimaal eenzelfde bijdrage reserveert. </w:t>
            </w:r>
          </w:p>
          <w:p w:rsidR="002C6E51" w:rsidP="00EF0DC4" w14:paraId="59BC040F" w14:textId="77777777">
            <w:pPr>
              <w:pStyle w:val="ListParagraph"/>
              <w:numPr>
                <w:ilvl w:val="0"/>
                <w:numId w:val="16"/>
              </w:numPr>
              <w:spacing w:line="276" w:lineRule="auto"/>
            </w:pPr>
            <w:r w:rsidRPr="00922AEF">
              <w:t xml:space="preserve">Aan het Amsterdamse deel van de HOV ZaanIJ wordt een Rijksbijdrage van </w:t>
            </w:r>
            <w:r>
              <w:t>circa</w:t>
            </w:r>
            <w:r w:rsidRPr="00922AEF">
              <w:t xml:space="preserve"> € 103,5 miljoen geleverd voor de </w:t>
            </w:r>
            <w:r>
              <w:t xml:space="preserve">realisatie </w:t>
            </w:r>
            <w:r w:rsidRPr="00922AEF">
              <w:t>van 8.000 extra woningen tot en met 203</w:t>
            </w:r>
            <w:r>
              <w:t>3</w:t>
            </w:r>
            <w:r w:rsidRPr="00922AEF">
              <w:t xml:space="preserve"> via de WoKT-regeling. </w:t>
            </w:r>
          </w:p>
          <w:p w:rsidRPr="002C6E51" w:rsidR="002C6E51" w:rsidP="00EF0DC4" w14:paraId="53BACDD7" w14:textId="77777777">
            <w:pPr>
              <w:pStyle w:val="ListParagraph"/>
              <w:numPr>
                <w:ilvl w:val="0"/>
                <w:numId w:val="16"/>
              </w:numPr>
              <w:spacing w:line="276" w:lineRule="auto"/>
            </w:pPr>
            <w:r w:rsidRPr="002C6E51">
              <w:t xml:space="preserve">De Rijksbijdrage is ten behoeve van de HOV ZaanIJ tussen station Zaandam Kogerveld en station Noorderpark / Van Hasseltzone. De HOV ZaanIJ zorgt op termijn voor de ontsluiting van circa 50.000 nieuwe woningen in Amsterdam Noord en Zaandam. </w:t>
            </w:r>
            <w:r w:rsidRPr="002C6E51">
              <w:rPr>
                <w:rFonts w:eastAsia="Times New Roman"/>
              </w:rPr>
              <w:t xml:space="preserve"> </w:t>
            </w:r>
          </w:p>
          <w:p w:rsidR="002C6E51" w:rsidP="002C6E51" w14:paraId="7C228A7E" w14:textId="77777777">
            <w:pPr>
              <w:spacing w:line="276" w:lineRule="auto"/>
            </w:pPr>
          </w:p>
          <w:p w:rsidRPr="009A36E6" w:rsidR="002C6E51" w:rsidP="002C6E51" w14:paraId="5309BE14" w14:textId="77777777">
            <w:pPr>
              <w:spacing w:line="276" w:lineRule="auto"/>
              <w:rPr>
                <w:u w:val="single"/>
              </w:rPr>
            </w:pPr>
            <w:r w:rsidRPr="009A36E6">
              <w:rPr>
                <w:u w:val="single"/>
              </w:rPr>
              <w:t>MRA West – Haarlemmermeer</w:t>
            </w:r>
          </w:p>
          <w:p w:rsidRPr="00165309" w:rsidR="002C6E51" w:rsidP="002C6E51" w14:paraId="37CDE074" w14:textId="77777777">
            <w:pPr>
              <w:numPr>
                <w:ilvl w:val="0"/>
                <w:numId w:val="3"/>
              </w:numPr>
              <w:spacing w:line="276" w:lineRule="auto"/>
              <w:rPr>
                <w:rFonts w:eastAsia="Times New Roman" w:cs="Aptos"/>
              </w:rPr>
            </w:pPr>
            <w:r w:rsidRPr="00165309">
              <w:rPr>
                <w:rFonts w:eastAsia="Times New Roman" w:cs="Aptos"/>
              </w:rPr>
              <w:t>In het nationaal grootschalige woningbouwgebied MRA West Haarlemmermeer worden tot en met 2030 17.700 woningen gebouwd, zoals afgesproken in het BO MIRT 2022 en het BO Leefomgeving 2023.</w:t>
            </w:r>
          </w:p>
          <w:p w:rsidRPr="00165309" w:rsidR="002C6E51" w:rsidP="002C6E51" w14:paraId="70289E26" w14:textId="77777777">
            <w:pPr>
              <w:numPr>
                <w:ilvl w:val="0"/>
                <w:numId w:val="3"/>
              </w:numPr>
              <w:spacing w:line="276" w:lineRule="auto"/>
              <w:rPr>
                <w:rFonts w:eastAsia="Times New Roman" w:cs="Aptos"/>
              </w:rPr>
            </w:pPr>
            <w:bookmarkStart w:name="_Hlk211858147" w:id="14"/>
            <w:r w:rsidRPr="00165309">
              <w:rPr>
                <w:rFonts w:eastAsia="Times New Roman" w:cs="Aptos"/>
              </w:rPr>
              <w:t xml:space="preserve">Aanvullend wordt er in de Haarlemmermeer tot en met 2034 gestart met de bouw van circa 1.100 extra nieuwe woningen in Nieuw-Vennep en/of Lisserbroek. </w:t>
            </w:r>
          </w:p>
          <w:p w:rsidRPr="00165309" w:rsidR="002C6E51" w:rsidP="002C6E51" w14:paraId="61481A1A" w14:textId="77777777">
            <w:pPr>
              <w:numPr>
                <w:ilvl w:val="0"/>
                <w:numId w:val="3"/>
              </w:numPr>
              <w:spacing w:line="276" w:lineRule="auto"/>
              <w:rPr>
                <w:rFonts w:eastAsia="Times New Roman" w:cs="Aptos"/>
              </w:rPr>
            </w:pPr>
            <w:r w:rsidRPr="00165309">
              <w:rPr>
                <w:rFonts w:eastAsia="Times New Roman" w:cs="Aptos"/>
              </w:rPr>
              <w:t xml:space="preserve">Voor de ontsluiting en bereikbaarheid van deze nieuwe woningen reserveert het Rijk een bijdrage van circa € 56 miljoen vanuit de inframiddelen voor een HOV-verbinding en een verbinding tussen de Van Heuven Goedhartlaan en de Weg om de Zuid onder voorwaarde dat de regio minimaal eenzelfde bijdrage reserveert. </w:t>
            </w:r>
          </w:p>
          <w:bookmarkEnd w:id="14"/>
          <w:p w:rsidR="002C6E51" w:rsidP="002C6E51" w14:paraId="05A9F3DD" w14:textId="77777777">
            <w:pPr>
              <w:numPr>
                <w:ilvl w:val="0"/>
                <w:numId w:val="3"/>
              </w:numPr>
              <w:spacing w:line="276" w:lineRule="auto"/>
              <w:rPr>
                <w:rFonts w:eastAsia="Times New Roman" w:cs="Aptos"/>
              </w:rPr>
            </w:pPr>
            <w:r w:rsidRPr="00165309">
              <w:rPr>
                <w:rFonts w:eastAsia="Times New Roman" w:cs="Aptos"/>
              </w:rPr>
              <w:t>Rijk en regio monitoren de voortgang van de woningbouw en bijkomende opgaven in de doorbraaklocatie Haarlemmermeer West, zoals de mogelijke mix van mobiliteitsmaatregelen.</w:t>
            </w:r>
          </w:p>
          <w:p w:rsidRPr="002C6E51" w:rsidR="002C6E51" w:rsidP="002C6E51" w14:paraId="387A9DEF" w14:textId="264A263F">
            <w:pPr>
              <w:numPr>
                <w:ilvl w:val="0"/>
                <w:numId w:val="3"/>
              </w:numPr>
              <w:spacing w:line="276" w:lineRule="auto"/>
              <w:rPr>
                <w:rFonts w:eastAsia="Times New Roman" w:cs="Aptos"/>
              </w:rPr>
            </w:pPr>
            <w:r w:rsidRPr="002C6E51">
              <w:rPr>
                <w:rFonts w:eastAsia="Times New Roman" w:cs="Aptos"/>
              </w:rPr>
              <w:t>Rijk en regio blijven met elkaar in gesprek over de haalbaarheid van de gestelde ambitie (planning, tempo, ontwikkellocaties en maatregelen) in de context van de totale ontwikkeling van het grootschalige woningbouwgebied MRA West Haarlemmermeer.  </w:t>
            </w:r>
          </w:p>
          <w:p w:rsidR="002C6E51" w:rsidP="002C6E51" w14:paraId="35E83977" w14:textId="77777777">
            <w:pPr>
              <w:spacing w:line="276" w:lineRule="auto"/>
            </w:pPr>
          </w:p>
          <w:p w:rsidRPr="009A36E6" w:rsidR="002C6E51" w:rsidP="002C6E51" w14:paraId="28F14C05" w14:textId="77777777">
            <w:pPr>
              <w:spacing w:line="276" w:lineRule="auto"/>
              <w:rPr>
                <w:u w:val="single"/>
              </w:rPr>
            </w:pPr>
            <w:r w:rsidRPr="009A36E6">
              <w:rPr>
                <w:u w:val="single"/>
              </w:rPr>
              <w:t>MRA Oost – Amsterdam</w:t>
            </w:r>
          </w:p>
          <w:p w:rsidRPr="00922AEF" w:rsidR="002C6E51" w:rsidP="00EF0DC4" w14:paraId="4BFE21B9" w14:textId="77777777">
            <w:pPr>
              <w:pStyle w:val="ListParagraph"/>
              <w:numPr>
                <w:ilvl w:val="0"/>
                <w:numId w:val="17"/>
              </w:numPr>
              <w:spacing w:line="276" w:lineRule="auto"/>
            </w:pPr>
            <w:r w:rsidRPr="00922AEF">
              <w:rPr>
                <w:rFonts w:eastAsia="Calibri" w:cs="Times New Roman"/>
              </w:rPr>
              <w:t xml:space="preserve">In het deelgebied Amsterdam IJburg (Strandeiland en Zeeburgereiland) van nationaal grootschalige woningbouwgebieden MRA Oost worden tot en met 2030 10.600 woningen gebouwd, zoals afgesproken in het BO MIRT 2022. </w:t>
            </w:r>
          </w:p>
          <w:p w:rsidRPr="00922AEF" w:rsidR="002C6E51" w:rsidP="00EF0DC4" w14:paraId="6F60A21A" w14:textId="77777777">
            <w:pPr>
              <w:pStyle w:val="ListParagraph"/>
              <w:numPr>
                <w:ilvl w:val="0"/>
                <w:numId w:val="17"/>
              </w:numPr>
              <w:spacing w:line="276" w:lineRule="auto"/>
            </w:pPr>
            <w:r w:rsidRPr="00922AEF">
              <w:rPr>
                <w:rFonts w:eastAsia="Calibri" w:cs="Times New Roman"/>
              </w:rPr>
              <w:t xml:space="preserve">Het Rijk reserveert voor dit gebied een aanvullende bijdrage van </w:t>
            </w:r>
            <w:r>
              <w:rPr>
                <w:rFonts w:eastAsia="Calibri" w:cs="Times New Roman"/>
              </w:rPr>
              <w:t>circa</w:t>
            </w:r>
            <w:r w:rsidRPr="00922AEF">
              <w:rPr>
                <w:rFonts w:eastAsia="Calibri" w:cs="Times New Roman"/>
              </w:rPr>
              <w:t xml:space="preserve"> </w:t>
            </w:r>
            <w:r w:rsidRPr="00922AEF">
              <w:t xml:space="preserve">€ </w:t>
            </w:r>
            <w:r w:rsidRPr="00922AEF">
              <w:rPr>
                <w:rFonts w:eastAsia="Calibri" w:cs="Times New Roman"/>
              </w:rPr>
              <w:t>44,2 miljoen vanuit het gebiedsbudget voor maatregelen ten behoeve van (her)inrichting openbare ruimte</w:t>
            </w:r>
            <w:r w:rsidRPr="00922AEF">
              <w:t xml:space="preserve"> onder voorwaarde dat de regio minimaal eenzelfde bijdrage reserveert</w:t>
            </w:r>
            <w:r w:rsidRPr="00922AEF">
              <w:rPr>
                <w:rFonts w:eastAsia="Calibri" w:cs="Times New Roman"/>
              </w:rPr>
              <w:t xml:space="preserve">. </w:t>
            </w:r>
          </w:p>
          <w:p w:rsidRPr="00922AEF" w:rsidR="002C6E51" w:rsidP="00EF0DC4" w14:paraId="6937AEDD" w14:textId="77777777">
            <w:pPr>
              <w:pStyle w:val="ListParagraph"/>
              <w:numPr>
                <w:ilvl w:val="0"/>
                <w:numId w:val="17"/>
              </w:numPr>
              <w:spacing w:line="276" w:lineRule="auto"/>
            </w:pPr>
            <w:r w:rsidRPr="00922AEF">
              <w:t xml:space="preserve">In het deelgebied Amsterdam Zuidoost van het nationaal grootschalige woningbouwgebied MRA Oost worden tot en met 2030 25.300 woningen gebouwd, zoals afgesproken in het BO MIRT 2022. </w:t>
            </w:r>
          </w:p>
          <w:p w:rsidR="002C6E51" w:rsidP="00EF0DC4" w14:paraId="196AF091" w14:textId="77777777">
            <w:pPr>
              <w:pStyle w:val="ListParagraph"/>
              <w:numPr>
                <w:ilvl w:val="0"/>
                <w:numId w:val="17"/>
              </w:numPr>
              <w:spacing w:line="276" w:lineRule="auto"/>
            </w:pPr>
            <w:r w:rsidRPr="00922AEF">
              <w:t xml:space="preserve">Aanvullend wordt er in deelgebied Amsterdam Zuidoost tot en met 2034 gestart met de bouw van </w:t>
            </w:r>
            <w:r>
              <w:t>circa</w:t>
            </w:r>
            <w:r w:rsidRPr="00922AEF">
              <w:t xml:space="preserve"> 3.000 extra nieuwe woningen. Voor de ontsluiting en bereikbaarheid van deze woningen reserveert het Rijk een bijdrage van</w:t>
            </w:r>
            <w:r>
              <w:t xml:space="preserve"> circa</w:t>
            </w:r>
            <w:r w:rsidRPr="00922AEF">
              <w:t xml:space="preserve"> € 12 miljoen vanuit de inframiddelen voor sociaal veilige bereikbaarheid van metrostations en geluidschermen Reigersbos onder voorwaarde dat de regio minimaal eenzelfde bijdrage reserveert.</w:t>
            </w:r>
          </w:p>
          <w:p w:rsidRPr="002C6E51" w:rsidR="002C6E51" w:rsidP="00EF0DC4" w14:paraId="0B260ECF" w14:textId="77777777">
            <w:pPr>
              <w:pStyle w:val="ListParagraph"/>
              <w:numPr>
                <w:ilvl w:val="0"/>
                <w:numId w:val="17"/>
              </w:numPr>
              <w:spacing w:line="276" w:lineRule="auto"/>
            </w:pPr>
            <w:r w:rsidRPr="002C6E51">
              <w:rPr>
                <w:rFonts w:eastAsia="Calibri" w:cs="Times New Roman"/>
              </w:rPr>
              <w:t xml:space="preserve">Het Rijk reserveert een bijdrage van circa </w:t>
            </w:r>
            <w:r w:rsidRPr="002C6E51">
              <w:t xml:space="preserve">€ </w:t>
            </w:r>
            <w:r w:rsidRPr="002C6E51">
              <w:rPr>
                <w:rFonts w:eastAsia="Calibri" w:cs="Times New Roman"/>
              </w:rPr>
              <w:t xml:space="preserve">10,3 miljoen vanuit het gebiedsbudget voor maatregelen ten behoeve van waterretentiemaatregelen K-buurt </w:t>
            </w:r>
            <w:r w:rsidRPr="002C6E51">
              <w:t>onder voorwaarde dat de regio minimaal eenzelfde bijdrage reserveert</w:t>
            </w:r>
            <w:r w:rsidRPr="002C6E51">
              <w:rPr>
                <w:rFonts w:eastAsia="Calibri" w:cs="Times New Roman"/>
              </w:rPr>
              <w:t xml:space="preserve">.  </w:t>
            </w:r>
          </w:p>
          <w:p w:rsidR="002C6E51" w:rsidP="002C6E51" w14:paraId="74CD1985" w14:textId="77777777">
            <w:pPr>
              <w:spacing w:line="276" w:lineRule="auto"/>
            </w:pPr>
          </w:p>
          <w:p w:rsidRPr="009A36E6" w:rsidR="002C6E51" w:rsidP="002C6E51" w14:paraId="28C00565" w14:textId="77777777">
            <w:pPr>
              <w:spacing w:line="276" w:lineRule="auto"/>
              <w:rPr>
                <w:u w:val="single"/>
              </w:rPr>
            </w:pPr>
            <w:r w:rsidRPr="009A36E6">
              <w:rPr>
                <w:u w:val="single"/>
              </w:rPr>
              <w:t xml:space="preserve">MRA Oost – Lelystad Zuiderhage </w:t>
            </w:r>
          </w:p>
          <w:p w:rsidRPr="00922AEF" w:rsidR="002C6E51" w:rsidP="00EF0DC4" w14:paraId="699BB1B1" w14:textId="77777777">
            <w:pPr>
              <w:pStyle w:val="ListParagraph"/>
              <w:numPr>
                <w:ilvl w:val="0"/>
                <w:numId w:val="18"/>
              </w:numPr>
              <w:spacing w:line="276" w:lineRule="auto"/>
            </w:pPr>
            <w:r w:rsidRPr="00922AEF">
              <w:t>In Lelystad ligt het nationaal grootschalige woningbouwgebied Zuiderhage (onderdeel van het nationaal grootschalige woningbouwgebied MRA Oost</w:t>
            </w:r>
            <w:r>
              <w:t>).</w:t>
            </w:r>
          </w:p>
          <w:p w:rsidR="002C6E51" w:rsidP="00EF0DC4" w14:paraId="0A9F539F" w14:textId="77777777">
            <w:pPr>
              <w:pStyle w:val="ListParagraph"/>
              <w:numPr>
                <w:ilvl w:val="0"/>
                <w:numId w:val="18"/>
              </w:numPr>
              <w:spacing w:line="276" w:lineRule="auto"/>
            </w:pPr>
            <w:r w:rsidRPr="00922AEF">
              <w:t xml:space="preserve">In Lelystad Zuiderhage wordt er tot en met 2034 gestart met de bouw van </w:t>
            </w:r>
            <w:r>
              <w:t>circa</w:t>
            </w:r>
            <w:r w:rsidRPr="00922AEF">
              <w:t xml:space="preserve"> 4.000 nieuwe woningen. Voor de ontsluiting en bereikbaarheid van deze woningen reserveert het Rijk een bijdrage van c</w:t>
            </w:r>
            <w:r>
              <w:t>irca</w:t>
            </w:r>
            <w:r w:rsidRPr="00922AEF">
              <w:t xml:space="preserve"> € 8,5 miljoen voor een (H)OV-verbinding met station Lelystad Centrum en aanpassing tweetal rotondes naar VRI op Larserdreef onder voorwaarde dat de regio minimaal eenzelfde bijdrage reserveert. </w:t>
            </w:r>
          </w:p>
          <w:p w:rsidR="002C6E51" w:rsidP="00EF0DC4" w14:paraId="481D5ED1" w14:textId="77777777">
            <w:pPr>
              <w:pStyle w:val="ListParagraph"/>
              <w:numPr>
                <w:ilvl w:val="0"/>
                <w:numId w:val="18"/>
              </w:numPr>
              <w:spacing w:line="276" w:lineRule="auto"/>
            </w:pPr>
            <w:r w:rsidRPr="002C6E51">
              <w:t>Het Rijk reserveert een bijdrage van circa € 17,8 miljoen vanuit het gebiedsbudget voor maatregelen ten behoeve van toekomstbestendigheid en (her)inrichting openbare ruimte onder voorwaarde dat de regio minimaal eenzelfde bijdrage reserveert.</w:t>
            </w:r>
          </w:p>
          <w:p w:rsidR="002C6E51" w:rsidP="002C6E51" w14:paraId="59C84FD3" w14:textId="77777777">
            <w:pPr>
              <w:spacing w:line="276" w:lineRule="auto"/>
            </w:pPr>
          </w:p>
          <w:p w:rsidRPr="009A36E6" w:rsidR="002C6E51" w:rsidP="002C6E51" w14:paraId="74AB372D" w14:textId="77777777">
            <w:pPr>
              <w:spacing w:line="276" w:lineRule="auto"/>
              <w:rPr>
                <w:u w:val="single"/>
              </w:rPr>
            </w:pPr>
            <w:r w:rsidRPr="009A36E6">
              <w:rPr>
                <w:u w:val="single"/>
              </w:rPr>
              <w:t>Amersfoort Spoor- en A1-zone</w:t>
            </w:r>
          </w:p>
          <w:p w:rsidRPr="002C6E51" w:rsidR="002C6E51" w:rsidP="00EF0DC4" w14:paraId="4659FE06" w14:textId="77777777">
            <w:pPr>
              <w:pStyle w:val="ListParagraph"/>
              <w:numPr>
                <w:ilvl w:val="0"/>
                <w:numId w:val="19"/>
              </w:numPr>
              <w:spacing w:line="276" w:lineRule="auto"/>
            </w:pPr>
            <w:r w:rsidRPr="00922AEF">
              <w:rPr>
                <w:rFonts w:eastAsia="Calibri" w:cs="Times New Roman"/>
              </w:rPr>
              <w:t xml:space="preserve">In het nationaal grootschalige woningbouwgebied Amersfoort Spoor- en A1-zone worden tot en met 2030 8.500 woningen gebouwd, zoals afgesproken in het BO MIRT 2022. </w:t>
            </w:r>
          </w:p>
          <w:p w:rsidRPr="002C6E51" w:rsidR="002C6E51" w:rsidP="00EF0DC4" w14:paraId="268758D7" w14:textId="77777777">
            <w:pPr>
              <w:pStyle w:val="ListParagraph"/>
              <w:numPr>
                <w:ilvl w:val="0"/>
                <w:numId w:val="19"/>
              </w:numPr>
              <w:spacing w:line="276" w:lineRule="auto"/>
            </w:pPr>
            <w:r w:rsidRPr="002C6E51">
              <w:rPr>
                <w:rFonts w:eastAsia="Calibri" w:cs="Times New Roman"/>
              </w:rPr>
              <w:t xml:space="preserve">Het Rijk reserveert voor dit gebied een aanvullende bijdrage van circa </w:t>
            </w:r>
            <w:r w:rsidRPr="002C6E51">
              <w:t xml:space="preserve">€ </w:t>
            </w:r>
            <w:r w:rsidRPr="002C6E51">
              <w:rPr>
                <w:rFonts w:eastAsia="Calibri" w:cs="Times New Roman"/>
              </w:rPr>
              <w:t>21,9 miljoen vanuit het gebiedsbudget voor maatregelen ten behoeve van toekomstbestendigheid, (her)inrichting openbare ruimte en verwevingen/(bedrijfs-)verplaatsingen</w:t>
            </w:r>
            <w:r w:rsidRPr="002C6E51">
              <w:t xml:space="preserve"> onder voorwaarde dat de regio minimaal eenzelfde bijdrage reserveert</w:t>
            </w:r>
            <w:r w:rsidRPr="002C6E51">
              <w:rPr>
                <w:rFonts w:eastAsia="Calibri" w:cs="Times New Roman"/>
              </w:rPr>
              <w:t>.</w:t>
            </w:r>
          </w:p>
          <w:p w:rsidR="002C6E51" w:rsidP="002C6E51" w14:paraId="569B83BD" w14:textId="77777777">
            <w:pPr>
              <w:spacing w:line="276" w:lineRule="auto"/>
            </w:pPr>
          </w:p>
          <w:p w:rsidRPr="009A36E6" w:rsidR="002C6E51" w:rsidP="002C6E51" w14:paraId="7E322038" w14:textId="77777777">
            <w:pPr>
              <w:spacing w:line="276" w:lineRule="auto"/>
              <w:rPr>
                <w:u w:val="single"/>
              </w:rPr>
            </w:pPr>
            <w:r w:rsidRPr="009A36E6">
              <w:rPr>
                <w:u w:val="single"/>
              </w:rPr>
              <w:t>Alkmaars Kanaal</w:t>
            </w:r>
          </w:p>
          <w:p w:rsidRPr="00922AEF" w:rsidR="002C6E51" w:rsidP="00EF0DC4" w14:paraId="640B10D5" w14:textId="77777777">
            <w:pPr>
              <w:pStyle w:val="ListParagraph"/>
              <w:numPr>
                <w:ilvl w:val="0"/>
                <w:numId w:val="20"/>
              </w:numPr>
              <w:spacing w:line="276" w:lineRule="auto"/>
              <w:ind w:left="360"/>
              <w:rPr>
                <w:rFonts w:eastAsia="Calibri" w:cs="Times New Roman"/>
              </w:rPr>
            </w:pPr>
            <w:r w:rsidRPr="00922AEF">
              <w:rPr>
                <w:rFonts w:eastAsia="Calibri" w:cs="Times New Roman"/>
              </w:rPr>
              <w:t>Alkmaars Kanaal is één van de vier nieuwe nationaal grootschalige woningbouwgebieden die in de ontwerp Nota Ruimte zijn aangewezen en bestaat uit de deelgebieden Nieuw Oudorp, Overdie, Overstad, Viaanse Molen en de twee stationsgebieden Alkmaar Centraal en Alkmaar Noord.</w:t>
            </w:r>
          </w:p>
          <w:p w:rsidRPr="00922AEF" w:rsidR="002C6E51" w:rsidP="00EF0DC4" w14:paraId="1791AB66" w14:textId="77777777">
            <w:pPr>
              <w:pStyle w:val="ListParagraph"/>
              <w:numPr>
                <w:ilvl w:val="0"/>
                <w:numId w:val="20"/>
              </w:numPr>
              <w:spacing w:line="276" w:lineRule="auto"/>
              <w:ind w:left="360"/>
              <w:rPr>
                <w:rFonts w:eastAsia="Calibri" w:cs="Times New Roman"/>
              </w:rPr>
            </w:pPr>
            <w:r w:rsidRPr="00922AEF">
              <w:rPr>
                <w:rFonts w:eastAsia="Calibri" w:cs="Times New Roman"/>
              </w:rPr>
              <w:t xml:space="preserve">Tot en met 2034 kunnen hier </w:t>
            </w:r>
            <w:r>
              <w:rPr>
                <w:rFonts w:eastAsia="Calibri" w:cs="Times New Roman"/>
              </w:rPr>
              <w:t>circa</w:t>
            </w:r>
            <w:r w:rsidRPr="00922AEF">
              <w:rPr>
                <w:rFonts w:eastAsia="Calibri" w:cs="Times New Roman"/>
              </w:rPr>
              <w:t xml:space="preserve"> </w:t>
            </w:r>
            <w:r w:rsidRPr="00922AEF">
              <w:rPr>
                <w:rFonts w:eastAsia="Calibri" w:cs="Calibri"/>
              </w:rPr>
              <w:t>7.800</w:t>
            </w:r>
            <w:r w:rsidRPr="00922AEF">
              <w:rPr>
                <w:rFonts w:eastAsia="Calibri" w:cs="Times New Roman"/>
              </w:rPr>
              <w:t xml:space="preserve"> woningen worden gebouwd.</w:t>
            </w:r>
          </w:p>
          <w:p w:rsidRPr="00922AEF" w:rsidR="002C6E51" w:rsidP="00EF0DC4" w14:paraId="4A6930BC" w14:textId="77777777">
            <w:pPr>
              <w:pStyle w:val="ListParagraph"/>
              <w:numPr>
                <w:ilvl w:val="0"/>
                <w:numId w:val="20"/>
              </w:numPr>
              <w:spacing w:line="276" w:lineRule="auto"/>
              <w:ind w:left="360"/>
              <w:rPr>
                <w:rFonts w:eastAsia="Calibri" w:cs="Times New Roman"/>
              </w:rPr>
            </w:pPr>
            <w:r w:rsidRPr="00922AEF">
              <w:rPr>
                <w:rFonts w:eastAsia="Calibri" w:cs="Times New Roman"/>
              </w:rPr>
              <w:t>Voor de ontsluiting en bereikbaarheid van deze woningen is een voorstel ingediend voor een rijksbijdrage van c</w:t>
            </w:r>
            <w:r>
              <w:rPr>
                <w:rFonts w:eastAsia="Calibri" w:cs="Times New Roman"/>
              </w:rPr>
              <w:t>irc</w:t>
            </w:r>
            <w:r w:rsidRPr="00922AEF">
              <w:rPr>
                <w:rFonts w:eastAsia="Calibri" w:cs="Times New Roman"/>
              </w:rPr>
              <w:t xml:space="preserve">a € 122 miljoen voor een divers mobiliteitspakket met onder andere kruispuntmaatregelen, aanleg van een brug, een spooronderdoorgang en ingrepen op het provinciaal en gemeentelijk wegennet. De mobiliteitsmaatregelen uit het voorstel van Alkmaar zijn grotendeels positief beoordeeld.  </w:t>
            </w:r>
          </w:p>
          <w:p w:rsidRPr="00922AEF" w:rsidR="002C6E51" w:rsidP="00EF0DC4" w14:paraId="407F7D7B" w14:textId="77777777">
            <w:pPr>
              <w:pStyle w:val="ListParagraph"/>
              <w:numPr>
                <w:ilvl w:val="0"/>
                <w:numId w:val="20"/>
              </w:numPr>
              <w:spacing w:line="276" w:lineRule="auto"/>
              <w:ind w:left="360"/>
              <w:rPr>
                <w:rFonts w:eastAsia="Calibri" w:cs="Times New Roman"/>
              </w:rPr>
            </w:pPr>
            <w:r w:rsidRPr="00922AEF">
              <w:rPr>
                <w:rFonts w:cs="Calibri"/>
              </w:rPr>
              <w:t>Het Rijk heeft besloten om de</w:t>
            </w:r>
            <w:r w:rsidRPr="00922AEF">
              <w:rPr>
                <w:rFonts w:eastAsia="Calibri" w:cs="Times New Roman"/>
              </w:rPr>
              <w:t xml:space="preserve"> inzet van de schaarse infra-middelen te beperken tot de bestaande 17 nationaal grootschalige woningbouwgebieden om prioriteit te kunnen geven aan het “afmaken” van </w:t>
            </w:r>
            <w:r w:rsidRPr="00922AEF">
              <w:rPr>
                <w:rFonts w:cs="Calibri"/>
              </w:rPr>
              <w:t>al gemaakte bestuurlijke afspraken.</w:t>
            </w:r>
          </w:p>
          <w:p w:rsidRPr="00922AEF" w:rsidR="002C6E51" w:rsidP="00EF0DC4" w14:paraId="75FDA1B6" w14:textId="77777777">
            <w:pPr>
              <w:pStyle w:val="ListParagraph"/>
              <w:numPr>
                <w:ilvl w:val="0"/>
                <w:numId w:val="20"/>
              </w:numPr>
              <w:spacing w:line="276" w:lineRule="auto"/>
              <w:ind w:left="360"/>
              <w:rPr>
                <w:rFonts w:eastAsia="Calibri" w:cs="Times New Roman"/>
              </w:rPr>
            </w:pPr>
            <w:r w:rsidRPr="00922AEF">
              <w:rPr>
                <w:rFonts w:eastAsia="Calibri" w:cs="Times New Roman"/>
              </w:rPr>
              <w:t>Het Rijk reserveert nu een bijdrage van c</w:t>
            </w:r>
            <w:r>
              <w:rPr>
                <w:rFonts w:eastAsia="Calibri" w:cs="Times New Roman"/>
              </w:rPr>
              <w:t>irc</w:t>
            </w:r>
            <w:r w:rsidRPr="00922AEF">
              <w:rPr>
                <w:rFonts w:eastAsia="Calibri" w:cs="Times New Roman"/>
              </w:rPr>
              <w:t>a € 6,8 miljoen vanuit het gebiedsbudget voor maatregelen ten behoeve van toekomstbestendigheid, (her)inrichting openbare ruimte en verwervingen/(bedrijfs)verplaatsingen</w:t>
            </w:r>
            <w:r w:rsidRPr="00922AEF">
              <w:t xml:space="preserve"> onder voorwaarde dat de regio minimaal eenzelfde bijdrage reserveert</w:t>
            </w:r>
            <w:r w:rsidRPr="00922AEF">
              <w:rPr>
                <w:rFonts w:eastAsia="Calibri" w:cs="Times New Roman"/>
              </w:rPr>
              <w:t xml:space="preserve">. </w:t>
            </w:r>
          </w:p>
          <w:p w:rsidR="002C6E51" w:rsidP="00EF0DC4" w14:paraId="58318828" w14:textId="77777777">
            <w:pPr>
              <w:pStyle w:val="ListParagraph"/>
              <w:numPr>
                <w:ilvl w:val="0"/>
                <w:numId w:val="20"/>
              </w:numPr>
              <w:spacing w:line="276" w:lineRule="auto"/>
              <w:ind w:left="360"/>
              <w:rPr>
                <w:rFonts w:eastAsia="Calibri" w:cs="Times New Roman"/>
              </w:rPr>
            </w:pPr>
            <w:r w:rsidRPr="00922AEF">
              <w:rPr>
                <w:rFonts w:eastAsia="Calibri" w:cs="Times New Roman"/>
              </w:rPr>
              <w:t xml:space="preserve">Dit is de eerste stap die het Rijk voor deze gebieden </w:t>
            </w:r>
            <w:r>
              <w:rPr>
                <w:rFonts w:eastAsia="Calibri" w:cs="Times New Roman"/>
              </w:rPr>
              <w:t xml:space="preserve">neemt </w:t>
            </w:r>
            <w:r w:rsidRPr="00922AEF">
              <w:rPr>
                <w:rFonts w:eastAsia="Calibri" w:cs="Times New Roman"/>
              </w:rPr>
              <w:t>ten behoeve van de woningbouw. De inframaatregelen binnen de ingediende aanvraag bieden voor een volgend kabinet een logisch pakket om een vervolgstap op te nemen</w:t>
            </w:r>
            <w:r>
              <w:rPr>
                <w:rFonts w:eastAsia="Calibri" w:cs="Times New Roman"/>
              </w:rPr>
              <w:t>.</w:t>
            </w:r>
          </w:p>
          <w:p w:rsidRPr="002C6E51" w:rsidR="002C6E51" w:rsidP="00EF0DC4" w14:paraId="324AE4A3" w14:textId="76814499">
            <w:pPr>
              <w:pStyle w:val="ListParagraph"/>
              <w:numPr>
                <w:ilvl w:val="0"/>
                <w:numId w:val="20"/>
              </w:numPr>
              <w:spacing w:line="276" w:lineRule="auto"/>
              <w:ind w:left="360"/>
              <w:rPr>
                <w:rFonts w:eastAsia="Calibri" w:cs="Times New Roman"/>
              </w:rPr>
            </w:pPr>
            <w:r w:rsidRPr="002C6E51">
              <w:rPr>
                <w:rFonts w:eastAsia="Times New Roman" w:cs="Times New Roman"/>
                <w:lang w:eastAsia="en-US"/>
              </w:rPr>
              <w:t>Bereikbaarheid is randvoorwaardelijk voor grootschalige woningbouw. De regio geeft aan dat de ingediende infra-maatregelen onderdeel uitmaken van een integraal pakket dat onlosmakelijk is verbonden met de woningbouwopgave. Rijk en regio onderschrijven het belang om vertraging te voorkomen en het volledig opgevoerde aantal woningen te kunnen bouwen. Het Rijk gaat daarom met de vier nieuwe nationale grootschalige woningbouwgebieden in gesprek over wat binnen de bestaande afspraken en in de toekomst mogelijk is.</w:t>
            </w:r>
          </w:p>
          <w:p w:rsidR="002C6E51" w:rsidP="002C6E51" w14:paraId="092661F5" w14:textId="77777777">
            <w:pPr>
              <w:spacing w:line="276" w:lineRule="auto"/>
            </w:pPr>
          </w:p>
          <w:p w:rsidRPr="009A36E6" w:rsidR="002C6E51" w:rsidP="002C6E51" w14:paraId="3185E17B" w14:textId="77777777">
            <w:pPr>
              <w:spacing w:line="276" w:lineRule="auto"/>
              <w:rPr>
                <w:u w:val="single"/>
              </w:rPr>
            </w:pPr>
            <w:r w:rsidRPr="009A36E6">
              <w:rPr>
                <w:u w:val="single"/>
              </w:rPr>
              <w:t>Foodvalley</w:t>
            </w:r>
          </w:p>
          <w:p w:rsidRPr="002C6E51" w:rsidR="002C6E51" w:rsidP="00EF0DC4" w14:paraId="380A7A9C" w14:textId="493A8A54">
            <w:pPr>
              <w:pStyle w:val="ListParagraph"/>
              <w:numPr>
                <w:ilvl w:val="0"/>
                <w:numId w:val="20"/>
              </w:numPr>
              <w:spacing w:line="276" w:lineRule="auto"/>
              <w:ind w:left="360"/>
            </w:pPr>
            <w:r w:rsidRPr="00DA507D">
              <w:rPr>
                <w:rFonts w:eastAsia="Times New Roman" w:cs="Times New Roman"/>
                <w:lang w:eastAsia="en-US"/>
              </w:rPr>
              <w:t>Zie onder Regio Oost-Nederland.</w:t>
            </w:r>
          </w:p>
        </w:tc>
      </w:tr>
      <w:tr w:rsidTr="002D05FA" w14:paraId="766C5EB6" w14:textId="77777777">
        <w:tblPrEx>
          <w:tblW w:w="0" w:type="auto"/>
          <w:tblInd w:w="0" w:type="dxa"/>
          <w:tblLook w:val="04A0"/>
        </w:tblPrEx>
        <w:tc>
          <w:tcPr>
            <w:tcW w:w="346" w:type="dxa"/>
          </w:tcPr>
          <w:p w:rsidR="00D50F44" w:rsidP="000145C7" w14:paraId="0FA75E07" w14:textId="68462DEA">
            <w:pPr>
              <w:spacing w:line="240" w:lineRule="exact"/>
              <w:rPr>
                <w:b/>
                <w:bCs/>
              </w:rPr>
            </w:pPr>
            <w:r>
              <w:rPr>
                <w:b/>
                <w:bCs/>
              </w:rPr>
              <w:t>3</w:t>
            </w:r>
          </w:p>
        </w:tc>
        <w:tc>
          <w:tcPr>
            <w:tcW w:w="8671" w:type="dxa"/>
          </w:tcPr>
          <w:p w:rsidRPr="000D6D97" w:rsidR="006815EA" w:rsidP="006815EA" w14:paraId="777D7ED5" w14:textId="77777777">
            <w:pPr>
              <w:spacing w:line="276" w:lineRule="auto"/>
              <w:rPr>
                <w:b/>
                <w:bCs/>
              </w:rPr>
            </w:pPr>
            <w:r w:rsidRPr="000D6D97">
              <w:rPr>
                <w:b/>
                <w:bCs/>
              </w:rPr>
              <w:t>NOVEX- gebied MRA: Op weg naar Uitvoeringsagenda 2.0 en Regionale Investeringsagenda</w:t>
            </w:r>
          </w:p>
          <w:p w:rsidRPr="000D6D97" w:rsidR="006815EA" w:rsidP="00EF0DC4" w14:paraId="3D20A890" w14:textId="33387203">
            <w:pPr>
              <w:pStyle w:val="ListParagraph"/>
              <w:numPr>
                <w:ilvl w:val="0"/>
                <w:numId w:val="21"/>
              </w:numPr>
              <w:autoSpaceDE w:val="0"/>
              <w:adjustRightInd w:val="0"/>
              <w:spacing w:line="276" w:lineRule="auto"/>
              <w:ind w:left="360"/>
              <w:rPr>
                <w:rFonts w:cs="Tahoma"/>
                <w:b/>
                <w:bCs/>
                <w:color w:val="000000" w:themeColor="text1"/>
              </w:rPr>
            </w:pPr>
            <w:r w:rsidRPr="000D6D97">
              <w:rPr>
                <w:rFonts w:cs="Tahoma"/>
                <w:color w:val="000000" w:themeColor="text1"/>
              </w:rPr>
              <w:t xml:space="preserve">Rijk en regio </w:t>
            </w:r>
            <w:r w:rsidR="00D551B7">
              <w:rPr>
                <w:rFonts w:cs="Tahoma"/>
                <w:color w:val="000000" w:themeColor="text1"/>
              </w:rPr>
              <w:t>hebben</w:t>
            </w:r>
            <w:r w:rsidRPr="000D6D97">
              <w:rPr>
                <w:rFonts w:cs="Tahoma"/>
                <w:color w:val="000000" w:themeColor="text1"/>
              </w:rPr>
              <w:t xml:space="preserve"> de voortgang van de verdere uitwerking van de Uitvoeringsagenda (op naar een versie 2.0) en de opzet van de eerste Regionale Investeringsagenda (RIA)</w:t>
            </w:r>
            <w:r w:rsidR="00D551B7">
              <w:rPr>
                <w:rFonts w:cs="Tahoma"/>
                <w:color w:val="000000" w:themeColor="text1"/>
              </w:rPr>
              <w:t xml:space="preserve"> besproken</w:t>
            </w:r>
            <w:r w:rsidRPr="000D6D97">
              <w:rPr>
                <w:rFonts w:cs="Tahoma"/>
                <w:color w:val="000000" w:themeColor="text1"/>
              </w:rPr>
              <w:t>.</w:t>
            </w:r>
          </w:p>
          <w:p w:rsidRPr="000D6D97" w:rsidR="006815EA" w:rsidP="00EF0DC4" w14:paraId="28EF79E6" w14:textId="6CD5B8A0">
            <w:pPr>
              <w:pStyle w:val="ListParagraph"/>
              <w:numPr>
                <w:ilvl w:val="0"/>
                <w:numId w:val="21"/>
              </w:numPr>
              <w:autoSpaceDE w:val="0"/>
              <w:adjustRightInd w:val="0"/>
              <w:spacing w:line="276" w:lineRule="auto"/>
              <w:ind w:left="360"/>
              <w:rPr>
                <w:rFonts w:cs="Tahoma"/>
                <w:b/>
                <w:bCs/>
                <w:color w:val="000000" w:themeColor="text1"/>
              </w:rPr>
            </w:pPr>
            <w:r w:rsidRPr="000D6D97">
              <w:rPr>
                <w:rFonts w:cs="Tahoma"/>
                <w:color w:val="000000" w:themeColor="text1"/>
              </w:rPr>
              <w:t xml:space="preserve">In de volgende versie van de UA maken </w:t>
            </w:r>
            <w:r w:rsidR="007C5EC6">
              <w:rPr>
                <w:rFonts w:cs="Tahoma"/>
                <w:color w:val="000000" w:themeColor="text1"/>
              </w:rPr>
              <w:t>Rijk en regio</w:t>
            </w:r>
            <w:r w:rsidRPr="000D6D97">
              <w:rPr>
                <w:rFonts w:cs="Tahoma"/>
                <w:color w:val="000000" w:themeColor="text1"/>
              </w:rPr>
              <w:t xml:space="preserve"> de 95 maatregelen gebied specifiek en concreet. Deze maatregelen zijn gericht op beleid, onderzoek, ruimtelijke reserveringen of ruimtelijke ontwikkelingen. Per gebied maken we daartoe een duidelijk verhaal vanuit de opgaven en gewenste richting met de benodigde maatregelen uitgezet in tijd (faseren en prioriteren). </w:t>
            </w:r>
          </w:p>
          <w:p w:rsidRPr="000D6D97" w:rsidR="006815EA" w:rsidP="00EF0DC4" w14:paraId="06244161" w14:textId="4C6EBB77">
            <w:pPr>
              <w:pStyle w:val="ListParagraph"/>
              <w:numPr>
                <w:ilvl w:val="0"/>
                <w:numId w:val="21"/>
              </w:numPr>
              <w:autoSpaceDE w:val="0"/>
              <w:adjustRightInd w:val="0"/>
              <w:spacing w:line="276" w:lineRule="auto"/>
              <w:ind w:left="360"/>
              <w:rPr>
                <w:rFonts w:cs="Tahoma"/>
                <w:b/>
                <w:bCs/>
                <w:color w:val="000000" w:themeColor="text1"/>
              </w:rPr>
            </w:pPr>
            <w:r>
              <w:rPr>
                <w:rFonts w:cs="Tahoma"/>
                <w:color w:val="000000" w:themeColor="text1"/>
              </w:rPr>
              <w:t xml:space="preserve">Rijk en regio </w:t>
            </w:r>
            <w:r w:rsidRPr="000D6D97">
              <w:rPr>
                <w:rFonts w:cs="Tahoma"/>
                <w:color w:val="000000" w:themeColor="text1"/>
              </w:rPr>
              <w:t xml:space="preserve">maken een RIA met een overzicht van de benodigde investeringen en bekostigingsmogelijkheden voor de uitvoering van de maatregelen op de drie hoofdopgaven van het Ontwikkelperspectief. </w:t>
            </w:r>
          </w:p>
          <w:p w:rsidRPr="006815EA" w:rsidR="00D50F44" w:rsidP="00EF0DC4" w14:paraId="22CEE678" w14:textId="20993926">
            <w:pPr>
              <w:pStyle w:val="ListParagraph"/>
              <w:numPr>
                <w:ilvl w:val="0"/>
                <w:numId w:val="21"/>
              </w:numPr>
              <w:autoSpaceDE w:val="0"/>
              <w:adjustRightInd w:val="0"/>
              <w:spacing w:line="276" w:lineRule="auto"/>
              <w:ind w:left="360"/>
              <w:rPr>
                <w:rFonts w:cs="Tahoma"/>
                <w:color w:val="000000" w:themeColor="text1"/>
              </w:rPr>
            </w:pPr>
            <w:r w:rsidRPr="000D6D97">
              <w:rPr>
                <w:rFonts w:cs="Tahoma"/>
                <w:color w:val="000000" w:themeColor="text1"/>
              </w:rPr>
              <w:t xml:space="preserve">Een voorbeeld van een opgave die in de gebieden concreet wordt gemaakt en in de tijd wordt gezet, is de wateroverlastopgave. Samen met het Deltaprogramma Centraal Holland kijken </w:t>
            </w:r>
            <w:r w:rsidR="007C5EC6">
              <w:rPr>
                <w:rFonts w:cs="Tahoma"/>
                <w:color w:val="000000" w:themeColor="text1"/>
              </w:rPr>
              <w:t>Rijk en regio</w:t>
            </w:r>
            <w:r w:rsidRPr="000D6D97">
              <w:rPr>
                <w:rFonts w:cs="Tahoma"/>
                <w:color w:val="000000" w:themeColor="text1"/>
              </w:rPr>
              <w:t xml:space="preserve"> naar hoe de gebied</w:t>
            </w:r>
            <w:r w:rsidR="00D551B7">
              <w:rPr>
                <w:rFonts w:cs="Tahoma"/>
                <w:color w:val="000000" w:themeColor="text1"/>
              </w:rPr>
              <w:t>s</w:t>
            </w:r>
            <w:r w:rsidRPr="000D6D97">
              <w:rPr>
                <w:rFonts w:cs="Tahoma"/>
                <w:color w:val="000000" w:themeColor="text1"/>
              </w:rPr>
              <w:t xml:space="preserve">overstijgende vraagstukken zoals waterberging en verandering in ruimtegebruik door zoetwatertekort een plek krijgen. </w:t>
            </w:r>
          </w:p>
        </w:tc>
      </w:tr>
      <w:tr w:rsidTr="002D05FA" w14:paraId="2CB207DE" w14:textId="77777777">
        <w:tblPrEx>
          <w:tblW w:w="0" w:type="auto"/>
          <w:tblInd w:w="0" w:type="dxa"/>
          <w:tblLook w:val="04A0"/>
        </w:tblPrEx>
        <w:tc>
          <w:tcPr>
            <w:tcW w:w="346" w:type="dxa"/>
          </w:tcPr>
          <w:p w:rsidR="00D50F44" w:rsidP="000145C7" w14:paraId="367A5325" w14:textId="5F85E9BC">
            <w:pPr>
              <w:spacing w:line="240" w:lineRule="exact"/>
              <w:rPr>
                <w:b/>
                <w:bCs/>
              </w:rPr>
            </w:pPr>
            <w:r>
              <w:rPr>
                <w:b/>
                <w:bCs/>
              </w:rPr>
              <w:t>4</w:t>
            </w:r>
          </w:p>
        </w:tc>
        <w:tc>
          <w:tcPr>
            <w:tcW w:w="8671" w:type="dxa"/>
          </w:tcPr>
          <w:p w:rsidRPr="000D6D97" w:rsidR="006815EA" w:rsidP="006815EA" w14:paraId="181C281C" w14:textId="77777777">
            <w:pPr>
              <w:spacing w:line="276" w:lineRule="auto"/>
              <w:rPr>
                <w:b/>
                <w:bCs/>
              </w:rPr>
            </w:pPr>
            <w:r w:rsidRPr="000D6D97">
              <w:rPr>
                <w:b/>
                <w:bCs/>
              </w:rPr>
              <w:t xml:space="preserve">NOVEX-gebied Utrecht-Amersfoort: </w:t>
            </w:r>
            <w:r w:rsidRPr="000D6D97">
              <w:rPr>
                <w:rFonts w:eastAsia="Verdana" w:cs="Arial"/>
                <w:b/>
                <w:bCs/>
              </w:rPr>
              <w:t>Voortgang Uitvoeringsagenda en Regionale Investeringsagenda</w:t>
            </w:r>
          </w:p>
          <w:p w:rsidRPr="000D6D97" w:rsidR="006815EA" w:rsidP="00EF0DC4" w14:paraId="664E78CB" w14:textId="548C5EF4">
            <w:pPr>
              <w:pStyle w:val="ListParagraph"/>
              <w:numPr>
                <w:ilvl w:val="0"/>
                <w:numId w:val="22"/>
              </w:numPr>
              <w:spacing w:line="276" w:lineRule="auto"/>
              <w:rPr>
                <w:rFonts w:eastAsia="Aptos" w:cs="Arial"/>
              </w:rPr>
            </w:pPr>
            <w:r w:rsidRPr="000D6D97">
              <w:rPr>
                <w:rFonts w:eastAsia="Aptos" w:cs="Arial"/>
              </w:rPr>
              <w:t>In het BOL 2025 hebben Rijk en Regio de Uitvoeringsagenda NOVEX-gebied Utrecht-Amersfoort vastgesteld, als belangrijk instrument voor het adaptief programmeren. De uitvoeringsagenda geeft een overzicht van de maatregelen die nodig zijn om de ambities zoals aangegeven in het NOVEX-Ontwikkelperspectief te realiseren.</w:t>
            </w:r>
            <w:bookmarkStart w:name="_Hlk211596995" w:id="15"/>
            <w:r w:rsidRPr="000D6D97">
              <w:rPr>
                <w:rFonts w:eastAsia="Aptos" w:cs="Arial"/>
              </w:rPr>
              <w:t xml:space="preserve"> Rijk en Regio werken aan een Regionale Investeringsagenda (RIA), als uitbreiding op de Uitvoeringsagenda om bij te dragen aan een compleet beeld van de opgaven. </w:t>
            </w:r>
            <w:bookmarkEnd w:id="15"/>
            <w:r w:rsidRPr="000D6D97">
              <w:rPr>
                <w:rFonts w:eastAsia="Aptos" w:cs="Arial"/>
              </w:rPr>
              <w:t xml:space="preserve">In dit BO MIRT </w:t>
            </w:r>
            <w:r w:rsidR="00D551B7">
              <w:rPr>
                <w:rFonts w:eastAsia="Aptos" w:cs="Arial"/>
              </w:rPr>
              <w:t xml:space="preserve">zijn </w:t>
            </w:r>
            <w:r w:rsidRPr="000D6D97">
              <w:rPr>
                <w:rFonts w:eastAsia="Aptos" w:cs="Arial"/>
              </w:rPr>
              <w:t>er belangrijke besluiten geagendeerd t.a.v. de ontwikkeling van Utrecht Groot Merwede en Rijnenburg en t.a.v. het vervolg op het Gebiedsonderzoek Amersfoort Spoorzone en Heuvelrugzone.</w:t>
            </w:r>
          </w:p>
          <w:p w:rsidRPr="006815EA" w:rsidR="00D50F44" w:rsidP="00EF0DC4" w14:paraId="0DD482FE" w14:textId="4D1596A0">
            <w:pPr>
              <w:pStyle w:val="ListParagraph"/>
              <w:numPr>
                <w:ilvl w:val="0"/>
                <w:numId w:val="22"/>
              </w:numPr>
              <w:spacing w:line="276" w:lineRule="auto"/>
            </w:pPr>
            <w:r w:rsidRPr="000D6D97">
              <w:rPr>
                <w:rFonts w:eastAsia="Aptos" w:cs="Arial"/>
              </w:rPr>
              <w:t xml:space="preserve">In het BOL 2026 wordt de Regionale Investeringsagenda (RIA) voor NOVEX- Utrecht-Amersfoort geagendeerd. Daarin wordt de koppeling gelegd met de (benodigde) </w:t>
            </w:r>
            <w:r w:rsidRPr="000D6D97">
              <w:rPr>
                <w:rFonts w:eastAsia="Aptos" w:cs="Arial"/>
              </w:rPr>
              <w:t>investeringen in het vestigingsklimaat en investeringsvermogen uit de Ruimtelijk Economische Investeringsagenda (REIA).</w:t>
            </w:r>
            <w:r w:rsidRPr="000D6D97">
              <w:t xml:space="preserve"> </w:t>
            </w:r>
          </w:p>
        </w:tc>
      </w:tr>
      <w:tr w:rsidTr="002D05FA" w14:paraId="7C4A148E" w14:textId="77777777">
        <w:tblPrEx>
          <w:tblW w:w="0" w:type="auto"/>
          <w:tblInd w:w="0" w:type="dxa"/>
          <w:tblLook w:val="04A0"/>
        </w:tblPrEx>
        <w:tc>
          <w:tcPr>
            <w:tcW w:w="346" w:type="dxa"/>
          </w:tcPr>
          <w:p w:rsidR="00D804C8" w:rsidP="000145C7" w14:paraId="0A596BBB" w14:textId="72CCD735">
            <w:pPr>
              <w:spacing w:line="240" w:lineRule="exact"/>
              <w:rPr>
                <w:b/>
                <w:bCs/>
              </w:rPr>
            </w:pPr>
            <w:r>
              <w:rPr>
                <w:b/>
                <w:bCs/>
              </w:rPr>
              <w:t>5</w:t>
            </w:r>
          </w:p>
        </w:tc>
        <w:tc>
          <w:tcPr>
            <w:tcW w:w="8671" w:type="dxa"/>
          </w:tcPr>
          <w:p w:rsidRPr="000D6D97" w:rsidR="00D804C8" w:rsidP="00D804C8" w14:paraId="6E8BF339" w14:textId="77777777">
            <w:pPr>
              <w:spacing w:line="276" w:lineRule="auto"/>
              <w:rPr>
                <w:b/>
                <w:bCs/>
              </w:rPr>
            </w:pPr>
            <w:r w:rsidRPr="000D6D97">
              <w:rPr>
                <w:b/>
                <w:bCs/>
              </w:rPr>
              <w:t>Gebiedsonderzoek Amersfoort</w:t>
            </w:r>
            <w:r>
              <w:rPr>
                <w:b/>
                <w:bCs/>
              </w:rPr>
              <w:t xml:space="preserve"> Spoorzone en Heuvelrugzone</w:t>
            </w:r>
          </w:p>
          <w:p w:rsidRPr="000D6D97" w:rsidR="00D804C8" w:rsidP="00EF0DC4" w14:paraId="0E68F92C" w14:textId="77777777">
            <w:pPr>
              <w:pStyle w:val="ListParagraph"/>
              <w:numPr>
                <w:ilvl w:val="0"/>
                <w:numId w:val="23"/>
              </w:numPr>
              <w:spacing w:line="276" w:lineRule="auto"/>
              <w:rPr>
                <w:rFonts w:eastAsia="Aptos" w:cs="Aptos"/>
              </w:rPr>
            </w:pPr>
            <w:r w:rsidRPr="000D6D97">
              <w:rPr>
                <w:rFonts w:eastAsia="Aptos" w:cs="Aptos"/>
              </w:rPr>
              <w:t xml:space="preserve">Rijk en regio onderschrijven de uitkomsten van de eindrapportage van het Gebiedsonderzoek Spoorzone Amersfoort en Heuvelrugzone voor de onderzochte gebieden: regiopoort Zeist-Noord, Soesterberg, Amersfoort Centraal &amp; Nederberg, Spooremplacement &amp; Wagenwerkplaats, De Hoef-Oost/Midden-Isselt. </w:t>
            </w:r>
          </w:p>
          <w:p w:rsidRPr="000D6D97" w:rsidR="00D804C8" w:rsidP="00EF0DC4" w14:paraId="6C2BCB06" w14:textId="77777777">
            <w:pPr>
              <w:pStyle w:val="ListParagraph"/>
              <w:numPr>
                <w:ilvl w:val="0"/>
                <w:numId w:val="23"/>
              </w:numPr>
              <w:spacing w:line="276" w:lineRule="auto"/>
              <w:rPr>
                <w:rFonts w:eastAsia="Aptos" w:cs="Aptos"/>
              </w:rPr>
            </w:pPr>
            <w:r w:rsidRPr="000D6D97">
              <w:rPr>
                <w:rFonts w:eastAsia="Aptos" w:cs="Aptos"/>
              </w:rPr>
              <w:t xml:space="preserve">Zoals omschreven in de eindrapportage zullen Rijk en regio elk vanuit de eigen rol, maar wel met elkaars betrokkenheid de verantwoordelijkheid nemen de vervolgacties verder uit te werken. De uitkomsten hiervan worden in het programma U Ned ingebracht om de samenhang in lijn met de doelstellingen van het NOVEX-ontwikkelperspectief te coördineren. Waar nodig wordt dit geagendeerd binnen de BOL/BO MIRT-cyclus. </w:t>
            </w:r>
          </w:p>
          <w:p w:rsidRPr="000D6D97" w:rsidR="00D804C8" w:rsidP="00EF0DC4" w14:paraId="67188E4D" w14:textId="77777777">
            <w:pPr>
              <w:pStyle w:val="ListParagraph"/>
              <w:numPr>
                <w:ilvl w:val="0"/>
                <w:numId w:val="23"/>
              </w:numPr>
              <w:spacing w:line="276" w:lineRule="auto"/>
              <w:rPr>
                <w:rFonts w:eastAsia="Aptos" w:cs="Aptos"/>
              </w:rPr>
            </w:pPr>
            <w:r w:rsidRPr="000D6D97">
              <w:rPr>
                <w:rFonts w:eastAsia="Aptos" w:cs="Aptos"/>
              </w:rPr>
              <w:t xml:space="preserve">Rijk en regio spreken af een verdiepend onderzoek naar de versterking van de stations Amersfoort Centraal en Amersfoort Schothorst uit te voeren. Dit in samenhang met de pre-verkenning bus rapid transit (BRT) Amersfoort–Utrecht Science Park en de uitwerking van het Amersfoortse OV-anker. Het verdiepend onderzoek focust zich op een gezamenlijke probleemanalyse van de stations en directe stationsomgeving. Daarbij wordt aangesloten bij de bestaande toekomstvisies van beide stations, zodat het onderzoek efficiënt kan worden uitgevoerd met betrokken stakeholders. Rijk en regio spreken af dat op basis van de resultaten van de probleemanalyse in het BO MIRT 2026 de uitkomsten over fasering, prioritering en het beleggen van maatregelen en eventuele benodigde vervolgonderzoeken worden geagendeerd. </w:t>
            </w:r>
          </w:p>
          <w:p w:rsidRPr="000D6D97" w:rsidR="00D804C8" w:rsidP="00EF0DC4" w14:paraId="34181A2F" w14:textId="36D8F5B0">
            <w:pPr>
              <w:pStyle w:val="ListParagraph"/>
              <w:numPr>
                <w:ilvl w:val="0"/>
                <w:numId w:val="23"/>
              </w:numPr>
              <w:spacing w:line="276" w:lineRule="auto"/>
              <w:rPr>
                <w:rFonts w:eastAsia="Aptos" w:cs="Aptos"/>
              </w:rPr>
            </w:pPr>
            <w:r w:rsidRPr="000D6D97">
              <w:rPr>
                <w:rFonts w:eastAsia="Aptos" w:cs="Aptos"/>
              </w:rPr>
              <w:t xml:space="preserve">Rijk en regio spreken af de regie op de Heuvelrugzone voor de integrale opgave te organiseren, met bijzondere aandacht voor Defensie, mobiliteit, natuur, water en recreatie, en de afspraken te verankeren via bestuurlijke afspraken binnen de gebiedssamenwerking AtotZ, in relatie met de NOVEX-uitvoeringsagenda binnen het programma U Ned. </w:t>
            </w:r>
          </w:p>
          <w:p w:rsidRPr="000D6D97" w:rsidR="00D804C8" w:rsidP="00EF0DC4" w14:paraId="23868FDF" w14:textId="0FB8CB23">
            <w:pPr>
              <w:pStyle w:val="ListParagraph"/>
              <w:numPr>
                <w:ilvl w:val="0"/>
                <w:numId w:val="23"/>
              </w:numPr>
              <w:spacing w:line="276" w:lineRule="auto"/>
              <w:rPr>
                <w:b/>
                <w:bCs/>
              </w:rPr>
            </w:pPr>
            <w:r w:rsidRPr="000D6D97">
              <w:rPr>
                <w:rFonts w:eastAsia="Aptos" w:cs="Aptos"/>
              </w:rPr>
              <w:t>De regio neemt het initiatief om de uitwerking van de economische opgave uit het gebiedsonderzoek mee te nemen in de proposities die zullen leiden tot de Ruimtelijke Economische Investeringsagenda. Deze investeringsagenda wordt geagendeerd op het BO Leefomgeving 2026.</w:t>
            </w:r>
          </w:p>
        </w:tc>
      </w:tr>
      <w:tr w:rsidTr="002D05FA" w14:paraId="33853645" w14:textId="77777777">
        <w:tblPrEx>
          <w:tblW w:w="0" w:type="auto"/>
          <w:tblInd w:w="0" w:type="dxa"/>
          <w:tblLook w:val="04A0"/>
        </w:tblPrEx>
        <w:tc>
          <w:tcPr>
            <w:tcW w:w="346" w:type="dxa"/>
          </w:tcPr>
          <w:p w:rsidR="00DA507D" w:rsidP="000145C7" w14:paraId="1E87C856" w14:textId="187FBF2C">
            <w:pPr>
              <w:spacing w:line="240" w:lineRule="exact"/>
              <w:rPr>
                <w:b/>
                <w:bCs/>
              </w:rPr>
            </w:pPr>
            <w:r>
              <w:rPr>
                <w:b/>
                <w:bCs/>
              </w:rPr>
              <w:t>6</w:t>
            </w:r>
          </w:p>
        </w:tc>
        <w:tc>
          <w:tcPr>
            <w:tcW w:w="8671" w:type="dxa"/>
          </w:tcPr>
          <w:p w:rsidR="00DA507D" w:rsidP="00D804C8" w14:paraId="004D09D5" w14:textId="77777777">
            <w:pPr>
              <w:spacing w:line="276" w:lineRule="auto"/>
              <w:rPr>
                <w:b/>
                <w:bCs/>
              </w:rPr>
            </w:pPr>
            <w:r>
              <w:rPr>
                <w:b/>
                <w:bCs/>
              </w:rPr>
              <w:t>Lelylijn</w:t>
            </w:r>
          </w:p>
          <w:p w:rsidRPr="000D6D97" w:rsidR="00DA507D" w:rsidP="00EF0DC4" w14:paraId="5A1D5CFD" w14:textId="4615BA20">
            <w:pPr>
              <w:pStyle w:val="ListParagraph"/>
              <w:numPr>
                <w:ilvl w:val="0"/>
                <w:numId w:val="23"/>
              </w:numPr>
              <w:spacing w:line="276" w:lineRule="auto"/>
              <w:rPr>
                <w:b/>
                <w:bCs/>
              </w:rPr>
            </w:pPr>
            <w:r w:rsidRPr="00DA507D">
              <w:rPr>
                <w:rFonts w:eastAsia="Aptos" w:cs="Aptos"/>
              </w:rPr>
              <w:t>Zie onder Regio Noord-Nederland.</w:t>
            </w:r>
          </w:p>
        </w:tc>
      </w:tr>
    </w:tbl>
    <w:p w:rsidRPr="00FC0D88" w:rsidR="00E615B6" w:rsidP="00E615B6" w14:paraId="2355D9B9" w14:textId="77777777">
      <w:pPr>
        <w:pStyle w:val="Heading1"/>
        <w:rPr>
          <w:rFonts w:eastAsia="DejaVu Sans"/>
          <w:lang w:val="nl-NL" w:eastAsia="nl-NL"/>
        </w:rPr>
      </w:pPr>
      <w:bookmarkStart w:name="_Toc216680309" w:id="16"/>
      <w:bookmarkStart w:name="_Toc219197443" w:id="17"/>
      <w:r w:rsidRPr="00FC0D88">
        <w:rPr>
          <w:rFonts w:eastAsia="DejaVu Sans"/>
          <w:lang w:val="nl-NL" w:eastAsia="nl-NL"/>
        </w:rPr>
        <w:t>Regio Zuid</w:t>
      </w:r>
      <w:r>
        <w:rPr>
          <w:rFonts w:eastAsia="DejaVu Sans"/>
          <w:lang w:val="nl-NL" w:eastAsia="nl-NL"/>
        </w:rPr>
        <w:t>west</w:t>
      </w:r>
      <w:r w:rsidRPr="00FC0D88">
        <w:rPr>
          <w:rFonts w:eastAsia="DejaVu Sans"/>
          <w:lang w:val="nl-NL" w:eastAsia="nl-NL"/>
        </w:rPr>
        <w:t>-Nederland</w:t>
      </w:r>
      <w:bookmarkEnd w:id="16"/>
      <w:bookmarkEnd w:id="17"/>
    </w:p>
    <w:p w:rsidRPr="00FC0D88" w:rsidR="00E615B6" w:rsidP="00E615B6" w14:paraId="2F8E5D7C" w14:textId="77777777">
      <w:pPr>
        <w:autoSpaceDN w:val="0"/>
        <w:spacing w:after="0" w:line="240" w:lineRule="exact"/>
        <w:textAlignment w:val="baseline"/>
        <w:rPr>
          <w:rFonts w:eastAsia="DejaVu Sans" w:cs="Lohit Hindi"/>
          <w:b/>
          <w:bCs/>
          <w:color w:val="000000"/>
          <w:szCs w:val="18"/>
          <w:lang w:val="nl-NL" w:eastAsia="nl-NL"/>
        </w:rPr>
      </w:pPr>
    </w:p>
    <w:tbl>
      <w:tblPr>
        <w:tblStyle w:val="TableGrid"/>
        <w:tblW w:w="0" w:type="auto"/>
        <w:tblInd w:w="0" w:type="dxa"/>
        <w:tblLayout w:type="fixed"/>
        <w:tblLook w:val="04A0"/>
      </w:tblPr>
      <w:tblGrid>
        <w:gridCol w:w="279"/>
        <w:gridCol w:w="8738"/>
      </w:tblGrid>
      <w:tr w:rsidTr="00463830" w14:paraId="0660E238" w14:textId="77777777">
        <w:tblPrEx>
          <w:tblW w:w="0" w:type="auto"/>
          <w:tblInd w:w="0" w:type="dxa"/>
          <w:tblLayout w:type="fixed"/>
          <w:tblLook w:val="04A0"/>
        </w:tblPrEx>
        <w:tc>
          <w:tcPr>
            <w:tcW w:w="279" w:type="dxa"/>
          </w:tcPr>
          <w:p w:rsidRPr="00FC0D88" w:rsidR="00E615B6" w:rsidP="00463830" w14:paraId="03A51845" w14:textId="77777777">
            <w:pPr>
              <w:spacing w:line="240" w:lineRule="exact"/>
              <w:rPr>
                <w:b/>
                <w:bCs/>
              </w:rPr>
            </w:pPr>
            <w:r w:rsidRPr="00FC0D88">
              <w:rPr>
                <w:b/>
                <w:bCs/>
              </w:rPr>
              <w:t>1</w:t>
            </w:r>
          </w:p>
        </w:tc>
        <w:tc>
          <w:tcPr>
            <w:tcW w:w="8738" w:type="dxa"/>
          </w:tcPr>
          <w:p w:rsidR="00E615B6" w:rsidP="00463830" w14:paraId="6FA0C7B6" w14:textId="77777777">
            <w:pPr>
              <w:pStyle w:val="NoSpacing"/>
              <w:rPr>
                <w:rFonts w:eastAsia="Calibri"/>
                <w:b/>
                <w:bCs/>
                <w:color w:val="auto"/>
              </w:rPr>
            </w:pPr>
            <w:r>
              <w:rPr>
                <w:rFonts w:eastAsia="Calibri"/>
                <w:b/>
                <w:bCs/>
                <w:color w:val="auto"/>
              </w:rPr>
              <w:t>WoMo-afspraken Zuidswest-Nederland</w:t>
            </w:r>
          </w:p>
          <w:p w:rsidR="00E615B6" w:rsidP="00463830" w14:paraId="061A7740" w14:textId="77777777">
            <w:pPr>
              <w:pStyle w:val="NoSpacing"/>
              <w:rPr>
                <w:rFonts w:eastAsia="Calibri"/>
                <w:b/>
                <w:bCs/>
                <w:color w:val="auto"/>
              </w:rPr>
            </w:pPr>
          </w:p>
          <w:p w:rsidRPr="00A510EB" w:rsidR="00E615B6" w:rsidP="00463830" w14:paraId="405D758B" w14:textId="77777777">
            <w:pPr>
              <w:pStyle w:val="NoSpacing"/>
              <w:rPr>
                <w:rFonts w:eastAsia="Calibri"/>
                <w:color w:val="auto"/>
                <w:u w:val="single"/>
              </w:rPr>
            </w:pPr>
            <w:r>
              <w:rPr>
                <w:rFonts w:eastAsia="Calibri"/>
                <w:color w:val="auto"/>
                <w:u w:val="single"/>
              </w:rPr>
              <w:t xml:space="preserve">1. </w:t>
            </w:r>
            <w:r w:rsidRPr="00A510EB">
              <w:rPr>
                <w:rFonts w:eastAsia="Calibri"/>
                <w:color w:val="auto"/>
                <w:u w:val="single"/>
              </w:rPr>
              <w:t>WoKT-afspraken Zuidwest</w:t>
            </w:r>
          </w:p>
          <w:p w:rsidRPr="00F2163E" w:rsidR="00E615B6" w:rsidP="00463830" w14:paraId="5C731E2D" w14:textId="77777777">
            <w:pPr>
              <w:pStyle w:val="NoSpacing"/>
              <w:rPr>
                <w:b/>
                <w:bCs/>
              </w:rPr>
            </w:pPr>
          </w:p>
          <w:tbl>
            <w:tblPr>
              <w:tblStyle w:val="PlainTable1"/>
              <w:tblW w:w="8732" w:type="dxa"/>
              <w:tblLayout w:type="fixed"/>
              <w:tblLook w:val="04A0"/>
            </w:tblPr>
            <w:tblGrid>
              <w:gridCol w:w="1340"/>
              <w:gridCol w:w="1628"/>
              <w:gridCol w:w="1134"/>
              <w:gridCol w:w="1134"/>
              <w:gridCol w:w="1364"/>
              <w:gridCol w:w="2132"/>
            </w:tblGrid>
            <w:tr w:rsidTr="00463830" w14:paraId="5147AF20" w14:textId="77777777">
              <w:tblPrEx>
                <w:tblW w:w="8732" w:type="dxa"/>
                <w:tblLayout w:type="fixed"/>
                <w:tblLook w:val="04A0"/>
              </w:tblPrEx>
              <w:trPr>
                <w:trHeight w:val="19"/>
              </w:trPr>
              <w:tc>
                <w:tcPr>
                  <w:tcW w:w="1340" w:type="dxa"/>
                  <w:shd w:val="clear" w:color="auto" w:fill="auto"/>
                </w:tcPr>
                <w:p w:rsidRPr="005A7254" w:rsidR="00E615B6" w:rsidP="00463830" w14:paraId="47598588" w14:textId="77777777">
                  <w:pPr>
                    <w:rPr>
                      <w:b w:val="0"/>
                      <w:bCs w:val="0"/>
                      <w:sz w:val="16"/>
                      <w:szCs w:val="16"/>
                    </w:rPr>
                  </w:pPr>
                  <w:r w:rsidRPr="005A7254">
                    <w:rPr>
                      <w:sz w:val="16"/>
                      <w:szCs w:val="16"/>
                    </w:rPr>
                    <w:t>Naam indienende gemeente/</w:t>
                  </w:r>
                </w:p>
                <w:p w:rsidRPr="005A7254" w:rsidR="00E615B6" w:rsidP="00463830" w14:paraId="50647C6F" w14:textId="77777777">
                  <w:pPr>
                    <w:rPr>
                      <w:b w:val="0"/>
                      <w:bCs w:val="0"/>
                      <w:sz w:val="16"/>
                      <w:szCs w:val="16"/>
                    </w:rPr>
                  </w:pPr>
                  <w:r w:rsidRPr="005A7254">
                    <w:rPr>
                      <w:sz w:val="16"/>
                      <w:szCs w:val="16"/>
                    </w:rPr>
                    <w:t>penvoerder</w:t>
                  </w:r>
                </w:p>
                <w:p w:rsidRPr="0003296C" w:rsidR="00E615B6" w:rsidP="00463830" w14:paraId="3A0699D9" w14:textId="77777777">
                  <w:pPr>
                    <w:rPr>
                      <w:sz w:val="16"/>
                      <w:szCs w:val="16"/>
                    </w:rPr>
                  </w:pPr>
                  <w:r w:rsidRPr="005A7254">
                    <w:rPr>
                      <w:sz w:val="16"/>
                      <w:szCs w:val="16"/>
                    </w:rPr>
                    <w:t xml:space="preserve"> </w:t>
                  </w:r>
                </w:p>
              </w:tc>
              <w:tc>
                <w:tcPr>
                  <w:tcW w:w="1628" w:type="dxa"/>
                  <w:shd w:val="clear" w:color="auto" w:fill="auto"/>
                </w:tcPr>
                <w:p w:rsidRPr="0003296C" w:rsidR="00E615B6" w:rsidP="00463830" w14:paraId="2A48E669" w14:textId="77777777">
                  <w:pPr>
                    <w:rPr>
                      <w:sz w:val="16"/>
                      <w:szCs w:val="16"/>
                    </w:rPr>
                  </w:pPr>
                  <w:r w:rsidRPr="005A7254">
                    <w:rPr>
                      <w:sz w:val="16"/>
                      <w:szCs w:val="16"/>
                    </w:rPr>
                    <w:t>Naam voorstel</w:t>
                  </w:r>
                </w:p>
              </w:tc>
              <w:tc>
                <w:tcPr>
                  <w:tcW w:w="1134" w:type="dxa"/>
                  <w:shd w:val="clear" w:color="auto" w:fill="auto"/>
                </w:tcPr>
                <w:p w:rsidRPr="0003296C" w:rsidR="00E615B6" w:rsidP="00463830" w14:paraId="49BC160C" w14:textId="77777777">
                  <w:pPr>
                    <w:rPr>
                      <w:sz w:val="16"/>
                      <w:szCs w:val="16"/>
                    </w:rPr>
                  </w:pPr>
                  <w:r w:rsidRPr="005A7254">
                    <w:rPr>
                      <w:sz w:val="16"/>
                      <w:szCs w:val="16"/>
                    </w:rPr>
                    <w:t xml:space="preserve">Aantal woningen </w:t>
                  </w:r>
                </w:p>
              </w:tc>
              <w:tc>
                <w:tcPr>
                  <w:tcW w:w="1134" w:type="dxa"/>
                  <w:shd w:val="clear" w:color="auto" w:fill="auto"/>
                </w:tcPr>
                <w:p w:rsidRPr="00E44D5A" w:rsidR="00E615B6" w:rsidP="00463830" w14:paraId="4FA6A446" w14:textId="77777777">
                  <w:pPr>
                    <w:rPr>
                      <w:sz w:val="16"/>
                      <w:szCs w:val="16"/>
                    </w:rPr>
                  </w:pPr>
                  <w:r w:rsidRPr="005A7254">
                    <w:rPr>
                      <w:sz w:val="16"/>
                      <w:szCs w:val="16"/>
                    </w:rPr>
                    <w:t>Rijksbijdrage (</w:t>
                  </w:r>
                  <w:r>
                    <w:rPr>
                      <w:sz w:val="16"/>
                      <w:szCs w:val="16"/>
                    </w:rPr>
                    <w:t>inclusief</w:t>
                  </w:r>
                  <w:r w:rsidRPr="005A7254">
                    <w:rPr>
                      <w:sz w:val="16"/>
                      <w:szCs w:val="16"/>
                    </w:rPr>
                    <w:t xml:space="preserve"> </w:t>
                  </w:r>
                  <w:r>
                    <w:rPr>
                      <w:sz w:val="16"/>
                      <w:szCs w:val="16"/>
                    </w:rPr>
                    <w:t>btw</w:t>
                  </w:r>
                  <w:r w:rsidRPr="005A7254">
                    <w:rPr>
                      <w:sz w:val="16"/>
                      <w:szCs w:val="16"/>
                    </w:rPr>
                    <w:t>, prijspeil 2025)</w:t>
                  </w:r>
                </w:p>
              </w:tc>
              <w:tc>
                <w:tcPr>
                  <w:tcW w:w="1364" w:type="dxa"/>
                  <w:shd w:val="clear" w:color="auto" w:fill="auto"/>
                </w:tcPr>
                <w:p w:rsidRPr="00A332E2" w:rsidR="00E615B6" w:rsidP="00463830" w14:paraId="46F8EA12" w14:textId="77777777">
                  <w:pPr>
                    <w:rPr>
                      <w:sz w:val="16"/>
                      <w:szCs w:val="16"/>
                      <w:lang w:val="nl-NL"/>
                    </w:rPr>
                  </w:pPr>
                  <w:r w:rsidRPr="00A510EB">
                    <w:rPr>
                      <w:sz w:val="16"/>
                      <w:szCs w:val="16"/>
                      <w:lang w:val="nl-NL"/>
                    </w:rPr>
                    <w:t>Regionale bijdrage (inclusief btw, prijspeil 2025)</w:t>
                  </w:r>
                </w:p>
              </w:tc>
              <w:tc>
                <w:tcPr>
                  <w:tcW w:w="2132" w:type="dxa"/>
                  <w:shd w:val="clear" w:color="auto" w:fill="auto"/>
                </w:tcPr>
                <w:p w:rsidRPr="005A7254" w:rsidR="00E615B6" w:rsidP="00463830" w14:paraId="563889CE" w14:textId="77777777">
                  <w:pPr>
                    <w:rPr>
                      <w:b w:val="0"/>
                      <w:bCs w:val="0"/>
                      <w:sz w:val="16"/>
                      <w:szCs w:val="16"/>
                    </w:rPr>
                  </w:pPr>
                  <w:r w:rsidRPr="005A7254">
                    <w:rPr>
                      <w:sz w:val="16"/>
                      <w:szCs w:val="16"/>
                    </w:rPr>
                    <w:t xml:space="preserve">Maatregelen </w:t>
                  </w:r>
                </w:p>
                <w:p w:rsidRPr="005A7254" w:rsidR="00E615B6" w:rsidP="00463830" w14:paraId="520B98CC" w14:textId="77777777">
                  <w:pPr>
                    <w:rPr>
                      <w:b w:val="0"/>
                      <w:bCs w:val="0"/>
                      <w:sz w:val="16"/>
                      <w:szCs w:val="16"/>
                    </w:rPr>
                  </w:pPr>
                </w:p>
                <w:p w:rsidRPr="0003296C" w:rsidR="00E615B6" w:rsidP="00463830" w14:paraId="21F1B8B5" w14:textId="77777777">
                  <w:pPr>
                    <w:rPr>
                      <w:sz w:val="16"/>
                      <w:szCs w:val="16"/>
                    </w:rPr>
                  </w:pPr>
                </w:p>
              </w:tc>
            </w:tr>
            <w:tr w:rsidTr="00463830" w14:paraId="609DF823" w14:textId="77777777">
              <w:tblPrEx>
                <w:tblW w:w="8732" w:type="dxa"/>
                <w:tblLayout w:type="fixed"/>
                <w:tblLook w:val="04A0"/>
              </w:tblPrEx>
              <w:trPr>
                <w:trHeight w:val="19"/>
              </w:trPr>
              <w:tc>
                <w:tcPr>
                  <w:tcW w:w="1340" w:type="dxa"/>
                  <w:shd w:val="clear" w:color="auto" w:fill="auto"/>
                  <w:hideMark/>
                </w:tcPr>
                <w:p w:rsidRPr="00483F3D" w:rsidR="00E615B6" w:rsidP="00463830" w14:paraId="46164161" w14:textId="77777777">
                  <w:pPr>
                    <w:rPr>
                      <w:rFonts w:eastAsia="Times New Roman" w:cs="Calibri"/>
                      <w:b w:val="0"/>
                      <w:bCs w:val="0"/>
                      <w:sz w:val="16"/>
                      <w:szCs w:val="16"/>
                    </w:rPr>
                  </w:pPr>
                  <w:r w:rsidRPr="00483F3D">
                    <w:rPr>
                      <w:rFonts w:eastAsia="Times New Roman"/>
                      <w:b w:val="0"/>
                      <w:bCs w:val="0"/>
                      <w:sz w:val="16"/>
                      <w:szCs w:val="16"/>
                    </w:rPr>
                    <w:t>Albrandswaard</w:t>
                  </w:r>
                </w:p>
              </w:tc>
              <w:tc>
                <w:tcPr>
                  <w:tcW w:w="1628" w:type="dxa"/>
                  <w:shd w:val="clear" w:color="auto" w:fill="auto"/>
                </w:tcPr>
                <w:p w:rsidRPr="00A332E2" w:rsidR="00E615B6" w:rsidP="00463830" w14:paraId="5ED70F83" w14:textId="77777777">
                  <w:pPr>
                    <w:rPr>
                      <w:rFonts w:eastAsia="Times New Roman"/>
                      <w:sz w:val="16"/>
                      <w:szCs w:val="16"/>
                      <w:lang w:val="nl-NL"/>
                    </w:rPr>
                  </w:pPr>
                  <w:r w:rsidRPr="00A510EB">
                    <w:rPr>
                      <w:sz w:val="16"/>
                      <w:szCs w:val="16"/>
                      <w:lang w:val="nl-NL"/>
                    </w:rPr>
                    <w:t>Hof van Poortugaal te Albrandswaard</w:t>
                  </w:r>
                </w:p>
              </w:tc>
              <w:tc>
                <w:tcPr>
                  <w:tcW w:w="1134" w:type="dxa"/>
                  <w:shd w:val="clear" w:color="auto" w:fill="auto"/>
                </w:tcPr>
                <w:p w:rsidRPr="0003296C" w:rsidR="00E615B6" w:rsidP="00463830" w14:paraId="7B7AF64B" w14:textId="77777777">
                  <w:pPr>
                    <w:rPr>
                      <w:rFonts w:eastAsia="Times New Roman"/>
                      <w:sz w:val="16"/>
                      <w:szCs w:val="16"/>
                    </w:rPr>
                  </w:pPr>
                  <w:r w:rsidRPr="005A7254">
                    <w:rPr>
                      <w:color w:val="000000"/>
                      <w:sz w:val="16"/>
                      <w:szCs w:val="16"/>
                    </w:rPr>
                    <w:t>1.981</w:t>
                  </w:r>
                </w:p>
              </w:tc>
              <w:tc>
                <w:tcPr>
                  <w:tcW w:w="1134" w:type="dxa"/>
                  <w:shd w:val="clear" w:color="auto" w:fill="auto"/>
                </w:tcPr>
                <w:p w:rsidRPr="0003296C" w:rsidR="00E615B6" w:rsidP="00463830" w14:paraId="3747960E" w14:textId="77777777">
                  <w:pPr>
                    <w:rPr>
                      <w:rFonts w:eastAsia="Times New Roman"/>
                      <w:sz w:val="16"/>
                      <w:szCs w:val="16"/>
                    </w:rPr>
                  </w:pPr>
                  <w:r w:rsidRPr="005A7254">
                    <w:rPr>
                      <w:color w:val="000000"/>
                      <w:sz w:val="16"/>
                      <w:szCs w:val="16"/>
                    </w:rPr>
                    <w:t>€ 17.578.665</w:t>
                  </w:r>
                </w:p>
              </w:tc>
              <w:tc>
                <w:tcPr>
                  <w:tcW w:w="1364" w:type="dxa"/>
                  <w:shd w:val="clear" w:color="auto" w:fill="auto"/>
                </w:tcPr>
                <w:p w:rsidRPr="0003296C" w:rsidR="00E615B6" w:rsidP="00463830" w14:paraId="505465D6" w14:textId="77777777">
                  <w:pPr>
                    <w:rPr>
                      <w:rFonts w:eastAsia="Times New Roman"/>
                      <w:sz w:val="16"/>
                      <w:szCs w:val="16"/>
                    </w:rPr>
                  </w:pPr>
                  <w:r w:rsidRPr="005A7254">
                    <w:rPr>
                      <w:color w:val="000000"/>
                      <w:sz w:val="16"/>
                      <w:szCs w:val="16"/>
                    </w:rPr>
                    <w:t>€ 9.515.000</w:t>
                  </w:r>
                </w:p>
              </w:tc>
              <w:tc>
                <w:tcPr>
                  <w:tcW w:w="2132" w:type="dxa"/>
                  <w:shd w:val="clear" w:color="auto" w:fill="auto"/>
                </w:tcPr>
                <w:p w:rsidRPr="00A332E2" w:rsidR="00E615B6" w:rsidP="00463830" w14:paraId="50D398E9" w14:textId="77777777">
                  <w:pPr>
                    <w:rPr>
                      <w:rFonts w:eastAsia="Times New Roman"/>
                      <w:sz w:val="16"/>
                      <w:szCs w:val="16"/>
                      <w:lang w:val="nl-NL"/>
                    </w:rPr>
                  </w:pPr>
                  <w:r w:rsidRPr="00A510EB">
                    <w:rPr>
                      <w:sz w:val="16"/>
                      <w:szCs w:val="16"/>
                      <w:lang w:val="nl-NL"/>
                    </w:rPr>
                    <w:t>Mobiliteitshub, aanleg ontsluitingsweg, aanleg fietspad</w:t>
                  </w:r>
                </w:p>
              </w:tc>
            </w:tr>
            <w:tr w:rsidTr="00463830" w14:paraId="2042FA0A" w14:textId="77777777">
              <w:tblPrEx>
                <w:tblW w:w="8732" w:type="dxa"/>
                <w:tblLayout w:type="fixed"/>
                <w:tblLook w:val="04A0"/>
              </w:tblPrEx>
              <w:trPr>
                <w:trHeight w:val="19"/>
              </w:trPr>
              <w:tc>
                <w:tcPr>
                  <w:tcW w:w="1340" w:type="dxa"/>
                  <w:shd w:val="clear" w:color="auto" w:fill="auto"/>
                  <w:hideMark/>
                </w:tcPr>
                <w:p w:rsidRPr="00483F3D" w:rsidR="00E615B6" w:rsidP="00463830" w14:paraId="27453A39" w14:textId="77777777">
                  <w:pPr>
                    <w:rPr>
                      <w:rFonts w:eastAsia="Times New Roman" w:cs="Calibri"/>
                      <w:b w:val="0"/>
                      <w:bCs w:val="0"/>
                      <w:color w:val="000000"/>
                      <w:sz w:val="16"/>
                      <w:szCs w:val="16"/>
                    </w:rPr>
                  </w:pPr>
                  <w:r w:rsidRPr="00483F3D">
                    <w:rPr>
                      <w:rFonts w:eastAsia="Times New Roman"/>
                      <w:b w:val="0"/>
                      <w:bCs w:val="0"/>
                      <w:sz w:val="16"/>
                      <w:szCs w:val="16"/>
                    </w:rPr>
                    <w:t>Alphen aan den Rijn</w:t>
                  </w:r>
                </w:p>
              </w:tc>
              <w:tc>
                <w:tcPr>
                  <w:tcW w:w="1628" w:type="dxa"/>
                  <w:shd w:val="clear" w:color="auto" w:fill="auto"/>
                </w:tcPr>
                <w:p w:rsidRPr="0003296C" w:rsidR="00E615B6" w:rsidP="00463830" w14:paraId="25D75894" w14:textId="77777777">
                  <w:pPr>
                    <w:rPr>
                      <w:rFonts w:eastAsia="Times New Roman"/>
                      <w:sz w:val="16"/>
                      <w:szCs w:val="16"/>
                    </w:rPr>
                  </w:pPr>
                  <w:r w:rsidRPr="005A7254">
                    <w:rPr>
                      <w:sz w:val="16"/>
                      <w:szCs w:val="16"/>
                    </w:rPr>
                    <w:t>Leiden-Utrecht beter bereikbaar</w:t>
                  </w:r>
                </w:p>
              </w:tc>
              <w:tc>
                <w:tcPr>
                  <w:tcW w:w="1134" w:type="dxa"/>
                  <w:shd w:val="clear" w:color="auto" w:fill="auto"/>
                </w:tcPr>
                <w:p w:rsidRPr="0003296C" w:rsidR="00E615B6" w:rsidP="00463830" w14:paraId="516DDE43" w14:textId="77777777">
                  <w:pPr>
                    <w:rPr>
                      <w:rFonts w:eastAsia="Times New Roman"/>
                      <w:sz w:val="16"/>
                      <w:szCs w:val="16"/>
                    </w:rPr>
                  </w:pPr>
                  <w:r w:rsidRPr="005A7254">
                    <w:rPr>
                      <w:color w:val="000000"/>
                      <w:sz w:val="16"/>
                      <w:szCs w:val="16"/>
                    </w:rPr>
                    <w:t>9.110</w:t>
                  </w:r>
                </w:p>
              </w:tc>
              <w:tc>
                <w:tcPr>
                  <w:tcW w:w="1134" w:type="dxa"/>
                  <w:shd w:val="clear" w:color="auto" w:fill="auto"/>
                </w:tcPr>
                <w:p w:rsidRPr="0003296C" w:rsidR="00E615B6" w:rsidP="00463830" w14:paraId="7EF48887" w14:textId="77777777">
                  <w:pPr>
                    <w:rPr>
                      <w:rFonts w:eastAsia="Times New Roman"/>
                      <w:sz w:val="16"/>
                      <w:szCs w:val="16"/>
                    </w:rPr>
                  </w:pPr>
                  <w:r w:rsidRPr="005A7254">
                    <w:rPr>
                      <w:color w:val="000000"/>
                      <w:sz w:val="16"/>
                      <w:szCs w:val="16"/>
                    </w:rPr>
                    <w:t>€ 34.108.600</w:t>
                  </w:r>
                </w:p>
              </w:tc>
              <w:tc>
                <w:tcPr>
                  <w:tcW w:w="1364" w:type="dxa"/>
                  <w:shd w:val="clear" w:color="auto" w:fill="auto"/>
                </w:tcPr>
                <w:p w:rsidRPr="0003296C" w:rsidR="00E615B6" w:rsidP="00463830" w14:paraId="06269B3B" w14:textId="77777777">
                  <w:pPr>
                    <w:rPr>
                      <w:rFonts w:eastAsia="Times New Roman"/>
                      <w:sz w:val="16"/>
                      <w:szCs w:val="16"/>
                    </w:rPr>
                  </w:pPr>
                  <w:r w:rsidRPr="005A7254">
                    <w:rPr>
                      <w:color w:val="000000"/>
                      <w:sz w:val="16"/>
                      <w:szCs w:val="16"/>
                    </w:rPr>
                    <w:t>€ 22.853.118</w:t>
                  </w:r>
                </w:p>
              </w:tc>
              <w:tc>
                <w:tcPr>
                  <w:tcW w:w="2132" w:type="dxa"/>
                  <w:shd w:val="clear" w:color="auto" w:fill="auto"/>
                </w:tcPr>
                <w:p w:rsidRPr="00A332E2" w:rsidR="00E615B6" w:rsidP="00463830" w14:paraId="121DE766" w14:textId="77777777">
                  <w:pPr>
                    <w:rPr>
                      <w:rFonts w:eastAsia="Times New Roman"/>
                      <w:sz w:val="16"/>
                      <w:szCs w:val="16"/>
                      <w:lang w:val="nl-NL"/>
                    </w:rPr>
                  </w:pPr>
                  <w:r w:rsidRPr="00A510EB">
                    <w:rPr>
                      <w:color w:val="000000"/>
                      <w:sz w:val="16"/>
                      <w:szCs w:val="16"/>
                      <w:lang w:val="nl-NL"/>
                    </w:rPr>
                    <w:t>Aanleg station, mobiliteitshub, ongelijkvloerse kruising spoor</w:t>
                  </w:r>
                </w:p>
              </w:tc>
            </w:tr>
            <w:tr w:rsidTr="00463830" w14:paraId="1CFFFB92" w14:textId="77777777">
              <w:tblPrEx>
                <w:tblW w:w="8732" w:type="dxa"/>
                <w:tblLayout w:type="fixed"/>
                <w:tblLook w:val="04A0"/>
              </w:tblPrEx>
              <w:trPr>
                <w:trHeight w:val="19"/>
              </w:trPr>
              <w:tc>
                <w:tcPr>
                  <w:tcW w:w="1340" w:type="dxa"/>
                  <w:shd w:val="clear" w:color="auto" w:fill="auto"/>
                  <w:hideMark/>
                </w:tcPr>
                <w:p w:rsidRPr="00483F3D" w:rsidR="00E615B6" w:rsidP="00463830" w14:paraId="447F1E22" w14:textId="77777777">
                  <w:pPr>
                    <w:rPr>
                      <w:rFonts w:eastAsia="Times New Roman" w:cs="Calibri"/>
                      <w:b w:val="0"/>
                      <w:bCs w:val="0"/>
                      <w:sz w:val="16"/>
                      <w:szCs w:val="16"/>
                    </w:rPr>
                  </w:pPr>
                  <w:r w:rsidRPr="00483F3D">
                    <w:rPr>
                      <w:rFonts w:eastAsia="Times New Roman"/>
                      <w:b w:val="0"/>
                      <w:bCs w:val="0"/>
                      <w:sz w:val="16"/>
                      <w:szCs w:val="16"/>
                    </w:rPr>
                    <w:t>Barendrecht</w:t>
                  </w:r>
                </w:p>
              </w:tc>
              <w:tc>
                <w:tcPr>
                  <w:tcW w:w="1628" w:type="dxa"/>
                  <w:shd w:val="clear" w:color="auto" w:fill="auto"/>
                </w:tcPr>
                <w:p w:rsidRPr="0003296C" w:rsidR="00E615B6" w:rsidP="00463830" w14:paraId="5BB3E9A6" w14:textId="77777777">
                  <w:pPr>
                    <w:rPr>
                      <w:rFonts w:eastAsia="Times New Roman"/>
                      <w:sz w:val="16"/>
                      <w:szCs w:val="16"/>
                    </w:rPr>
                  </w:pPr>
                  <w:r w:rsidRPr="005A7254">
                    <w:rPr>
                      <w:sz w:val="16"/>
                      <w:szCs w:val="16"/>
                    </w:rPr>
                    <w:t>De Stationstuinen</w:t>
                  </w:r>
                  <w:r w:rsidRPr="005A7254">
                    <w:rPr>
                      <w:sz w:val="16"/>
                      <w:szCs w:val="16"/>
                    </w:rPr>
                    <w:br/>
                    <w:t>Barendrecht</w:t>
                  </w:r>
                </w:p>
              </w:tc>
              <w:tc>
                <w:tcPr>
                  <w:tcW w:w="1134" w:type="dxa"/>
                  <w:shd w:val="clear" w:color="auto" w:fill="auto"/>
                </w:tcPr>
                <w:p w:rsidRPr="0003296C" w:rsidR="00E615B6" w:rsidP="00463830" w14:paraId="20176358" w14:textId="77777777">
                  <w:pPr>
                    <w:rPr>
                      <w:rFonts w:eastAsia="Times New Roman"/>
                      <w:sz w:val="16"/>
                      <w:szCs w:val="16"/>
                    </w:rPr>
                  </w:pPr>
                  <w:r w:rsidRPr="005A7254">
                    <w:rPr>
                      <w:color w:val="000000"/>
                      <w:sz w:val="16"/>
                      <w:szCs w:val="16"/>
                    </w:rPr>
                    <w:t>904</w:t>
                  </w:r>
                </w:p>
              </w:tc>
              <w:tc>
                <w:tcPr>
                  <w:tcW w:w="1134" w:type="dxa"/>
                  <w:shd w:val="clear" w:color="auto" w:fill="auto"/>
                </w:tcPr>
                <w:p w:rsidRPr="0003296C" w:rsidR="00E615B6" w:rsidP="00463830" w14:paraId="3C4AD8DF" w14:textId="77777777">
                  <w:pPr>
                    <w:rPr>
                      <w:rFonts w:eastAsia="Times New Roman"/>
                      <w:sz w:val="16"/>
                      <w:szCs w:val="16"/>
                    </w:rPr>
                  </w:pPr>
                  <w:r w:rsidRPr="005A7254">
                    <w:rPr>
                      <w:color w:val="000000"/>
                      <w:sz w:val="16"/>
                      <w:szCs w:val="16"/>
                    </w:rPr>
                    <w:t>€ 7.896.248</w:t>
                  </w:r>
                </w:p>
              </w:tc>
              <w:tc>
                <w:tcPr>
                  <w:tcW w:w="1364" w:type="dxa"/>
                  <w:shd w:val="clear" w:color="auto" w:fill="auto"/>
                </w:tcPr>
                <w:p w:rsidRPr="0003296C" w:rsidR="00E615B6" w:rsidP="00463830" w14:paraId="1E6EBBCE" w14:textId="77777777">
                  <w:pPr>
                    <w:rPr>
                      <w:rFonts w:eastAsia="Times New Roman"/>
                      <w:sz w:val="16"/>
                      <w:szCs w:val="16"/>
                    </w:rPr>
                  </w:pPr>
                  <w:r w:rsidRPr="005A7254">
                    <w:rPr>
                      <w:color w:val="000000"/>
                      <w:sz w:val="16"/>
                      <w:szCs w:val="16"/>
                    </w:rPr>
                    <w:t>€ 4.273.192</w:t>
                  </w:r>
                </w:p>
              </w:tc>
              <w:tc>
                <w:tcPr>
                  <w:tcW w:w="2132" w:type="dxa"/>
                  <w:shd w:val="clear" w:color="auto" w:fill="auto"/>
                </w:tcPr>
                <w:p w:rsidRPr="0003296C" w:rsidR="00E615B6" w:rsidP="00463830" w14:paraId="19278AAE" w14:textId="77777777">
                  <w:pPr>
                    <w:rPr>
                      <w:rFonts w:eastAsia="Times New Roman"/>
                      <w:sz w:val="16"/>
                      <w:szCs w:val="16"/>
                    </w:rPr>
                  </w:pPr>
                  <w:r w:rsidRPr="005A7254">
                    <w:rPr>
                      <w:sz w:val="16"/>
                      <w:szCs w:val="16"/>
                    </w:rPr>
                    <w:t>Aanleg rotonde, mobiliteitshub</w:t>
                  </w:r>
                </w:p>
              </w:tc>
            </w:tr>
            <w:tr w:rsidTr="00463830" w14:paraId="1F2ACC78" w14:textId="77777777">
              <w:tblPrEx>
                <w:tblW w:w="8732" w:type="dxa"/>
                <w:tblLayout w:type="fixed"/>
                <w:tblLook w:val="04A0"/>
              </w:tblPrEx>
              <w:trPr>
                <w:trHeight w:val="19"/>
              </w:trPr>
              <w:tc>
                <w:tcPr>
                  <w:tcW w:w="1340" w:type="dxa"/>
                  <w:shd w:val="clear" w:color="auto" w:fill="auto"/>
                  <w:hideMark/>
                </w:tcPr>
                <w:p w:rsidRPr="00483F3D" w:rsidR="00E615B6" w:rsidP="00463830" w14:paraId="2362D905" w14:textId="77777777">
                  <w:pPr>
                    <w:rPr>
                      <w:rFonts w:eastAsia="Times New Roman" w:cs="Calibri"/>
                      <w:b w:val="0"/>
                      <w:bCs w:val="0"/>
                      <w:sz w:val="16"/>
                      <w:szCs w:val="16"/>
                    </w:rPr>
                  </w:pPr>
                  <w:r w:rsidRPr="00483F3D">
                    <w:rPr>
                      <w:rFonts w:eastAsia="Times New Roman"/>
                      <w:b w:val="0"/>
                      <w:bCs w:val="0"/>
                      <w:sz w:val="16"/>
                      <w:szCs w:val="16"/>
                    </w:rPr>
                    <w:t>Capelle aan den IJssel</w:t>
                  </w:r>
                </w:p>
              </w:tc>
              <w:tc>
                <w:tcPr>
                  <w:tcW w:w="1628" w:type="dxa"/>
                  <w:shd w:val="clear" w:color="auto" w:fill="auto"/>
                </w:tcPr>
                <w:p w:rsidRPr="0003296C" w:rsidR="00E615B6" w:rsidP="00463830" w14:paraId="222C6B83" w14:textId="77777777">
                  <w:pPr>
                    <w:rPr>
                      <w:rFonts w:eastAsia="Times New Roman"/>
                      <w:sz w:val="16"/>
                      <w:szCs w:val="16"/>
                    </w:rPr>
                  </w:pPr>
                  <w:r w:rsidRPr="005A7254">
                    <w:rPr>
                      <w:sz w:val="16"/>
                      <w:szCs w:val="16"/>
                    </w:rPr>
                    <w:t>Florabuurt</w:t>
                  </w:r>
                </w:p>
              </w:tc>
              <w:tc>
                <w:tcPr>
                  <w:tcW w:w="1134" w:type="dxa"/>
                  <w:shd w:val="clear" w:color="auto" w:fill="auto"/>
                </w:tcPr>
                <w:p w:rsidRPr="0003296C" w:rsidR="00E615B6" w:rsidP="00463830" w14:paraId="1D253A23" w14:textId="77777777">
                  <w:pPr>
                    <w:rPr>
                      <w:rFonts w:eastAsia="Times New Roman"/>
                      <w:sz w:val="16"/>
                      <w:szCs w:val="16"/>
                    </w:rPr>
                  </w:pPr>
                  <w:r w:rsidRPr="005A7254">
                    <w:rPr>
                      <w:color w:val="000000"/>
                      <w:sz w:val="16"/>
                      <w:szCs w:val="16"/>
                    </w:rPr>
                    <w:t>216</w:t>
                  </w:r>
                </w:p>
              </w:tc>
              <w:tc>
                <w:tcPr>
                  <w:tcW w:w="1134" w:type="dxa"/>
                  <w:shd w:val="clear" w:color="auto" w:fill="auto"/>
                </w:tcPr>
                <w:p w:rsidRPr="0003296C" w:rsidR="00E615B6" w:rsidP="00463830" w14:paraId="3834175F" w14:textId="77777777">
                  <w:pPr>
                    <w:rPr>
                      <w:rFonts w:eastAsia="Times New Roman"/>
                      <w:sz w:val="16"/>
                      <w:szCs w:val="16"/>
                    </w:rPr>
                  </w:pPr>
                  <w:r w:rsidRPr="005A7254">
                    <w:rPr>
                      <w:color w:val="000000"/>
                      <w:sz w:val="16"/>
                      <w:szCs w:val="16"/>
                    </w:rPr>
                    <w:t>€ 2.277.300</w:t>
                  </w:r>
                </w:p>
              </w:tc>
              <w:tc>
                <w:tcPr>
                  <w:tcW w:w="1364" w:type="dxa"/>
                  <w:shd w:val="clear" w:color="auto" w:fill="auto"/>
                </w:tcPr>
                <w:p w:rsidRPr="0003296C" w:rsidR="00E615B6" w:rsidP="00463830" w14:paraId="41717C5E" w14:textId="77777777">
                  <w:pPr>
                    <w:rPr>
                      <w:rFonts w:eastAsia="Times New Roman"/>
                      <w:sz w:val="16"/>
                      <w:szCs w:val="16"/>
                    </w:rPr>
                  </w:pPr>
                  <w:r w:rsidRPr="005A7254">
                    <w:rPr>
                      <w:color w:val="000000"/>
                      <w:sz w:val="16"/>
                      <w:szCs w:val="16"/>
                    </w:rPr>
                    <w:t>€ 1.232.401</w:t>
                  </w:r>
                </w:p>
              </w:tc>
              <w:tc>
                <w:tcPr>
                  <w:tcW w:w="2132" w:type="dxa"/>
                  <w:shd w:val="clear" w:color="auto" w:fill="auto"/>
                </w:tcPr>
                <w:p w:rsidRPr="00A332E2" w:rsidR="00E615B6" w:rsidP="00463830" w14:paraId="39BCE85B" w14:textId="77777777">
                  <w:pPr>
                    <w:rPr>
                      <w:rFonts w:eastAsia="Times New Roman"/>
                      <w:sz w:val="16"/>
                      <w:szCs w:val="16"/>
                      <w:lang w:val="nl-NL"/>
                    </w:rPr>
                  </w:pPr>
                  <w:r w:rsidRPr="00A510EB">
                    <w:rPr>
                      <w:sz w:val="16"/>
                      <w:szCs w:val="16"/>
                      <w:lang w:val="nl-NL"/>
                    </w:rPr>
                    <w:t xml:space="preserve">Aanleg oversteekvoorzieningen, aanleg fiets- en voetgangerspad, </w:t>
                  </w:r>
                  <w:r w:rsidRPr="00A510EB">
                    <w:rPr>
                      <w:sz w:val="16"/>
                      <w:szCs w:val="16"/>
                      <w:lang w:val="nl-NL"/>
                    </w:rPr>
                    <w:t>aanleg brug fiets- en voetgangerspad, herinrichting erftoegangswegen</w:t>
                  </w:r>
                </w:p>
              </w:tc>
            </w:tr>
            <w:tr w:rsidTr="00463830" w14:paraId="016487A9" w14:textId="77777777">
              <w:tblPrEx>
                <w:tblW w:w="8732" w:type="dxa"/>
                <w:tblLayout w:type="fixed"/>
                <w:tblLook w:val="04A0"/>
              </w:tblPrEx>
              <w:trPr>
                <w:trHeight w:val="19"/>
              </w:trPr>
              <w:tc>
                <w:tcPr>
                  <w:tcW w:w="1340" w:type="dxa"/>
                  <w:shd w:val="clear" w:color="auto" w:fill="auto"/>
                  <w:hideMark/>
                </w:tcPr>
                <w:p w:rsidRPr="00483F3D" w:rsidR="00E615B6" w:rsidP="00463830" w14:paraId="47F2D02A" w14:textId="77777777">
                  <w:pPr>
                    <w:rPr>
                      <w:rFonts w:eastAsia="Times New Roman" w:cs="Calibri"/>
                      <w:b w:val="0"/>
                      <w:bCs w:val="0"/>
                      <w:sz w:val="16"/>
                      <w:szCs w:val="16"/>
                    </w:rPr>
                  </w:pPr>
                  <w:r w:rsidRPr="00483F3D">
                    <w:rPr>
                      <w:rFonts w:eastAsia="Times New Roman"/>
                      <w:b w:val="0"/>
                      <w:bCs w:val="0"/>
                      <w:sz w:val="16"/>
                      <w:szCs w:val="16"/>
                    </w:rPr>
                    <w:t>Gorinchem</w:t>
                  </w:r>
                </w:p>
              </w:tc>
              <w:tc>
                <w:tcPr>
                  <w:tcW w:w="1628" w:type="dxa"/>
                  <w:shd w:val="clear" w:color="auto" w:fill="auto"/>
                </w:tcPr>
                <w:p w:rsidRPr="0003296C" w:rsidR="00E615B6" w:rsidP="00463830" w14:paraId="4928BA6B" w14:textId="77777777">
                  <w:pPr>
                    <w:rPr>
                      <w:rFonts w:eastAsia="Times New Roman"/>
                      <w:sz w:val="16"/>
                      <w:szCs w:val="16"/>
                    </w:rPr>
                  </w:pPr>
                  <w:r w:rsidRPr="005A7254">
                    <w:rPr>
                      <w:sz w:val="16"/>
                      <w:szCs w:val="16"/>
                    </w:rPr>
                    <w:t>Stationsgebied Gorinchem</w:t>
                  </w:r>
                </w:p>
              </w:tc>
              <w:tc>
                <w:tcPr>
                  <w:tcW w:w="1134" w:type="dxa"/>
                  <w:shd w:val="clear" w:color="auto" w:fill="auto"/>
                </w:tcPr>
                <w:p w:rsidRPr="0003296C" w:rsidR="00E615B6" w:rsidP="00463830" w14:paraId="3A846893" w14:textId="77777777">
                  <w:pPr>
                    <w:rPr>
                      <w:rFonts w:eastAsia="Times New Roman"/>
                      <w:sz w:val="16"/>
                      <w:szCs w:val="16"/>
                    </w:rPr>
                  </w:pPr>
                  <w:r w:rsidRPr="005A7254">
                    <w:rPr>
                      <w:color w:val="000000"/>
                      <w:sz w:val="16"/>
                      <w:szCs w:val="16"/>
                    </w:rPr>
                    <w:t>200</w:t>
                  </w:r>
                </w:p>
              </w:tc>
              <w:tc>
                <w:tcPr>
                  <w:tcW w:w="1134" w:type="dxa"/>
                  <w:shd w:val="clear" w:color="auto" w:fill="auto"/>
                </w:tcPr>
                <w:p w:rsidRPr="0003296C" w:rsidR="00E615B6" w:rsidP="00463830" w14:paraId="04AC90BE" w14:textId="77777777">
                  <w:pPr>
                    <w:rPr>
                      <w:rFonts w:eastAsia="Times New Roman"/>
                      <w:sz w:val="16"/>
                      <w:szCs w:val="16"/>
                    </w:rPr>
                  </w:pPr>
                  <w:r w:rsidRPr="005A7254">
                    <w:rPr>
                      <w:color w:val="000000"/>
                      <w:sz w:val="16"/>
                      <w:szCs w:val="16"/>
                    </w:rPr>
                    <w:t>€ 2.220.808</w:t>
                  </w:r>
                </w:p>
              </w:tc>
              <w:tc>
                <w:tcPr>
                  <w:tcW w:w="1364" w:type="dxa"/>
                  <w:shd w:val="clear" w:color="auto" w:fill="auto"/>
                </w:tcPr>
                <w:p w:rsidRPr="0003296C" w:rsidR="00E615B6" w:rsidP="00463830" w14:paraId="6B398B7C" w14:textId="77777777">
                  <w:pPr>
                    <w:rPr>
                      <w:rFonts w:eastAsia="Times New Roman"/>
                      <w:sz w:val="16"/>
                      <w:szCs w:val="16"/>
                    </w:rPr>
                  </w:pPr>
                  <w:r w:rsidRPr="005A7254">
                    <w:rPr>
                      <w:color w:val="000000"/>
                      <w:sz w:val="16"/>
                      <w:szCs w:val="16"/>
                    </w:rPr>
                    <w:t>€ 1.201.829</w:t>
                  </w:r>
                </w:p>
              </w:tc>
              <w:tc>
                <w:tcPr>
                  <w:tcW w:w="2132" w:type="dxa"/>
                  <w:shd w:val="clear" w:color="auto" w:fill="auto"/>
                </w:tcPr>
                <w:p w:rsidRPr="00A332E2" w:rsidR="00E615B6" w:rsidP="00463830" w14:paraId="19A8F24F" w14:textId="77777777">
                  <w:pPr>
                    <w:rPr>
                      <w:rFonts w:eastAsia="Times New Roman"/>
                      <w:sz w:val="16"/>
                      <w:szCs w:val="16"/>
                      <w:lang w:val="nl-NL"/>
                    </w:rPr>
                  </w:pPr>
                  <w:r w:rsidRPr="00A510EB">
                    <w:rPr>
                      <w:sz w:val="16"/>
                      <w:szCs w:val="16"/>
                      <w:lang w:val="nl-NL"/>
                    </w:rPr>
                    <w:t>Opwaardering van rotonde, aanleg van rotonde</w:t>
                  </w:r>
                </w:p>
              </w:tc>
            </w:tr>
            <w:tr w:rsidTr="00463830" w14:paraId="77E2EB4E" w14:textId="77777777">
              <w:tblPrEx>
                <w:tblW w:w="8732" w:type="dxa"/>
                <w:tblLayout w:type="fixed"/>
                <w:tblLook w:val="04A0"/>
              </w:tblPrEx>
              <w:trPr>
                <w:trHeight w:val="19"/>
              </w:trPr>
              <w:tc>
                <w:tcPr>
                  <w:tcW w:w="1340" w:type="dxa"/>
                  <w:shd w:val="clear" w:color="auto" w:fill="auto"/>
                  <w:hideMark/>
                </w:tcPr>
                <w:p w:rsidRPr="00483F3D" w:rsidR="00E615B6" w:rsidP="00463830" w14:paraId="08B51266" w14:textId="77777777">
                  <w:pPr>
                    <w:rPr>
                      <w:rFonts w:eastAsia="Times New Roman" w:cs="Calibri"/>
                      <w:b w:val="0"/>
                      <w:bCs w:val="0"/>
                      <w:sz w:val="16"/>
                      <w:szCs w:val="16"/>
                    </w:rPr>
                  </w:pPr>
                  <w:r w:rsidRPr="00483F3D">
                    <w:rPr>
                      <w:rFonts w:eastAsia="Times New Roman"/>
                      <w:b w:val="0"/>
                      <w:bCs w:val="0"/>
                      <w:sz w:val="16"/>
                      <w:szCs w:val="16"/>
                    </w:rPr>
                    <w:t>Hoeksche Waard</w:t>
                  </w:r>
                </w:p>
              </w:tc>
              <w:tc>
                <w:tcPr>
                  <w:tcW w:w="1628" w:type="dxa"/>
                  <w:shd w:val="clear" w:color="auto" w:fill="auto"/>
                </w:tcPr>
                <w:p w:rsidRPr="0003296C" w:rsidR="00E615B6" w:rsidP="00463830" w14:paraId="258F88C8" w14:textId="77777777">
                  <w:pPr>
                    <w:rPr>
                      <w:rFonts w:eastAsia="Times New Roman"/>
                      <w:sz w:val="16"/>
                      <w:szCs w:val="16"/>
                    </w:rPr>
                  </w:pPr>
                  <w:r w:rsidRPr="005A7254">
                    <w:rPr>
                      <w:sz w:val="16"/>
                      <w:szCs w:val="16"/>
                    </w:rPr>
                    <w:t>Stougjeswijk Oud-Beijerland</w:t>
                  </w:r>
                </w:p>
              </w:tc>
              <w:tc>
                <w:tcPr>
                  <w:tcW w:w="1134" w:type="dxa"/>
                  <w:shd w:val="clear" w:color="auto" w:fill="auto"/>
                </w:tcPr>
                <w:p w:rsidRPr="0003296C" w:rsidR="00E615B6" w:rsidP="00463830" w14:paraId="0E7F28B4" w14:textId="77777777">
                  <w:pPr>
                    <w:rPr>
                      <w:rFonts w:eastAsia="Times New Roman"/>
                      <w:sz w:val="16"/>
                      <w:szCs w:val="16"/>
                    </w:rPr>
                  </w:pPr>
                  <w:r w:rsidRPr="005A7254">
                    <w:rPr>
                      <w:color w:val="000000"/>
                      <w:sz w:val="16"/>
                      <w:szCs w:val="16"/>
                    </w:rPr>
                    <w:t>994</w:t>
                  </w:r>
                </w:p>
              </w:tc>
              <w:tc>
                <w:tcPr>
                  <w:tcW w:w="1134" w:type="dxa"/>
                  <w:shd w:val="clear" w:color="auto" w:fill="auto"/>
                </w:tcPr>
                <w:p w:rsidRPr="0003296C" w:rsidR="00E615B6" w:rsidP="00463830" w14:paraId="3F493A86" w14:textId="77777777">
                  <w:pPr>
                    <w:rPr>
                      <w:rFonts w:eastAsia="Times New Roman"/>
                      <w:sz w:val="16"/>
                      <w:szCs w:val="16"/>
                    </w:rPr>
                  </w:pPr>
                  <w:r w:rsidRPr="005A7254">
                    <w:rPr>
                      <w:color w:val="000000"/>
                      <w:sz w:val="16"/>
                      <w:szCs w:val="16"/>
                    </w:rPr>
                    <w:t>€ 13.785.122</w:t>
                  </w:r>
                </w:p>
              </w:tc>
              <w:tc>
                <w:tcPr>
                  <w:tcW w:w="1364" w:type="dxa"/>
                  <w:shd w:val="clear" w:color="auto" w:fill="auto"/>
                </w:tcPr>
                <w:p w:rsidRPr="0003296C" w:rsidR="00E615B6" w:rsidP="00463830" w14:paraId="7757008E" w14:textId="77777777">
                  <w:pPr>
                    <w:rPr>
                      <w:rFonts w:eastAsia="Times New Roman"/>
                      <w:sz w:val="16"/>
                      <w:szCs w:val="16"/>
                    </w:rPr>
                  </w:pPr>
                  <w:r w:rsidRPr="005A7254">
                    <w:rPr>
                      <w:color w:val="000000"/>
                      <w:sz w:val="16"/>
                      <w:szCs w:val="16"/>
                    </w:rPr>
                    <w:t>€ 7.460.058</w:t>
                  </w:r>
                </w:p>
              </w:tc>
              <w:tc>
                <w:tcPr>
                  <w:tcW w:w="2132" w:type="dxa"/>
                  <w:shd w:val="clear" w:color="auto" w:fill="auto"/>
                </w:tcPr>
                <w:p w:rsidRPr="00A332E2" w:rsidR="00E615B6" w:rsidP="00463830" w14:paraId="5FBD2FE2" w14:textId="77777777">
                  <w:pPr>
                    <w:rPr>
                      <w:rFonts w:eastAsia="Times New Roman"/>
                      <w:sz w:val="16"/>
                      <w:szCs w:val="16"/>
                      <w:lang w:val="nl-NL"/>
                    </w:rPr>
                  </w:pPr>
                  <w:r w:rsidRPr="00A510EB">
                    <w:rPr>
                      <w:sz w:val="16"/>
                      <w:szCs w:val="16"/>
                      <w:lang w:val="nl-NL"/>
                    </w:rPr>
                    <w:t>Herinrichting rotonde naar kruispunt, aanleg HOV-viaduct</w:t>
                  </w:r>
                </w:p>
              </w:tc>
            </w:tr>
            <w:tr w:rsidTr="00463830" w14:paraId="161EC2F2" w14:textId="77777777">
              <w:tblPrEx>
                <w:tblW w:w="8732" w:type="dxa"/>
                <w:tblLayout w:type="fixed"/>
                <w:tblLook w:val="04A0"/>
              </w:tblPrEx>
              <w:trPr>
                <w:trHeight w:val="19"/>
              </w:trPr>
              <w:tc>
                <w:tcPr>
                  <w:tcW w:w="1340" w:type="dxa"/>
                  <w:shd w:val="clear" w:color="auto" w:fill="auto"/>
                  <w:hideMark/>
                </w:tcPr>
                <w:p w:rsidRPr="00483F3D" w:rsidR="00E615B6" w:rsidP="00463830" w14:paraId="576A195A" w14:textId="77777777">
                  <w:pPr>
                    <w:rPr>
                      <w:rFonts w:eastAsia="Times New Roman" w:cs="Calibri"/>
                      <w:b w:val="0"/>
                      <w:bCs w:val="0"/>
                      <w:sz w:val="16"/>
                      <w:szCs w:val="16"/>
                    </w:rPr>
                  </w:pPr>
                  <w:r w:rsidRPr="00483F3D">
                    <w:rPr>
                      <w:rFonts w:eastAsia="Times New Roman"/>
                      <w:b w:val="0"/>
                      <w:bCs w:val="0"/>
                      <w:sz w:val="16"/>
                      <w:szCs w:val="16"/>
                    </w:rPr>
                    <w:t>Katwijk</w:t>
                  </w:r>
                </w:p>
              </w:tc>
              <w:tc>
                <w:tcPr>
                  <w:tcW w:w="1628" w:type="dxa"/>
                  <w:shd w:val="clear" w:color="auto" w:fill="auto"/>
                </w:tcPr>
                <w:p w:rsidRPr="00A332E2" w:rsidR="00E615B6" w:rsidP="00463830" w14:paraId="1C5B8204" w14:textId="77777777">
                  <w:pPr>
                    <w:rPr>
                      <w:rFonts w:eastAsia="Times New Roman"/>
                      <w:sz w:val="16"/>
                      <w:szCs w:val="16"/>
                      <w:lang w:val="nl-NL"/>
                    </w:rPr>
                  </w:pPr>
                  <w:r w:rsidRPr="00A510EB">
                    <w:rPr>
                      <w:sz w:val="16"/>
                      <w:szCs w:val="16"/>
                      <w:lang w:val="nl-NL"/>
                    </w:rPr>
                    <w:t>Zijlhoek De Woerd, Tjalmastrook, Limesdriehoek</w:t>
                  </w:r>
                </w:p>
              </w:tc>
              <w:tc>
                <w:tcPr>
                  <w:tcW w:w="1134" w:type="dxa"/>
                  <w:shd w:val="clear" w:color="auto" w:fill="auto"/>
                </w:tcPr>
                <w:p w:rsidRPr="0003296C" w:rsidR="00E615B6" w:rsidP="00463830" w14:paraId="7D9791A4" w14:textId="77777777">
                  <w:pPr>
                    <w:rPr>
                      <w:rFonts w:eastAsia="Times New Roman"/>
                      <w:sz w:val="16"/>
                      <w:szCs w:val="16"/>
                    </w:rPr>
                  </w:pPr>
                  <w:r w:rsidRPr="005A7254">
                    <w:rPr>
                      <w:color w:val="000000"/>
                      <w:sz w:val="16"/>
                      <w:szCs w:val="16"/>
                    </w:rPr>
                    <w:t>1.590</w:t>
                  </w:r>
                </w:p>
              </w:tc>
              <w:tc>
                <w:tcPr>
                  <w:tcW w:w="1134" w:type="dxa"/>
                  <w:shd w:val="clear" w:color="auto" w:fill="auto"/>
                </w:tcPr>
                <w:p w:rsidRPr="0003296C" w:rsidR="00E615B6" w:rsidP="00463830" w14:paraId="3ABB37A4" w14:textId="77777777">
                  <w:pPr>
                    <w:rPr>
                      <w:rFonts w:eastAsia="Times New Roman"/>
                      <w:sz w:val="16"/>
                      <w:szCs w:val="16"/>
                    </w:rPr>
                  </w:pPr>
                  <w:r w:rsidRPr="005A7254">
                    <w:rPr>
                      <w:color w:val="000000"/>
                      <w:sz w:val="16"/>
                      <w:szCs w:val="16"/>
                    </w:rPr>
                    <w:t>€ 13.900.000</w:t>
                  </w:r>
                </w:p>
              </w:tc>
              <w:tc>
                <w:tcPr>
                  <w:tcW w:w="1364" w:type="dxa"/>
                  <w:shd w:val="clear" w:color="auto" w:fill="auto"/>
                </w:tcPr>
                <w:p w:rsidRPr="005A7254" w:rsidR="00E615B6" w:rsidP="00463830" w14:paraId="3B525A2E" w14:textId="77777777">
                  <w:pPr>
                    <w:rPr>
                      <w:color w:val="000000"/>
                      <w:sz w:val="16"/>
                      <w:szCs w:val="16"/>
                    </w:rPr>
                  </w:pPr>
                  <w:r w:rsidRPr="005A7254">
                    <w:rPr>
                      <w:color w:val="000000"/>
                      <w:sz w:val="16"/>
                      <w:szCs w:val="16"/>
                    </w:rPr>
                    <w:t>€ 7.737.608</w:t>
                  </w:r>
                </w:p>
                <w:p w:rsidRPr="0003296C" w:rsidR="00E615B6" w:rsidP="00463830" w14:paraId="615A7B1D" w14:textId="77777777">
                  <w:pPr>
                    <w:rPr>
                      <w:rFonts w:eastAsia="Times New Roman"/>
                      <w:sz w:val="16"/>
                      <w:szCs w:val="16"/>
                    </w:rPr>
                  </w:pPr>
                </w:p>
              </w:tc>
              <w:tc>
                <w:tcPr>
                  <w:tcW w:w="2132" w:type="dxa"/>
                  <w:shd w:val="clear" w:color="auto" w:fill="auto"/>
                </w:tcPr>
                <w:p w:rsidRPr="00A510EB" w:rsidR="00E615B6" w:rsidP="00463830" w14:paraId="6731F0A8" w14:textId="77777777">
                  <w:pPr>
                    <w:rPr>
                      <w:color w:val="000000"/>
                      <w:sz w:val="16"/>
                      <w:szCs w:val="16"/>
                      <w:lang w:val="nl-NL"/>
                    </w:rPr>
                  </w:pPr>
                  <w:r w:rsidRPr="00A510EB">
                    <w:rPr>
                      <w:color w:val="000000"/>
                      <w:sz w:val="16"/>
                      <w:szCs w:val="16"/>
                      <w:lang w:val="nl-NL"/>
                    </w:rPr>
                    <w:t>Fietsverbinding, fietsonderdoorgang, inclusief verbindingen HOV halte</w:t>
                  </w:r>
                </w:p>
                <w:p w:rsidRPr="00A332E2" w:rsidR="00E615B6" w:rsidP="00463830" w14:paraId="01EA572B" w14:textId="77777777">
                  <w:pPr>
                    <w:rPr>
                      <w:rFonts w:eastAsia="Times New Roman"/>
                      <w:sz w:val="16"/>
                      <w:szCs w:val="16"/>
                      <w:lang w:val="nl-NL"/>
                    </w:rPr>
                  </w:pPr>
                </w:p>
              </w:tc>
            </w:tr>
            <w:tr w:rsidTr="00463830" w14:paraId="2C338DD0" w14:textId="77777777">
              <w:tblPrEx>
                <w:tblW w:w="8732" w:type="dxa"/>
                <w:tblLayout w:type="fixed"/>
                <w:tblLook w:val="04A0"/>
              </w:tblPrEx>
              <w:trPr>
                <w:trHeight w:val="19"/>
              </w:trPr>
              <w:tc>
                <w:tcPr>
                  <w:tcW w:w="1340" w:type="dxa"/>
                  <w:shd w:val="clear" w:color="auto" w:fill="auto"/>
                  <w:hideMark/>
                </w:tcPr>
                <w:p w:rsidRPr="00483F3D" w:rsidR="00E615B6" w:rsidP="00463830" w14:paraId="35298BD8" w14:textId="77777777">
                  <w:pPr>
                    <w:rPr>
                      <w:rFonts w:eastAsia="Times New Roman" w:cs="Calibri"/>
                      <w:b w:val="0"/>
                      <w:bCs w:val="0"/>
                      <w:sz w:val="16"/>
                      <w:szCs w:val="16"/>
                    </w:rPr>
                  </w:pPr>
                  <w:r w:rsidRPr="00483F3D">
                    <w:rPr>
                      <w:rFonts w:eastAsia="Times New Roman"/>
                      <w:b w:val="0"/>
                      <w:bCs w:val="0"/>
                      <w:sz w:val="16"/>
                      <w:szCs w:val="16"/>
                    </w:rPr>
                    <w:t>Krimpenerwaard</w:t>
                  </w:r>
                </w:p>
              </w:tc>
              <w:tc>
                <w:tcPr>
                  <w:tcW w:w="1628" w:type="dxa"/>
                  <w:shd w:val="clear" w:color="auto" w:fill="auto"/>
                </w:tcPr>
                <w:p w:rsidRPr="00A332E2" w:rsidR="00E615B6" w:rsidP="00463830" w14:paraId="15E6A45B" w14:textId="77777777">
                  <w:pPr>
                    <w:rPr>
                      <w:rFonts w:eastAsia="Times New Roman"/>
                      <w:sz w:val="16"/>
                      <w:szCs w:val="16"/>
                      <w:lang w:val="nl-NL"/>
                    </w:rPr>
                  </w:pPr>
                  <w:r w:rsidRPr="00A510EB">
                    <w:rPr>
                      <w:sz w:val="16"/>
                      <w:szCs w:val="16"/>
                      <w:lang w:val="nl-NL"/>
                    </w:rPr>
                    <w:t>Woningbouw Haastrecht en Stolwijk in de</w:t>
                  </w:r>
                  <w:r w:rsidRPr="00A510EB">
                    <w:rPr>
                      <w:sz w:val="16"/>
                      <w:szCs w:val="16"/>
                      <w:lang w:val="nl-NL"/>
                    </w:rPr>
                    <w:br/>
                    <w:t>Krimpenerwaard</w:t>
                  </w:r>
                </w:p>
              </w:tc>
              <w:tc>
                <w:tcPr>
                  <w:tcW w:w="1134" w:type="dxa"/>
                  <w:shd w:val="clear" w:color="auto" w:fill="auto"/>
                </w:tcPr>
                <w:p w:rsidRPr="0003296C" w:rsidR="00E615B6" w:rsidP="00463830" w14:paraId="4C3BE417" w14:textId="77777777">
                  <w:pPr>
                    <w:rPr>
                      <w:rFonts w:eastAsia="Times New Roman"/>
                      <w:sz w:val="16"/>
                      <w:szCs w:val="16"/>
                    </w:rPr>
                  </w:pPr>
                  <w:r w:rsidRPr="005A7254">
                    <w:rPr>
                      <w:color w:val="000000"/>
                      <w:sz w:val="16"/>
                      <w:szCs w:val="16"/>
                    </w:rPr>
                    <w:t>240</w:t>
                  </w:r>
                </w:p>
              </w:tc>
              <w:tc>
                <w:tcPr>
                  <w:tcW w:w="1134" w:type="dxa"/>
                  <w:shd w:val="clear" w:color="auto" w:fill="auto"/>
                </w:tcPr>
                <w:p w:rsidRPr="0003296C" w:rsidR="00E615B6" w:rsidP="00463830" w14:paraId="30AA2691" w14:textId="77777777">
                  <w:pPr>
                    <w:rPr>
                      <w:rFonts w:eastAsia="Times New Roman"/>
                      <w:sz w:val="16"/>
                      <w:szCs w:val="16"/>
                    </w:rPr>
                  </w:pPr>
                  <w:r w:rsidRPr="005A7254">
                    <w:rPr>
                      <w:color w:val="000000"/>
                      <w:sz w:val="16"/>
                      <w:szCs w:val="16"/>
                    </w:rPr>
                    <w:t>€ 2.920.435</w:t>
                  </w:r>
                </w:p>
              </w:tc>
              <w:tc>
                <w:tcPr>
                  <w:tcW w:w="1364" w:type="dxa"/>
                  <w:shd w:val="clear" w:color="auto" w:fill="auto"/>
                </w:tcPr>
                <w:p w:rsidRPr="0003296C" w:rsidR="00E615B6" w:rsidP="00463830" w14:paraId="0A9644D9" w14:textId="77777777">
                  <w:pPr>
                    <w:rPr>
                      <w:rFonts w:eastAsia="Times New Roman"/>
                      <w:sz w:val="16"/>
                      <w:szCs w:val="16"/>
                    </w:rPr>
                  </w:pPr>
                  <w:r w:rsidRPr="005A7254">
                    <w:rPr>
                      <w:color w:val="000000"/>
                      <w:sz w:val="16"/>
                      <w:szCs w:val="16"/>
                    </w:rPr>
                    <w:t>€ 1.580.445</w:t>
                  </w:r>
                </w:p>
              </w:tc>
              <w:tc>
                <w:tcPr>
                  <w:tcW w:w="2132" w:type="dxa"/>
                  <w:shd w:val="clear" w:color="auto" w:fill="auto"/>
                </w:tcPr>
                <w:p w:rsidRPr="0003296C" w:rsidR="00E615B6" w:rsidP="00463830" w14:paraId="41DBE6D7" w14:textId="77777777">
                  <w:pPr>
                    <w:rPr>
                      <w:rFonts w:eastAsia="Times New Roman"/>
                      <w:sz w:val="16"/>
                      <w:szCs w:val="16"/>
                    </w:rPr>
                  </w:pPr>
                  <w:r w:rsidRPr="005A7254">
                    <w:rPr>
                      <w:sz w:val="16"/>
                      <w:szCs w:val="16"/>
                    </w:rPr>
                    <w:t>Herinrichting ontsluitingswegen, aanleg fietsstroken.</w:t>
                  </w:r>
                </w:p>
              </w:tc>
            </w:tr>
            <w:tr w:rsidTr="00463830" w14:paraId="354F2346" w14:textId="77777777">
              <w:tblPrEx>
                <w:tblW w:w="8732" w:type="dxa"/>
                <w:tblLayout w:type="fixed"/>
                <w:tblLook w:val="04A0"/>
              </w:tblPrEx>
              <w:trPr>
                <w:trHeight w:val="19"/>
              </w:trPr>
              <w:tc>
                <w:tcPr>
                  <w:tcW w:w="1340" w:type="dxa"/>
                  <w:shd w:val="clear" w:color="auto" w:fill="auto"/>
                  <w:hideMark/>
                </w:tcPr>
                <w:p w:rsidRPr="00483F3D" w:rsidR="00E615B6" w:rsidP="00463830" w14:paraId="50D437E2" w14:textId="77777777">
                  <w:pPr>
                    <w:rPr>
                      <w:rFonts w:eastAsia="Times New Roman" w:cs="Calibri"/>
                      <w:b w:val="0"/>
                      <w:bCs w:val="0"/>
                      <w:sz w:val="16"/>
                      <w:szCs w:val="16"/>
                    </w:rPr>
                  </w:pPr>
                  <w:r w:rsidRPr="00483F3D">
                    <w:rPr>
                      <w:rFonts w:eastAsia="Times New Roman"/>
                      <w:b w:val="0"/>
                      <w:bCs w:val="0"/>
                      <w:sz w:val="16"/>
                      <w:szCs w:val="16"/>
                    </w:rPr>
                    <w:t>Lansingerland</w:t>
                  </w:r>
                </w:p>
              </w:tc>
              <w:tc>
                <w:tcPr>
                  <w:tcW w:w="1628" w:type="dxa"/>
                  <w:shd w:val="clear" w:color="auto" w:fill="auto"/>
                </w:tcPr>
                <w:p w:rsidRPr="0003296C" w:rsidR="00E615B6" w:rsidP="00463830" w14:paraId="7870B257" w14:textId="77777777">
                  <w:pPr>
                    <w:rPr>
                      <w:rFonts w:eastAsia="Times New Roman"/>
                      <w:sz w:val="16"/>
                      <w:szCs w:val="16"/>
                    </w:rPr>
                  </w:pPr>
                  <w:r w:rsidRPr="005A7254">
                    <w:rPr>
                      <w:sz w:val="16"/>
                      <w:szCs w:val="16"/>
                    </w:rPr>
                    <w:t>Woningbouw Lansingerland</w:t>
                  </w:r>
                </w:p>
              </w:tc>
              <w:tc>
                <w:tcPr>
                  <w:tcW w:w="1134" w:type="dxa"/>
                  <w:shd w:val="clear" w:color="auto" w:fill="auto"/>
                </w:tcPr>
                <w:p w:rsidRPr="0003296C" w:rsidR="00E615B6" w:rsidP="00463830" w14:paraId="16769A43" w14:textId="77777777">
                  <w:pPr>
                    <w:rPr>
                      <w:rFonts w:eastAsia="Times New Roman"/>
                      <w:sz w:val="16"/>
                      <w:szCs w:val="16"/>
                    </w:rPr>
                  </w:pPr>
                  <w:r w:rsidRPr="005A7254">
                    <w:rPr>
                      <w:color w:val="000000"/>
                      <w:sz w:val="16"/>
                      <w:szCs w:val="16"/>
                    </w:rPr>
                    <w:t>1.600</w:t>
                  </w:r>
                </w:p>
              </w:tc>
              <w:tc>
                <w:tcPr>
                  <w:tcW w:w="1134" w:type="dxa"/>
                  <w:shd w:val="clear" w:color="auto" w:fill="auto"/>
                </w:tcPr>
                <w:p w:rsidRPr="0003296C" w:rsidR="00E615B6" w:rsidP="00463830" w14:paraId="5F08AA1F" w14:textId="77777777">
                  <w:pPr>
                    <w:rPr>
                      <w:rFonts w:eastAsia="Times New Roman"/>
                      <w:sz w:val="16"/>
                      <w:szCs w:val="16"/>
                    </w:rPr>
                  </w:pPr>
                  <w:r w:rsidRPr="005A7254">
                    <w:rPr>
                      <w:color w:val="000000"/>
                      <w:sz w:val="16"/>
                      <w:szCs w:val="16"/>
                    </w:rPr>
                    <w:t>€ 14.548.424</w:t>
                  </w:r>
                </w:p>
              </w:tc>
              <w:tc>
                <w:tcPr>
                  <w:tcW w:w="1364" w:type="dxa"/>
                  <w:shd w:val="clear" w:color="auto" w:fill="auto"/>
                </w:tcPr>
                <w:p w:rsidRPr="0003296C" w:rsidR="00E615B6" w:rsidP="00463830" w14:paraId="6A73406D" w14:textId="77777777">
                  <w:pPr>
                    <w:rPr>
                      <w:rFonts w:eastAsia="Times New Roman"/>
                      <w:sz w:val="16"/>
                      <w:szCs w:val="16"/>
                    </w:rPr>
                  </w:pPr>
                  <w:r w:rsidRPr="005A7254">
                    <w:rPr>
                      <w:color w:val="000000"/>
                      <w:sz w:val="16"/>
                      <w:szCs w:val="16"/>
                    </w:rPr>
                    <w:t>€ 13.691.595</w:t>
                  </w:r>
                </w:p>
              </w:tc>
              <w:tc>
                <w:tcPr>
                  <w:tcW w:w="2132" w:type="dxa"/>
                  <w:shd w:val="clear" w:color="auto" w:fill="auto"/>
                </w:tcPr>
                <w:p w:rsidRPr="00A332E2" w:rsidR="00E615B6" w:rsidP="00463830" w14:paraId="627B7548" w14:textId="77777777">
                  <w:pPr>
                    <w:rPr>
                      <w:rFonts w:eastAsia="Times New Roman"/>
                      <w:sz w:val="16"/>
                      <w:szCs w:val="16"/>
                      <w:lang w:val="nl-NL"/>
                    </w:rPr>
                  </w:pPr>
                  <w:r w:rsidRPr="00A510EB">
                    <w:rPr>
                      <w:sz w:val="16"/>
                      <w:szCs w:val="16"/>
                      <w:lang w:val="nl-NL"/>
                    </w:rPr>
                    <w:t>Herinrichting kruising, herinrichting erf tot erftoegangsweg, aanleg fietstunnel, aanleg fietsstraat, herinrichting ontsluitingsstructuur, herinrichting erftoegangswegen</w:t>
                  </w:r>
                </w:p>
              </w:tc>
            </w:tr>
            <w:tr w:rsidTr="00463830" w14:paraId="3DF33DF7" w14:textId="77777777">
              <w:tblPrEx>
                <w:tblW w:w="8732" w:type="dxa"/>
                <w:tblLayout w:type="fixed"/>
                <w:tblLook w:val="04A0"/>
              </w:tblPrEx>
              <w:trPr>
                <w:trHeight w:val="19"/>
              </w:trPr>
              <w:tc>
                <w:tcPr>
                  <w:tcW w:w="1340" w:type="dxa"/>
                  <w:shd w:val="clear" w:color="auto" w:fill="auto"/>
                  <w:hideMark/>
                </w:tcPr>
                <w:p w:rsidRPr="00483F3D" w:rsidR="00E615B6" w:rsidP="00463830" w14:paraId="3808FF49" w14:textId="77777777">
                  <w:pPr>
                    <w:rPr>
                      <w:rFonts w:eastAsia="Times New Roman" w:cs="Calibri"/>
                      <w:b w:val="0"/>
                      <w:bCs w:val="0"/>
                      <w:sz w:val="16"/>
                      <w:szCs w:val="16"/>
                    </w:rPr>
                  </w:pPr>
                  <w:r w:rsidRPr="00483F3D">
                    <w:rPr>
                      <w:rFonts w:eastAsia="Times New Roman"/>
                      <w:b w:val="0"/>
                      <w:bCs w:val="0"/>
                      <w:sz w:val="16"/>
                      <w:szCs w:val="16"/>
                    </w:rPr>
                    <w:t>Leiden</w:t>
                  </w:r>
                </w:p>
              </w:tc>
              <w:tc>
                <w:tcPr>
                  <w:tcW w:w="1628" w:type="dxa"/>
                  <w:shd w:val="clear" w:color="auto" w:fill="auto"/>
                </w:tcPr>
                <w:p w:rsidRPr="0003296C" w:rsidR="00E615B6" w:rsidP="00463830" w14:paraId="4C36589A" w14:textId="77777777">
                  <w:pPr>
                    <w:rPr>
                      <w:rFonts w:eastAsia="Times New Roman"/>
                      <w:sz w:val="16"/>
                      <w:szCs w:val="16"/>
                    </w:rPr>
                  </w:pPr>
                  <w:r w:rsidRPr="005A7254">
                    <w:rPr>
                      <w:sz w:val="16"/>
                      <w:szCs w:val="16"/>
                    </w:rPr>
                    <w:t>Hoge Mors/Wernink</w:t>
                  </w:r>
                </w:p>
              </w:tc>
              <w:tc>
                <w:tcPr>
                  <w:tcW w:w="1134" w:type="dxa"/>
                  <w:shd w:val="clear" w:color="auto" w:fill="auto"/>
                </w:tcPr>
                <w:p w:rsidRPr="0003296C" w:rsidR="00E615B6" w:rsidP="00463830" w14:paraId="5BF1F7EA" w14:textId="77777777">
                  <w:pPr>
                    <w:rPr>
                      <w:rFonts w:eastAsia="Times New Roman"/>
                      <w:sz w:val="16"/>
                      <w:szCs w:val="16"/>
                    </w:rPr>
                  </w:pPr>
                  <w:r w:rsidRPr="005A7254">
                    <w:rPr>
                      <w:color w:val="000000"/>
                      <w:sz w:val="16"/>
                      <w:szCs w:val="16"/>
                    </w:rPr>
                    <w:t>600</w:t>
                  </w:r>
                </w:p>
              </w:tc>
              <w:tc>
                <w:tcPr>
                  <w:tcW w:w="1134" w:type="dxa"/>
                  <w:shd w:val="clear" w:color="auto" w:fill="auto"/>
                </w:tcPr>
                <w:p w:rsidRPr="0003296C" w:rsidR="00E615B6" w:rsidP="00463830" w14:paraId="6CC0C264" w14:textId="77777777">
                  <w:pPr>
                    <w:rPr>
                      <w:rFonts w:eastAsia="Times New Roman"/>
                      <w:sz w:val="16"/>
                      <w:szCs w:val="16"/>
                    </w:rPr>
                  </w:pPr>
                  <w:r w:rsidRPr="005A7254">
                    <w:rPr>
                      <w:color w:val="000000"/>
                      <w:sz w:val="16"/>
                      <w:szCs w:val="16"/>
                    </w:rPr>
                    <w:t>€ 7.081.031</w:t>
                  </w:r>
                </w:p>
              </w:tc>
              <w:tc>
                <w:tcPr>
                  <w:tcW w:w="1364" w:type="dxa"/>
                  <w:shd w:val="clear" w:color="auto" w:fill="auto"/>
                </w:tcPr>
                <w:p w:rsidRPr="0003296C" w:rsidR="00E615B6" w:rsidP="00463830" w14:paraId="39EE763B" w14:textId="77777777">
                  <w:pPr>
                    <w:rPr>
                      <w:rFonts w:eastAsia="Times New Roman"/>
                      <w:sz w:val="16"/>
                      <w:szCs w:val="16"/>
                    </w:rPr>
                  </w:pPr>
                  <w:r w:rsidRPr="005A7254">
                    <w:rPr>
                      <w:color w:val="000000"/>
                      <w:sz w:val="16"/>
                      <w:szCs w:val="16"/>
                    </w:rPr>
                    <w:t>€ 19.900.649</w:t>
                  </w:r>
                </w:p>
              </w:tc>
              <w:tc>
                <w:tcPr>
                  <w:tcW w:w="2132" w:type="dxa"/>
                  <w:shd w:val="clear" w:color="auto" w:fill="auto"/>
                </w:tcPr>
                <w:p w:rsidRPr="00A332E2" w:rsidR="00E615B6" w:rsidP="00463830" w14:paraId="0C3A91AC" w14:textId="77777777">
                  <w:pPr>
                    <w:rPr>
                      <w:rFonts w:eastAsia="Times New Roman"/>
                      <w:sz w:val="16"/>
                      <w:szCs w:val="16"/>
                      <w:lang w:val="nl-NL"/>
                    </w:rPr>
                  </w:pPr>
                  <w:r w:rsidRPr="00A510EB">
                    <w:rPr>
                      <w:sz w:val="16"/>
                      <w:szCs w:val="16"/>
                      <w:lang w:val="nl-NL"/>
                    </w:rPr>
                    <w:t>Aanleg fietspaden, herinrichting rotondes, herinrichting kruisingen</w:t>
                  </w:r>
                </w:p>
              </w:tc>
            </w:tr>
            <w:tr w:rsidTr="00463830" w14:paraId="5CB4A8FA" w14:textId="77777777">
              <w:tblPrEx>
                <w:tblW w:w="8732" w:type="dxa"/>
                <w:tblLayout w:type="fixed"/>
                <w:tblLook w:val="04A0"/>
              </w:tblPrEx>
              <w:trPr>
                <w:trHeight w:val="19"/>
              </w:trPr>
              <w:tc>
                <w:tcPr>
                  <w:tcW w:w="1340" w:type="dxa"/>
                  <w:shd w:val="clear" w:color="auto" w:fill="auto"/>
                  <w:hideMark/>
                </w:tcPr>
                <w:p w:rsidRPr="00483F3D" w:rsidR="00E615B6" w:rsidP="00463830" w14:paraId="379CF556" w14:textId="77777777">
                  <w:pPr>
                    <w:rPr>
                      <w:rFonts w:eastAsia="Times New Roman" w:cs="Calibri"/>
                      <w:b w:val="0"/>
                      <w:bCs w:val="0"/>
                      <w:sz w:val="16"/>
                      <w:szCs w:val="16"/>
                    </w:rPr>
                  </w:pPr>
                  <w:r w:rsidRPr="00483F3D">
                    <w:rPr>
                      <w:rFonts w:eastAsia="Times New Roman"/>
                      <w:b w:val="0"/>
                      <w:bCs w:val="0"/>
                      <w:sz w:val="16"/>
                      <w:szCs w:val="16"/>
                    </w:rPr>
                    <w:t>Rijswijk</w:t>
                  </w:r>
                </w:p>
              </w:tc>
              <w:tc>
                <w:tcPr>
                  <w:tcW w:w="1628" w:type="dxa"/>
                  <w:shd w:val="clear" w:color="auto" w:fill="auto"/>
                </w:tcPr>
                <w:p w:rsidRPr="0003296C" w:rsidR="00E615B6" w:rsidP="00463830" w14:paraId="1B7CBE75" w14:textId="77777777">
                  <w:pPr>
                    <w:rPr>
                      <w:rFonts w:eastAsia="Times New Roman"/>
                      <w:sz w:val="16"/>
                      <w:szCs w:val="16"/>
                    </w:rPr>
                  </w:pPr>
                  <w:r w:rsidRPr="005A7254">
                    <w:rPr>
                      <w:sz w:val="16"/>
                      <w:szCs w:val="16"/>
                    </w:rPr>
                    <w:t>Kessler Park</w:t>
                  </w:r>
                </w:p>
              </w:tc>
              <w:tc>
                <w:tcPr>
                  <w:tcW w:w="1134" w:type="dxa"/>
                  <w:shd w:val="clear" w:color="auto" w:fill="auto"/>
                </w:tcPr>
                <w:p w:rsidRPr="0003296C" w:rsidR="00E615B6" w:rsidP="00463830" w14:paraId="1BA35CA8" w14:textId="77777777">
                  <w:pPr>
                    <w:rPr>
                      <w:rFonts w:eastAsia="Times New Roman"/>
                      <w:sz w:val="16"/>
                      <w:szCs w:val="16"/>
                    </w:rPr>
                  </w:pPr>
                  <w:r w:rsidRPr="005A7254">
                    <w:rPr>
                      <w:color w:val="000000"/>
                      <w:sz w:val="16"/>
                      <w:szCs w:val="16"/>
                    </w:rPr>
                    <w:t>2.100</w:t>
                  </w:r>
                </w:p>
              </w:tc>
              <w:tc>
                <w:tcPr>
                  <w:tcW w:w="1134" w:type="dxa"/>
                  <w:shd w:val="clear" w:color="auto" w:fill="auto"/>
                </w:tcPr>
                <w:p w:rsidRPr="0003296C" w:rsidR="00E615B6" w:rsidP="00463830" w14:paraId="65265DD0" w14:textId="77777777">
                  <w:pPr>
                    <w:rPr>
                      <w:rFonts w:eastAsia="Times New Roman"/>
                      <w:sz w:val="16"/>
                      <w:szCs w:val="16"/>
                    </w:rPr>
                  </w:pPr>
                  <w:r w:rsidRPr="005A7254">
                    <w:rPr>
                      <w:color w:val="000000"/>
                      <w:sz w:val="16"/>
                      <w:szCs w:val="16"/>
                    </w:rPr>
                    <w:t>€ 4.179.000</w:t>
                  </w:r>
                </w:p>
              </w:tc>
              <w:tc>
                <w:tcPr>
                  <w:tcW w:w="1364" w:type="dxa"/>
                  <w:shd w:val="clear" w:color="auto" w:fill="auto"/>
                </w:tcPr>
                <w:p w:rsidRPr="0003296C" w:rsidR="00E615B6" w:rsidP="00463830" w14:paraId="0BE9EB07" w14:textId="77777777">
                  <w:pPr>
                    <w:rPr>
                      <w:rFonts w:eastAsia="Times New Roman"/>
                      <w:sz w:val="16"/>
                      <w:szCs w:val="16"/>
                    </w:rPr>
                  </w:pPr>
                  <w:r w:rsidRPr="005A7254">
                    <w:rPr>
                      <w:color w:val="000000"/>
                      <w:sz w:val="16"/>
                      <w:szCs w:val="16"/>
                    </w:rPr>
                    <w:t>€ 2.615.473</w:t>
                  </w:r>
                </w:p>
              </w:tc>
              <w:tc>
                <w:tcPr>
                  <w:tcW w:w="2132" w:type="dxa"/>
                  <w:shd w:val="clear" w:color="auto" w:fill="auto"/>
                </w:tcPr>
                <w:p w:rsidRPr="00A332E2" w:rsidR="00E615B6" w:rsidP="00463830" w14:paraId="27EA25B0" w14:textId="77777777">
                  <w:pPr>
                    <w:rPr>
                      <w:rFonts w:eastAsia="Times New Roman"/>
                      <w:sz w:val="16"/>
                      <w:szCs w:val="16"/>
                      <w:lang w:val="nl-NL"/>
                    </w:rPr>
                  </w:pPr>
                  <w:r w:rsidRPr="00A510EB">
                    <w:rPr>
                      <w:sz w:val="16"/>
                      <w:szCs w:val="16"/>
                      <w:lang w:val="nl-NL"/>
                    </w:rPr>
                    <w:t>Herinrichting kruising, herinrichting van meerdere ontsluitingswegen tot autoluwe wegen</w:t>
                  </w:r>
                </w:p>
              </w:tc>
            </w:tr>
            <w:tr w:rsidTr="00463830" w14:paraId="6E7D6293" w14:textId="77777777">
              <w:tblPrEx>
                <w:tblW w:w="8732" w:type="dxa"/>
                <w:tblLayout w:type="fixed"/>
                <w:tblLook w:val="04A0"/>
              </w:tblPrEx>
              <w:trPr>
                <w:trHeight w:val="19"/>
              </w:trPr>
              <w:tc>
                <w:tcPr>
                  <w:tcW w:w="1340" w:type="dxa"/>
                  <w:shd w:val="clear" w:color="auto" w:fill="auto"/>
                  <w:hideMark/>
                </w:tcPr>
                <w:p w:rsidRPr="00483F3D" w:rsidR="00E615B6" w:rsidP="00463830" w14:paraId="19C36912" w14:textId="77777777">
                  <w:pPr>
                    <w:rPr>
                      <w:rFonts w:eastAsia="Times New Roman" w:cs="Calibri"/>
                      <w:b w:val="0"/>
                      <w:bCs w:val="0"/>
                      <w:sz w:val="16"/>
                      <w:szCs w:val="16"/>
                    </w:rPr>
                  </w:pPr>
                  <w:r w:rsidRPr="00483F3D">
                    <w:rPr>
                      <w:rFonts w:eastAsia="Times New Roman"/>
                      <w:b w:val="0"/>
                      <w:bCs w:val="0"/>
                      <w:sz w:val="16"/>
                      <w:szCs w:val="16"/>
                    </w:rPr>
                    <w:t>Rijswijk</w:t>
                  </w:r>
                </w:p>
              </w:tc>
              <w:tc>
                <w:tcPr>
                  <w:tcW w:w="1628" w:type="dxa"/>
                  <w:shd w:val="clear" w:color="auto" w:fill="auto"/>
                </w:tcPr>
                <w:p w:rsidRPr="0003296C" w:rsidR="00E615B6" w:rsidP="00463830" w14:paraId="78A2A0BE" w14:textId="77777777">
                  <w:pPr>
                    <w:rPr>
                      <w:rFonts w:eastAsia="Times New Roman"/>
                      <w:sz w:val="16"/>
                      <w:szCs w:val="16"/>
                    </w:rPr>
                  </w:pPr>
                  <w:r w:rsidRPr="005A7254">
                    <w:rPr>
                      <w:sz w:val="16"/>
                      <w:szCs w:val="16"/>
                    </w:rPr>
                    <w:t>Te Werve Oost</w:t>
                  </w:r>
                </w:p>
              </w:tc>
              <w:tc>
                <w:tcPr>
                  <w:tcW w:w="1134" w:type="dxa"/>
                  <w:shd w:val="clear" w:color="auto" w:fill="auto"/>
                </w:tcPr>
                <w:p w:rsidRPr="0003296C" w:rsidR="00E615B6" w:rsidP="00463830" w14:paraId="11FD84A0" w14:textId="77777777">
                  <w:pPr>
                    <w:rPr>
                      <w:rFonts w:eastAsia="Times New Roman"/>
                      <w:sz w:val="16"/>
                      <w:szCs w:val="16"/>
                    </w:rPr>
                  </w:pPr>
                  <w:r w:rsidRPr="005A7254">
                    <w:rPr>
                      <w:color w:val="000000"/>
                      <w:sz w:val="16"/>
                      <w:szCs w:val="16"/>
                    </w:rPr>
                    <w:t>258</w:t>
                  </w:r>
                </w:p>
              </w:tc>
              <w:tc>
                <w:tcPr>
                  <w:tcW w:w="1134" w:type="dxa"/>
                  <w:shd w:val="clear" w:color="auto" w:fill="auto"/>
                </w:tcPr>
                <w:p w:rsidRPr="0003296C" w:rsidR="00E615B6" w:rsidP="00463830" w14:paraId="45D59B4F" w14:textId="77777777">
                  <w:pPr>
                    <w:rPr>
                      <w:rFonts w:eastAsia="Times New Roman"/>
                      <w:sz w:val="16"/>
                      <w:szCs w:val="16"/>
                    </w:rPr>
                  </w:pPr>
                  <w:r w:rsidRPr="005A7254">
                    <w:rPr>
                      <w:color w:val="000000"/>
                      <w:sz w:val="16"/>
                      <w:szCs w:val="16"/>
                    </w:rPr>
                    <w:t>€ 1.094.500</w:t>
                  </w:r>
                </w:p>
              </w:tc>
              <w:tc>
                <w:tcPr>
                  <w:tcW w:w="1364" w:type="dxa"/>
                  <w:shd w:val="clear" w:color="auto" w:fill="auto"/>
                </w:tcPr>
                <w:p w:rsidRPr="0003296C" w:rsidR="00E615B6" w:rsidP="00463830" w14:paraId="2EB3ED7B" w14:textId="77777777">
                  <w:pPr>
                    <w:rPr>
                      <w:rFonts w:eastAsia="Times New Roman"/>
                      <w:sz w:val="16"/>
                      <w:szCs w:val="16"/>
                    </w:rPr>
                  </w:pPr>
                  <w:r w:rsidRPr="005A7254">
                    <w:rPr>
                      <w:color w:val="000000"/>
                      <w:sz w:val="16"/>
                      <w:szCs w:val="16"/>
                    </w:rPr>
                    <w:t>€ 657.727</w:t>
                  </w:r>
                </w:p>
              </w:tc>
              <w:tc>
                <w:tcPr>
                  <w:tcW w:w="2132" w:type="dxa"/>
                  <w:shd w:val="clear" w:color="auto" w:fill="auto"/>
                </w:tcPr>
                <w:p w:rsidRPr="0003296C" w:rsidR="00E615B6" w:rsidP="00463830" w14:paraId="47AA61F9" w14:textId="77777777">
                  <w:pPr>
                    <w:rPr>
                      <w:rFonts w:eastAsia="Times New Roman"/>
                      <w:sz w:val="16"/>
                      <w:szCs w:val="16"/>
                    </w:rPr>
                  </w:pPr>
                  <w:r w:rsidRPr="005A7254">
                    <w:rPr>
                      <w:sz w:val="16"/>
                      <w:szCs w:val="16"/>
                    </w:rPr>
                    <w:t>Aanpassing ontsluitingsweg</w:t>
                  </w:r>
                </w:p>
              </w:tc>
            </w:tr>
            <w:tr w:rsidTr="00463830" w14:paraId="3EA4CF77" w14:textId="77777777">
              <w:tblPrEx>
                <w:tblW w:w="8732" w:type="dxa"/>
                <w:tblLayout w:type="fixed"/>
                <w:tblLook w:val="04A0"/>
              </w:tblPrEx>
              <w:trPr>
                <w:trHeight w:val="19"/>
              </w:trPr>
              <w:tc>
                <w:tcPr>
                  <w:tcW w:w="1340" w:type="dxa"/>
                  <w:shd w:val="clear" w:color="auto" w:fill="auto"/>
                  <w:hideMark/>
                </w:tcPr>
                <w:p w:rsidRPr="00483F3D" w:rsidR="00E615B6" w:rsidP="00463830" w14:paraId="5B3B886D" w14:textId="77777777">
                  <w:pPr>
                    <w:rPr>
                      <w:rFonts w:eastAsia="Times New Roman" w:cs="Calibri"/>
                      <w:b w:val="0"/>
                      <w:bCs w:val="0"/>
                      <w:sz w:val="16"/>
                      <w:szCs w:val="16"/>
                    </w:rPr>
                  </w:pPr>
                  <w:r w:rsidRPr="00483F3D">
                    <w:rPr>
                      <w:rFonts w:eastAsia="Times New Roman"/>
                      <w:b w:val="0"/>
                      <w:bCs w:val="0"/>
                      <w:sz w:val="16"/>
                      <w:szCs w:val="16"/>
                    </w:rPr>
                    <w:t>Rijswijk</w:t>
                  </w:r>
                </w:p>
              </w:tc>
              <w:tc>
                <w:tcPr>
                  <w:tcW w:w="1628" w:type="dxa"/>
                  <w:shd w:val="clear" w:color="auto" w:fill="auto"/>
                </w:tcPr>
                <w:p w:rsidRPr="0003296C" w:rsidR="00E615B6" w:rsidP="00463830" w14:paraId="15EDB483" w14:textId="77777777">
                  <w:pPr>
                    <w:rPr>
                      <w:rFonts w:eastAsia="Times New Roman"/>
                      <w:sz w:val="16"/>
                      <w:szCs w:val="16"/>
                    </w:rPr>
                  </w:pPr>
                  <w:r w:rsidRPr="005A7254">
                    <w:rPr>
                      <w:sz w:val="16"/>
                      <w:szCs w:val="16"/>
                    </w:rPr>
                    <w:t>Pasgeld</w:t>
                  </w:r>
                </w:p>
              </w:tc>
              <w:tc>
                <w:tcPr>
                  <w:tcW w:w="1134" w:type="dxa"/>
                  <w:shd w:val="clear" w:color="auto" w:fill="auto"/>
                </w:tcPr>
                <w:p w:rsidRPr="0003296C" w:rsidR="00E615B6" w:rsidP="00463830" w14:paraId="5B32C32E" w14:textId="77777777">
                  <w:pPr>
                    <w:rPr>
                      <w:rFonts w:eastAsia="Times New Roman"/>
                      <w:sz w:val="16"/>
                      <w:szCs w:val="16"/>
                    </w:rPr>
                  </w:pPr>
                  <w:r w:rsidRPr="005A7254">
                    <w:rPr>
                      <w:color w:val="000000"/>
                      <w:sz w:val="16"/>
                      <w:szCs w:val="16"/>
                    </w:rPr>
                    <w:t>1.105</w:t>
                  </w:r>
                </w:p>
              </w:tc>
              <w:tc>
                <w:tcPr>
                  <w:tcW w:w="1134" w:type="dxa"/>
                  <w:shd w:val="clear" w:color="auto" w:fill="auto"/>
                </w:tcPr>
                <w:p w:rsidRPr="0003296C" w:rsidR="00E615B6" w:rsidP="00463830" w14:paraId="4576A163" w14:textId="77777777">
                  <w:pPr>
                    <w:rPr>
                      <w:rFonts w:eastAsia="Times New Roman"/>
                      <w:sz w:val="16"/>
                      <w:szCs w:val="16"/>
                    </w:rPr>
                  </w:pPr>
                  <w:r w:rsidRPr="005A7254">
                    <w:rPr>
                      <w:color w:val="000000"/>
                      <w:sz w:val="16"/>
                      <w:szCs w:val="16"/>
                    </w:rPr>
                    <w:t>€ 7.696.325</w:t>
                  </w:r>
                </w:p>
              </w:tc>
              <w:tc>
                <w:tcPr>
                  <w:tcW w:w="1364" w:type="dxa"/>
                  <w:shd w:val="clear" w:color="auto" w:fill="auto"/>
                </w:tcPr>
                <w:p w:rsidRPr="0003296C" w:rsidR="00E615B6" w:rsidP="00463830" w14:paraId="731A3F75" w14:textId="77777777">
                  <w:pPr>
                    <w:rPr>
                      <w:rFonts w:eastAsia="Times New Roman"/>
                      <w:sz w:val="16"/>
                      <w:szCs w:val="16"/>
                    </w:rPr>
                  </w:pPr>
                  <w:r w:rsidRPr="005A7254">
                    <w:rPr>
                      <w:color w:val="000000"/>
                      <w:sz w:val="16"/>
                      <w:szCs w:val="16"/>
                    </w:rPr>
                    <w:t>€ 4.307.292</w:t>
                  </w:r>
                </w:p>
              </w:tc>
              <w:tc>
                <w:tcPr>
                  <w:tcW w:w="2132" w:type="dxa"/>
                  <w:shd w:val="clear" w:color="auto" w:fill="auto"/>
                </w:tcPr>
                <w:p w:rsidRPr="00A332E2" w:rsidR="00E615B6" w:rsidP="00463830" w14:paraId="51016C4E" w14:textId="77777777">
                  <w:pPr>
                    <w:rPr>
                      <w:rFonts w:eastAsia="Times New Roman"/>
                      <w:sz w:val="16"/>
                      <w:szCs w:val="16"/>
                      <w:lang w:val="nl-NL"/>
                    </w:rPr>
                  </w:pPr>
                  <w:r w:rsidRPr="00A510EB">
                    <w:rPr>
                      <w:sz w:val="16"/>
                      <w:szCs w:val="16"/>
                      <w:lang w:val="nl-NL"/>
                    </w:rPr>
                    <w:t xml:space="preserve">Aanleg fietsroutes, aanleg fiets-en voetgangersbrug, aanleg fiets- en voetgangerstunnel (spoor), herinrichting ontsluitingsweg tot erftoegangsweg, herinrichting kruising, </w:t>
                  </w:r>
                </w:p>
              </w:tc>
            </w:tr>
            <w:tr w:rsidTr="00463830" w14:paraId="7DB4148F" w14:textId="77777777">
              <w:tblPrEx>
                <w:tblW w:w="8732" w:type="dxa"/>
                <w:tblLayout w:type="fixed"/>
                <w:tblLook w:val="04A0"/>
              </w:tblPrEx>
              <w:trPr>
                <w:trHeight w:val="19"/>
              </w:trPr>
              <w:tc>
                <w:tcPr>
                  <w:tcW w:w="1340" w:type="dxa"/>
                  <w:shd w:val="clear" w:color="auto" w:fill="auto"/>
                  <w:hideMark/>
                </w:tcPr>
                <w:p w:rsidRPr="00483F3D" w:rsidR="00E615B6" w:rsidP="00463830" w14:paraId="53B7EDFB" w14:textId="77777777">
                  <w:pPr>
                    <w:rPr>
                      <w:rFonts w:eastAsia="Times New Roman" w:cs="Calibri"/>
                      <w:b w:val="0"/>
                      <w:bCs w:val="0"/>
                      <w:sz w:val="16"/>
                      <w:szCs w:val="16"/>
                    </w:rPr>
                  </w:pPr>
                  <w:r w:rsidRPr="00483F3D">
                    <w:rPr>
                      <w:rFonts w:eastAsia="Times New Roman"/>
                      <w:b w:val="0"/>
                      <w:bCs w:val="0"/>
                      <w:sz w:val="16"/>
                      <w:szCs w:val="16"/>
                    </w:rPr>
                    <w:t>Rotterdam</w:t>
                  </w:r>
                </w:p>
              </w:tc>
              <w:tc>
                <w:tcPr>
                  <w:tcW w:w="1628" w:type="dxa"/>
                  <w:shd w:val="clear" w:color="auto" w:fill="auto"/>
                </w:tcPr>
                <w:p w:rsidRPr="0003296C" w:rsidR="00E615B6" w:rsidP="00463830" w14:paraId="5231A9A6" w14:textId="77777777">
                  <w:pPr>
                    <w:rPr>
                      <w:rFonts w:eastAsia="Times New Roman"/>
                      <w:sz w:val="16"/>
                      <w:szCs w:val="16"/>
                    </w:rPr>
                  </w:pPr>
                  <w:r w:rsidRPr="005A7254">
                    <w:rPr>
                      <w:sz w:val="16"/>
                      <w:szCs w:val="16"/>
                    </w:rPr>
                    <w:t>Zuidelijke ontsluiting</w:t>
                  </w:r>
                  <w:r w:rsidRPr="005A7254">
                    <w:rPr>
                      <w:sz w:val="16"/>
                      <w:szCs w:val="16"/>
                    </w:rPr>
                    <w:br/>
                    <w:t>Wielewaal - Korperweg</w:t>
                  </w:r>
                </w:p>
              </w:tc>
              <w:tc>
                <w:tcPr>
                  <w:tcW w:w="1134" w:type="dxa"/>
                  <w:shd w:val="clear" w:color="auto" w:fill="auto"/>
                </w:tcPr>
                <w:p w:rsidRPr="0003296C" w:rsidR="00E615B6" w:rsidP="00463830" w14:paraId="56461B9F" w14:textId="77777777">
                  <w:pPr>
                    <w:rPr>
                      <w:rFonts w:eastAsia="Times New Roman"/>
                      <w:sz w:val="16"/>
                      <w:szCs w:val="16"/>
                    </w:rPr>
                  </w:pPr>
                  <w:r w:rsidRPr="005A7254">
                    <w:rPr>
                      <w:color w:val="000000"/>
                      <w:sz w:val="16"/>
                      <w:szCs w:val="16"/>
                    </w:rPr>
                    <w:t>675</w:t>
                  </w:r>
                </w:p>
              </w:tc>
              <w:tc>
                <w:tcPr>
                  <w:tcW w:w="1134" w:type="dxa"/>
                  <w:shd w:val="clear" w:color="auto" w:fill="auto"/>
                </w:tcPr>
                <w:p w:rsidRPr="0003296C" w:rsidR="00E615B6" w:rsidP="00463830" w14:paraId="5A9E8631" w14:textId="77777777">
                  <w:pPr>
                    <w:rPr>
                      <w:rFonts w:eastAsia="Times New Roman"/>
                      <w:sz w:val="16"/>
                      <w:szCs w:val="16"/>
                    </w:rPr>
                  </w:pPr>
                  <w:r w:rsidRPr="005A7254">
                    <w:rPr>
                      <w:color w:val="000000"/>
                      <w:sz w:val="16"/>
                      <w:szCs w:val="16"/>
                    </w:rPr>
                    <w:t>€ 508.067</w:t>
                  </w:r>
                </w:p>
              </w:tc>
              <w:tc>
                <w:tcPr>
                  <w:tcW w:w="1364" w:type="dxa"/>
                  <w:shd w:val="clear" w:color="auto" w:fill="auto"/>
                </w:tcPr>
                <w:p w:rsidRPr="0003296C" w:rsidR="00E615B6" w:rsidP="00463830" w14:paraId="0E8EE111" w14:textId="77777777">
                  <w:pPr>
                    <w:rPr>
                      <w:rFonts w:eastAsia="Times New Roman"/>
                      <w:sz w:val="16"/>
                      <w:szCs w:val="16"/>
                    </w:rPr>
                  </w:pPr>
                  <w:r w:rsidRPr="005A7254">
                    <w:rPr>
                      <w:color w:val="000000"/>
                      <w:sz w:val="16"/>
                      <w:szCs w:val="16"/>
                    </w:rPr>
                    <w:t>€ 510.620</w:t>
                  </w:r>
                </w:p>
              </w:tc>
              <w:tc>
                <w:tcPr>
                  <w:tcW w:w="2132" w:type="dxa"/>
                  <w:shd w:val="clear" w:color="auto" w:fill="auto"/>
                </w:tcPr>
                <w:p w:rsidRPr="0003296C" w:rsidR="00E615B6" w:rsidP="00463830" w14:paraId="1A5D05CC" w14:textId="77777777">
                  <w:pPr>
                    <w:rPr>
                      <w:rFonts w:eastAsia="Times New Roman"/>
                      <w:sz w:val="16"/>
                      <w:szCs w:val="16"/>
                    </w:rPr>
                  </w:pPr>
                  <w:r w:rsidRPr="005A7254">
                    <w:rPr>
                      <w:sz w:val="16"/>
                      <w:szCs w:val="16"/>
                    </w:rPr>
                    <w:t>Aanleg ontsluitingsweg</w:t>
                  </w:r>
                </w:p>
              </w:tc>
            </w:tr>
            <w:tr w:rsidTr="00463830" w14:paraId="5CD2A3C3" w14:textId="77777777">
              <w:tblPrEx>
                <w:tblW w:w="8732" w:type="dxa"/>
                <w:tblLayout w:type="fixed"/>
                <w:tblLook w:val="04A0"/>
              </w:tblPrEx>
              <w:trPr>
                <w:trHeight w:val="19"/>
              </w:trPr>
              <w:tc>
                <w:tcPr>
                  <w:tcW w:w="1340" w:type="dxa"/>
                  <w:shd w:val="clear" w:color="auto" w:fill="auto"/>
                  <w:hideMark/>
                </w:tcPr>
                <w:p w:rsidRPr="00483F3D" w:rsidR="00E615B6" w:rsidP="00463830" w14:paraId="0085ADA9" w14:textId="77777777">
                  <w:pPr>
                    <w:rPr>
                      <w:rFonts w:eastAsia="Times New Roman" w:cs="Calibri"/>
                      <w:b w:val="0"/>
                      <w:bCs w:val="0"/>
                      <w:sz w:val="16"/>
                      <w:szCs w:val="16"/>
                    </w:rPr>
                  </w:pPr>
                  <w:r w:rsidRPr="00483F3D">
                    <w:rPr>
                      <w:rFonts w:eastAsia="Times New Roman"/>
                      <w:b w:val="0"/>
                      <w:bCs w:val="0"/>
                      <w:sz w:val="16"/>
                      <w:szCs w:val="16"/>
                    </w:rPr>
                    <w:t>Terneuzen</w:t>
                  </w:r>
                </w:p>
              </w:tc>
              <w:tc>
                <w:tcPr>
                  <w:tcW w:w="1628" w:type="dxa"/>
                  <w:shd w:val="clear" w:color="auto" w:fill="auto"/>
                </w:tcPr>
                <w:p w:rsidRPr="0003296C" w:rsidR="00E615B6" w:rsidP="00463830" w14:paraId="2363DBAD" w14:textId="77777777">
                  <w:pPr>
                    <w:rPr>
                      <w:rFonts w:eastAsia="Times New Roman"/>
                      <w:sz w:val="16"/>
                      <w:szCs w:val="16"/>
                    </w:rPr>
                  </w:pPr>
                  <w:r w:rsidRPr="005A7254">
                    <w:rPr>
                      <w:sz w:val="16"/>
                      <w:szCs w:val="16"/>
                    </w:rPr>
                    <w:t>Woningbouw Terneuzen</w:t>
                  </w:r>
                </w:p>
              </w:tc>
              <w:tc>
                <w:tcPr>
                  <w:tcW w:w="1134" w:type="dxa"/>
                  <w:shd w:val="clear" w:color="auto" w:fill="auto"/>
                </w:tcPr>
                <w:p w:rsidRPr="0003296C" w:rsidR="00E615B6" w:rsidP="00463830" w14:paraId="48EF46ED" w14:textId="77777777">
                  <w:pPr>
                    <w:rPr>
                      <w:rFonts w:eastAsia="Times New Roman"/>
                      <w:sz w:val="16"/>
                      <w:szCs w:val="16"/>
                    </w:rPr>
                  </w:pPr>
                  <w:r w:rsidRPr="005A7254">
                    <w:rPr>
                      <w:color w:val="000000"/>
                      <w:sz w:val="16"/>
                      <w:szCs w:val="16"/>
                    </w:rPr>
                    <w:t>423</w:t>
                  </w:r>
                </w:p>
              </w:tc>
              <w:tc>
                <w:tcPr>
                  <w:tcW w:w="1134" w:type="dxa"/>
                  <w:shd w:val="clear" w:color="auto" w:fill="auto"/>
                </w:tcPr>
                <w:p w:rsidRPr="0003296C" w:rsidR="00E615B6" w:rsidP="00463830" w14:paraId="1E80D797" w14:textId="77777777">
                  <w:pPr>
                    <w:rPr>
                      <w:rFonts w:eastAsia="Times New Roman"/>
                      <w:sz w:val="16"/>
                      <w:szCs w:val="16"/>
                    </w:rPr>
                  </w:pPr>
                  <w:r w:rsidRPr="005A7254">
                    <w:rPr>
                      <w:color w:val="000000"/>
                      <w:sz w:val="16"/>
                      <w:szCs w:val="16"/>
                    </w:rPr>
                    <w:t>€ 6.534.683</w:t>
                  </w:r>
                </w:p>
              </w:tc>
              <w:tc>
                <w:tcPr>
                  <w:tcW w:w="1364" w:type="dxa"/>
                  <w:shd w:val="clear" w:color="auto" w:fill="auto"/>
                </w:tcPr>
                <w:p w:rsidRPr="0003296C" w:rsidR="00E615B6" w:rsidP="00463830" w14:paraId="4FDB83C9" w14:textId="77777777">
                  <w:pPr>
                    <w:rPr>
                      <w:rFonts w:eastAsia="Times New Roman"/>
                      <w:sz w:val="16"/>
                      <w:szCs w:val="16"/>
                    </w:rPr>
                  </w:pPr>
                  <w:r w:rsidRPr="005A7254">
                    <w:rPr>
                      <w:color w:val="000000"/>
                      <w:sz w:val="16"/>
                      <w:szCs w:val="16"/>
                    </w:rPr>
                    <w:t>€ 3.536.357</w:t>
                  </w:r>
                </w:p>
              </w:tc>
              <w:tc>
                <w:tcPr>
                  <w:tcW w:w="2132" w:type="dxa"/>
                  <w:shd w:val="clear" w:color="auto" w:fill="auto"/>
                </w:tcPr>
                <w:p w:rsidRPr="0003296C" w:rsidR="00E615B6" w:rsidP="00463830" w14:paraId="335B9E3F" w14:textId="77777777">
                  <w:pPr>
                    <w:rPr>
                      <w:rFonts w:eastAsia="Times New Roman"/>
                      <w:sz w:val="16"/>
                      <w:szCs w:val="16"/>
                    </w:rPr>
                  </w:pPr>
                  <w:r w:rsidRPr="005A7254">
                    <w:rPr>
                      <w:sz w:val="16"/>
                      <w:szCs w:val="16"/>
                    </w:rPr>
                    <w:t>Aanleg busstation, herinrichting busstation, aanleg fietstunnel (weg)</w:t>
                  </w:r>
                </w:p>
              </w:tc>
            </w:tr>
            <w:tr w:rsidTr="00463830" w14:paraId="692A36F7" w14:textId="77777777">
              <w:tblPrEx>
                <w:tblW w:w="8732" w:type="dxa"/>
                <w:tblLayout w:type="fixed"/>
                <w:tblLook w:val="04A0"/>
              </w:tblPrEx>
              <w:trPr>
                <w:trHeight w:val="19"/>
              </w:trPr>
              <w:tc>
                <w:tcPr>
                  <w:tcW w:w="1340" w:type="dxa"/>
                  <w:shd w:val="clear" w:color="auto" w:fill="auto"/>
                  <w:hideMark/>
                </w:tcPr>
                <w:p w:rsidRPr="00483F3D" w:rsidR="00E615B6" w:rsidP="00463830" w14:paraId="17E1579E" w14:textId="77777777">
                  <w:pPr>
                    <w:rPr>
                      <w:rFonts w:eastAsia="Times New Roman" w:cs="Calibri"/>
                      <w:b w:val="0"/>
                      <w:bCs w:val="0"/>
                      <w:sz w:val="16"/>
                      <w:szCs w:val="16"/>
                    </w:rPr>
                  </w:pPr>
                  <w:r w:rsidRPr="00483F3D">
                    <w:rPr>
                      <w:rFonts w:eastAsia="Times New Roman"/>
                      <w:b w:val="0"/>
                      <w:bCs w:val="0"/>
                      <w:sz w:val="16"/>
                      <w:szCs w:val="16"/>
                    </w:rPr>
                    <w:t>Vlaardingen</w:t>
                  </w:r>
                </w:p>
              </w:tc>
              <w:tc>
                <w:tcPr>
                  <w:tcW w:w="1628" w:type="dxa"/>
                  <w:shd w:val="clear" w:color="auto" w:fill="auto"/>
                </w:tcPr>
                <w:p w:rsidRPr="0003296C" w:rsidR="00E615B6" w:rsidP="00463830" w14:paraId="3AEB11D4" w14:textId="77777777">
                  <w:pPr>
                    <w:rPr>
                      <w:rFonts w:eastAsia="Times New Roman"/>
                      <w:sz w:val="16"/>
                      <w:szCs w:val="16"/>
                    </w:rPr>
                  </w:pPr>
                  <w:r w:rsidRPr="005A7254">
                    <w:rPr>
                      <w:sz w:val="16"/>
                      <w:szCs w:val="16"/>
                    </w:rPr>
                    <w:t>Nieuwe Binnenstad</w:t>
                  </w:r>
                  <w:r w:rsidRPr="005A7254">
                    <w:rPr>
                      <w:sz w:val="16"/>
                      <w:szCs w:val="16"/>
                    </w:rPr>
                    <w:br/>
                    <w:t>Vlaardingen</w:t>
                  </w:r>
                </w:p>
              </w:tc>
              <w:tc>
                <w:tcPr>
                  <w:tcW w:w="1134" w:type="dxa"/>
                  <w:shd w:val="clear" w:color="auto" w:fill="auto"/>
                </w:tcPr>
                <w:p w:rsidRPr="0003296C" w:rsidR="00E615B6" w:rsidP="00463830" w14:paraId="6717CC27" w14:textId="77777777">
                  <w:pPr>
                    <w:rPr>
                      <w:rFonts w:eastAsia="Times New Roman"/>
                      <w:sz w:val="16"/>
                      <w:szCs w:val="16"/>
                    </w:rPr>
                  </w:pPr>
                  <w:r w:rsidRPr="005A7254">
                    <w:rPr>
                      <w:color w:val="000000"/>
                      <w:sz w:val="16"/>
                      <w:szCs w:val="16"/>
                    </w:rPr>
                    <w:t>747</w:t>
                  </w:r>
                </w:p>
              </w:tc>
              <w:tc>
                <w:tcPr>
                  <w:tcW w:w="1134" w:type="dxa"/>
                  <w:shd w:val="clear" w:color="auto" w:fill="auto"/>
                </w:tcPr>
                <w:p w:rsidRPr="0003296C" w:rsidR="00E615B6" w:rsidP="00463830" w14:paraId="16FFE1B7" w14:textId="77777777">
                  <w:pPr>
                    <w:rPr>
                      <w:rFonts w:eastAsia="Times New Roman"/>
                      <w:sz w:val="16"/>
                      <w:szCs w:val="16"/>
                    </w:rPr>
                  </w:pPr>
                  <w:r w:rsidRPr="005A7254">
                    <w:rPr>
                      <w:color w:val="000000"/>
                      <w:sz w:val="16"/>
                      <w:szCs w:val="16"/>
                    </w:rPr>
                    <w:t>€ 8.541.054</w:t>
                  </w:r>
                </w:p>
              </w:tc>
              <w:tc>
                <w:tcPr>
                  <w:tcW w:w="1364" w:type="dxa"/>
                  <w:shd w:val="clear" w:color="auto" w:fill="auto"/>
                </w:tcPr>
                <w:p w:rsidRPr="0003296C" w:rsidR="00E615B6" w:rsidP="00463830" w14:paraId="7182F262" w14:textId="77777777">
                  <w:pPr>
                    <w:rPr>
                      <w:rFonts w:eastAsia="Times New Roman"/>
                      <w:sz w:val="16"/>
                      <w:szCs w:val="16"/>
                    </w:rPr>
                  </w:pPr>
                  <w:r w:rsidRPr="005A7254">
                    <w:rPr>
                      <w:color w:val="000000"/>
                      <w:sz w:val="16"/>
                      <w:szCs w:val="16"/>
                    </w:rPr>
                    <w:t>€ 4.622.140</w:t>
                  </w:r>
                </w:p>
              </w:tc>
              <w:tc>
                <w:tcPr>
                  <w:tcW w:w="2132" w:type="dxa"/>
                  <w:shd w:val="clear" w:color="auto" w:fill="auto"/>
                </w:tcPr>
                <w:p w:rsidRPr="00A332E2" w:rsidR="00E615B6" w:rsidP="00463830" w14:paraId="47998FB0" w14:textId="77777777">
                  <w:pPr>
                    <w:rPr>
                      <w:rFonts w:eastAsia="Times New Roman"/>
                      <w:sz w:val="16"/>
                      <w:szCs w:val="16"/>
                      <w:lang w:val="nl-NL"/>
                    </w:rPr>
                  </w:pPr>
                  <w:r w:rsidRPr="00A510EB">
                    <w:rPr>
                      <w:sz w:val="16"/>
                      <w:szCs w:val="16"/>
                      <w:lang w:val="nl-NL"/>
                    </w:rPr>
                    <w:t>Herinrichting ontsluitingswegen, herinrichting fiets- en voetgangerspaden, realisatie bushalte, aanpassing zwaarverkeerroutes</w:t>
                  </w:r>
                </w:p>
              </w:tc>
            </w:tr>
            <w:tr w:rsidTr="00463830" w14:paraId="42E1EA15" w14:textId="77777777">
              <w:tblPrEx>
                <w:tblW w:w="8732" w:type="dxa"/>
                <w:tblLayout w:type="fixed"/>
                <w:tblLook w:val="04A0"/>
              </w:tblPrEx>
              <w:trPr>
                <w:trHeight w:val="19"/>
              </w:trPr>
              <w:tc>
                <w:tcPr>
                  <w:tcW w:w="1340" w:type="dxa"/>
                  <w:shd w:val="clear" w:color="auto" w:fill="auto"/>
                  <w:hideMark/>
                </w:tcPr>
                <w:p w:rsidRPr="00483F3D" w:rsidR="00E615B6" w:rsidP="00463830" w14:paraId="138B8E61" w14:textId="77777777">
                  <w:pPr>
                    <w:rPr>
                      <w:rFonts w:eastAsia="Times New Roman" w:cs="Calibri"/>
                      <w:b w:val="0"/>
                      <w:bCs w:val="0"/>
                      <w:sz w:val="16"/>
                      <w:szCs w:val="16"/>
                    </w:rPr>
                  </w:pPr>
                  <w:r w:rsidRPr="00483F3D">
                    <w:rPr>
                      <w:rFonts w:eastAsia="Times New Roman"/>
                      <w:b w:val="0"/>
                      <w:bCs w:val="0"/>
                      <w:sz w:val="16"/>
                      <w:szCs w:val="16"/>
                    </w:rPr>
                    <w:t>Zuidplas</w:t>
                  </w:r>
                </w:p>
              </w:tc>
              <w:tc>
                <w:tcPr>
                  <w:tcW w:w="1628" w:type="dxa"/>
                  <w:shd w:val="clear" w:color="auto" w:fill="auto"/>
                </w:tcPr>
                <w:p w:rsidRPr="0003296C" w:rsidR="00E615B6" w:rsidP="00463830" w14:paraId="6BE1E13F" w14:textId="77777777">
                  <w:pPr>
                    <w:rPr>
                      <w:rFonts w:eastAsia="Times New Roman"/>
                      <w:sz w:val="16"/>
                      <w:szCs w:val="16"/>
                    </w:rPr>
                  </w:pPr>
                  <w:r w:rsidRPr="005A7254">
                    <w:rPr>
                      <w:sz w:val="16"/>
                      <w:szCs w:val="16"/>
                    </w:rPr>
                    <w:t>Gebiedsopgave Zuidplaspolder/Cortelande</w:t>
                  </w:r>
                </w:p>
              </w:tc>
              <w:tc>
                <w:tcPr>
                  <w:tcW w:w="1134" w:type="dxa"/>
                  <w:shd w:val="clear" w:color="auto" w:fill="auto"/>
                </w:tcPr>
                <w:p w:rsidRPr="0003296C" w:rsidR="00E615B6" w:rsidP="00463830" w14:paraId="538B2F10" w14:textId="77777777">
                  <w:pPr>
                    <w:rPr>
                      <w:rFonts w:eastAsia="Times New Roman"/>
                      <w:sz w:val="16"/>
                      <w:szCs w:val="16"/>
                    </w:rPr>
                  </w:pPr>
                  <w:r w:rsidRPr="005A7254">
                    <w:rPr>
                      <w:color w:val="000000"/>
                      <w:sz w:val="16"/>
                      <w:szCs w:val="16"/>
                    </w:rPr>
                    <w:t>7.645</w:t>
                  </w:r>
                </w:p>
              </w:tc>
              <w:tc>
                <w:tcPr>
                  <w:tcW w:w="1134" w:type="dxa"/>
                  <w:shd w:val="clear" w:color="auto" w:fill="auto"/>
                </w:tcPr>
                <w:p w:rsidRPr="0003296C" w:rsidR="00E615B6" w:rsidP="00463830" w14:paraId="1D995859" w14:textId="77777777">
                  <w:pPr>
                    <w:rPr>
                      <w:rFonts w:eastAsia="Times New Roman"/>
                      <w:sz w:val="16"/>
                      <w:szCs w:val="16"/>
                    </w:rPr>
                  </w:pPr>
                  <w:bookmarkStart w:name="_Hlk214278797" w:id="18"/>
                  <w:r w:rsidRPr="005A7254">
                    <w:rPr>
                      <w:color w:val="000000"/>
                      <w:sz w:val="16"/>
                      <w:szCs w:val="16"/>
                    </w:rPr>
                    <w:t>€ 131.620.881</w:t>
                  </w:r>
                  <w:bookmarkEnd w:id="18"/>
                </w:p>
              </w:tc>
              <w:tc>
                <w:tcPr>
                  <w:tcW w:w="1364" w:type="dxa"/>
                  <w:shd w:val="clear" w:color="auto" w:fill="auto"/>
                </w:tcPr>
                <w:p w:rsidRPr="0003296C" w:rsidR="00E615B6" w:rsidP="00463830" w14:paraId="1EDF1883" w14:textId="77777777">
                  <w:pPr>
                    <w:rPr>
                      <w:rFonts w:eastAsia="Times New Roman"/>
                      <w:sz w:val="16"/>
                      <w:szCs w:val="16"/>
                    </w:rPr>
                  </w:pPr>
                  <w:bookmarkStart w:name="_Hlk214286754" w:id="19"/>
                  <w:r w:rsidRPr="005A7254">
                    <w:rPr>
                      <w:color w:val="000000"/>
                      <w:sz w:val="16"/>
                      <w:szCs w:val="16"/>
                    </w:rPr>
                    <w:t>€ 71.228.926</w:t>
                  </w:r>
                  <w:bookmarkEnd w:id="19"/>
                </w:p>
              </w:tc>
              <w:tc>
                <w:tcPr>
                  <w:tcW w:w="2132" w:type="dxa"/>
                  <w:shd w:val="clear" w:color="auto" w:fill="auto"/>
                </w:tcPr>
                <w:p w:rsidRPr="00A510EB" w:rsidR="00E615B6" w:rsidP="00463830" w14:paraId="6FBC2CAF" w14:textId="77777777">
                  <w:pPr>
                    <w:rPr>
                      <w:sz w:val="16"/>
                      <w:szCs w:val="16"/>
                      <w:lang w:val="nl-NL"/>
                    </w:rPr>
                  </w:pPr>
                  <w:r w:rsidRPr="00A510EB">
                    <w:rPr>
                      <w:sz w:val="16"/>
                      <w:szCs w:val="16"/>
                      <w:lang w:val="nl-NL"/>
                    </w:rPr>
                    <w:t xml:space="preserve">Aanleg fietstunnels, aanleg fietsoversteek, aanleg fietspaden, aanpassingen rotondes, aanleg kruisingen, aanpassingen ontsluitingswegen en </w:t>
                  </w:r>
                  <w:r w:rsidRPr="00A510EB">
                    <w:rPr>
                      <w:sz w:val="16"/>
                      <w:szCs w:val="16"/>
                      <w:lang w:val="nl-NL"/>
                    </w:rPr>
                    <w:t>aansluitingen hoofdwegennet.</w:t>
                  </w:r>
                </w:p>
                <w:p w:rsidRPr="00A332E2" w:rsidR="00E615B6" w:rsidP="00463830" w14:paraId="210B2046" w14:textId="77777777">
                  <w:pPr>
                    <w:rPr>
                      <w:rFonts w:eastAsia="Times New Roman"/>
                      <w:sz w:val="16"/>
                      <w:szCs w:val="16"/>
                      <w:lang w:val="nl-NL"/>
                    </w:rPr>
                  </w:pPr>
                </w:p>
              </w:tc>
            </w:tr>
          </w:tbl>
          <w:p w:rsidR="00E615B6" w:rsidP="00463830" w14:paraId="6FDDFA7F" w14:textId="77777777">
            <w:r w:rsidRPr="002847F0">
              <w:t xml:space="preserve"> </w:t>
            </w:r>
          </w:p>
          <w:p w:rsidRPr="009A36E6" w:rsidR="00E615B6" w:rsidP="00463830" w14:paraId="31DFD64B" w14:textId="77777777">
            <w:pPr>
              <w:spacing w:line="240" w:lineRule="exact"/>
              <w:rPr>
                <w:rFonts w:eastAsia="Calibri"/>
                <w:color w:val="auto"/>
                <w:u w:val="single"/>
              </w:rPr>
            </w:pPr>
            <w:r w:rsidRPr="009A36E6">
              <w:rPr>
                <w:rFonts w:eastAsia="Calibri"/>
                <w:color w:val="auto"/>
                <w:u w:val="single"/>
              </w:rPr>
              <w:t>Zuidplas / Cortelande en Westergouwe (WoKT)</w:t>
            </w:r>
          </w:p>
          <w:p w:rsidRPr="009656A8" w:rsidR="00E615B6" w:rsidP="00463830" w14:paraId="732CD455" w14:textId="77777777">
            <w:pPr>
              <w:numPr>
                <w:ilvl w:val="0"/>
                <w:numId w:val="36"/>
              </w:numPr>
              <w:spacing w:after="160" w:line="259" w:lineRule="auto"/>
              <w:contextualSpacing/>
              <w:rPr>
                <w:rFonts w:eastAsia="Calibri" w:cs="Times New Roman"/>
              </w:rPr>
            </w:pPr>
            <w:bookmarkStart w:name="_Hlk216782753" w:id="20"/>
            <w:r w:rsidRPr="009656A8">
              <w:rPr>
                <w:rFonts w:eastAsia="Calibri" w:cs="Times New Roman"/>
              </w:rPr>
              <w:t xml:space="preserve">In de doorbraaklocatie Zuidplas/Cortelande en Westergouwe worden tot en met 2033 7.645 woningen gebouwd. </w:t>
            </w:r>
            <w:bookmarkEnd w:id="20"/>
          </w:p>
          <w:p w:rsidRPr="009656A8" w:rsidR="00E615B6" w:rsidP="00463830" w14:paraId="19DABFF6" w14:textId="77777777">
            <w:pPr>
              <w:numPr>
                <w:ilvl w:val="0"/>
                <w:numId w:val="36"/>
              </w:numPr>
              <w:spacing w:after="160" w:line="259" w:lineRule="auto"/>
              <w:contextualSpacing/>
              <w:rPr>
                <w:rFonts w:eastAsia="Calibri" w:cs="Times New Roman"/>
              </w:rPr>
            </w:pPr>
            <w:r w:rsidRPr="009656A8">
              <w:rPr>
                <w:rFonts w:eastAsia="Calibri" w:cs="Times New Roman"/>
              </w:rPr>
              <w:t xml:space="preserve">Voor de ontsluiting en bereikbaarheid van deze woningen reserveert het Rijk een bijdrage van € 131.620.881 vanuit de WoKT onder voorwaarde dat de regio € 71.228.926 bijdraagt. </w:t>
            </w:r>
          </w:p>
          <w:p w:rsidRPr="009656A8" w:rsidR="00E615B6" w:rsidP="00463830" w14:paraId="7802F63D" w14:textId="77777777">
            <w:pPr>
              <w:numPr>
                <w:ilvl w:val="0"/>
                <w:numId w:val="36"/>
              </w:numPr>
              <w:spacing w:after="160" w:line="259" w:lineRule="auto"/>
              <w:contextualSpacing/>
              <w:rPr>
                <w:rFonts w:eastAsia="Calibri" w:cs="Times New Roman"/>
              </w:rPr>
            </w:pPr>
            <w:r w:rsidRPr="009656A8">
              <w:rPr>
                <w:rFonts w:eastAsia="Calibri" w:cs="Times New Roman"/>
              </w:rPr>
              <w:t xml:space="preserve">Dhr. Kuijken heeft in opdracht van de minister van VRO met betrokken partijen onderzocht en advies uitgebracht over welke maatregelen nodig zijn voor mobiliteit en water vanuit de gebiedsopgave Zuidplaspolder. Dit om uiteindelijk meer dan 14.000 nieuwe woningen richting 2040 mogelijk te maken. De maatregelen in de WoKT sluiten aan bij het advies van dhr. Kuijken. </w:t>
            </w:r>
            <w:bookmarkStart w:name="_Hlk216781676" w:id="21"/>
            <w:bookmarkEnd w:id="21"/>
          </w:p>
          <w:p w:rsidRPr="009656A8" w:rsidR="00E615B6" w:rsidP="00463830" w14:paraId="24AD7301" w14:textId="77777777">
            <w:pPr>
              <w:numPr>
                <w:ilvl w:val="0"/>
                <w:numId w:val="36"/>
              </w:numPr>
              <w:spacing w:after="160" w:line="259" w:lineRule="auto"/>
              <w:contextualSpacing/>
              <w:rPr>
                <w:rFonts w:eastAsia="Calibri" w:cs="Times New Roman"/>
              </w:rPr>
            </w:pPr>
            <w:r w:rsidRPr="009656A8">
              <w:rPr>
                <w:rFonts w:eastAsia="Calibri" w:cs="Times New Roman"/>
              </w:rPr>
              <w:t xml:space="preserve">Aan de rijksbijdrage voor de WoKT zijn de volgende voorwaarden verbonden: </w:t>
            </w:r>
          </w:p>
          <w:p w:rsidRPr="009656A8" w:rsidR="00E615B6" w:rsidP="00463830" w14:paraId="2D21B61F" w14:textId="77777777">
            <w:pPr>
              <w:numPr>
                <w:ilvl w:val="1"/>
                <w:numId w:val="36"/>
              </w:numPr>
              <w:spacing w:after="160" w:line="259" w:lineRule="auto"/>
              <w:contextualSpacing/>
              <w:rPr>
                <w:rFonts w:eastAsia="Calibri" w:cs="Times New Roman"/>
              </w:rPr>
            </w:pPr>
            <w:r w:rsidRPr="009656A8">
              <w:rPr>
                <w:rFonts w:eastAsia="Calibri" w:cs="Times New Roman"/>
              </w:rPr>
              <w:t xml:space="preserve">Partijen (Ministerie van IenW, Ministerie van VRO, gemeente Zuidplas, provincie Zuid-Holland) leggen allereerst in een Bestuursovereenkomst (BOK) definitieve afspraken vast over de maatregelen in de WoKT: </w:t>
            </w:r>
          </w:p>
          <w:p w:rsidRPr="009656A8" w:rsidR="00E615B6" w:rsidP="00463830" w14:paraId="0154850E" w14:textId="77777777">
            <w:pPr>
              <w:numPr>
                <w:ilvl w:val="2"/>
                <w:numId w:val="36"/>
              </w:numPr>
              <w:spacing w:after="160" w:line="259" w:lineRule="auto"/>
              <w:contextualSpacing/>
              <w:rPr>
                <w:rFonts w:eastAsia="Calibri" w:cs="Times New Roman"/>
              </w:rPr>
            </w:pPr>
            <w:r w:rsidRPr="009656A8">
              <w:rPr>
                <w:rFonts w:eastAsia="Calibri" w:cs="Times New Roman"/>
              </w:rPr>
              <w:t>op de maatregelen in de WoKT zit nog een tekort van € 20 miljoen Rijk, provincie en gemeente Zuidplas spreken af dit tekort gezamenlijk te gaan financieren, waarbij het Rijk maximaal 1/3 van het tekort bijdraagt;</w:t>
            </w:r>
          </w:p>
          <w:p w:rsidRPr="009656A8" w:rsidR="00E615B6" w:rsidP="00463830" w14:paraId="228109A2" w14:textId="77777777">
            <w:pPr>
              <w:numPr>
                <w:ilvl w:val="2"/>
                <w:numId w:val="36"/>
              </w:numPr>
              <w:spacing w:after="160" w:line="259" w:lineRule="auto"/>
              <w:contextualSpacing/>
              <w:rPr>
                <w:rFonts w:eastAsia="Calibri" w:cs="Times New Roman"/>
              </w:rPr>
            </w:pPr>
            <w:r w:rsidRPr="009656A8">
              <w:rPr>
                <w:rFonts w:eastAsia="Calibri" w:cs="Times New Roman"/>
              </w:rPr>
              <w:t>de verantwoordelijke partij voor de realisatie van elke maatregel;</w:t>
            </w:r>
          </w:p>
          <w:p w:rsidRPr="009656A8" w:rsidR="00E615B6" w:rsidP="00463830" w14:paraId="4B5B5163" w14:textId="77777777">
            <w:pPr>
              <w:numPr>
                <w:ilvl w:val="2"/>
                <w:numId w:val="36"/>
              </w:numPr>
              <w:spacing w:after="160" w:line="259" w:lineRule="auto"/>
              <w:contextualSpacing/>
              <w:rPr>
                <w:rFonts w:eastAsia="Calibri" w:cs="Times New Roman"/>
              </w:rPr>
            </w:pPr>
            <w:r w:rsidRPr="009656A8">
              <w:rPr>
                <w:rFonts w:eastAsia="Calibri" w:cs="Times New Roman"/>
              </w:rPr>
              <w:t>de beschrijving van elke maatregel in termen van scope, budget, kostenverdeling, (financiële) risicoverdeling, juridisch-planologische procedures, organisatie en de planning. Daarbij wordt aangesloten op de uitgangspunten uit het geactualiseerde programmabeheersplan woningbouw en mobiliteit.</w:t>
            </w:r>
          </w:p>
          <w:p w:rsidRPr="009656A8" w:rsidR="00E615B6" w:rsidP="00463830" w14:paraId="094E1786" w14:textId="77777777">
            <w:pPr>
              <w:numPr>
                <w:ilvl w:val="1"/>
                <w:numId w:val="36"/>
              </w:numPr>
              <w:spacing w:after="160" w:line="259" w:lineRule="auto"/>
              <w:contextualSpacing/>
              <w:rPr>
                <w:rFonts w:eastAsia="Calibri" w:cs="Times New Roman"/>
              </w:rPr>
            </w:pPr>
            <w:r w:rsidRPr="009656A8">
              <w:rPr>
                <w:rFonts w:eastAsia="Calibri" w:cs="Times New Roman"/>
              </w:rPr>
              <w:t xml:space="preserve">Rijk en regio delen de urgentie om snel te handelen vanwege het grote aantal woningen (13.000 woningen in Cortelande en Westergouwe) en spreken af dat zij zich inspannen om vóór 1 februari 2026 een BOK vast te stellen. </w:t>
            </w:r>
          </w:p>
          <w:p w:rsidRPr="009656A8" w:rsidR="00E615B6" w:rsidP="00463830" w14:paraId="13E935AA" w14:textId="77777777">
            <w:pPr>
              <w:numPr>
                <w:ilvl w:val="1"/>
                <w:numId w:val="36"/>
              </w:numPr>
              <w:spacing w:after="160" w:line="259" w:lineRule="auto"/>
              <w:contextualSpacing/>
              <w:rPr>
                <w:rFonts w:eastAsia="Calibri" w:cs="Times New Roman"/>
              </w:rPr>
            </w:pPr>
            <w:r w:rsidRPr="009656A8">
              <w:rPr>
                <w:rFonts w:eastAsia="Calibri" w:cs="Times New Roman"/>
              </w:rPr>
              <w:t>Gemeente Zuidplas neemt het initiatief voor het opstellen van de BOK. Rijk en regio zijn van mening dat er op korte termijn besloten kan worden over de BOK.</w:t>
            </w:r>
          </w:p>
          <w:p w:rsidRPr="009656A8" w:rsidR="00E615B6" w:rsidP="00463830" w14:paraId="74BC8742" w14:textId="77777777">
            <w:pPr>
              <w:numPr>
                <w:ilvl w:val="1"/>
                <w:numId w:val="36"/>
              </w:numPr>
              <w:spacing w:after="160" w:line="259" w:lineRule="auto"/>
              <w:contextualSpacing/>
              <w:rPr>
                <w:rFonts w:eastAsia="Calibri" w:cs="Times New Roman"/>
              </w:rPr>
            </w:pPr>
            <w:r w:rsidRPr="009656A8">
              <w:rPr>
                <w:rFonts w:eastAsia="Calibri" w:cs="Times New Roman"/>
              </w:rPr>
              <w:t xml:space="preserve">Na vaststelling van de BOK en juridische borging daarin van de maatregelen uit de WoKT trekt IenW/RWS het beroep tegen het bestemmingsplan in. </w:t>
            </w:r>
          </w:p>
          <w:p w:rsidRPr="009656A8" w:rsidR="00E615B6" w:rsidP="00463830" w14:paraId="7F9DDA45" w14:textId="77777777">
            <w:pPr>
              <w:numPr>
                <w:ilvl w:val="0"/>
                <w:numId w:val="36"/>
              </w:numPr>
              <w:spacing w:after="160" w:line="259" w:lineRule="auto"/>
              <w:contextualSpacing/>
              <w:rPr>
                <w:rFonts w:eastAsia="Calibri" w:cs="Times New Roman"/>
              </w:rPr>
            </w:pPr>
            <w:r w:rsidRPr="009656A8">
              <w:rPr>
                <w:rFonts w:eastAsia="Calibri" w:cs="Times New Roman"/>
              </w:rPr>
              <w:t xml:space="preserve">Mocht er op 1 februari 2026 geen BOK gereed zijn dan treden Rijk en regio met elkaar in overleg. In dat geval wordt het hoogheemraadschap Schieland en Krimpenerwaard ook uitgenodigd voor dit overleg gezien hun beroep tegen het bestemmingsplan. </w:t>
            </w:r>
          </w:p>
          <w:p w:rsidRPr="009656A8" w:rsidR="00E615B6" w:rsidP="00463830" w14:paraId="65CB8D76" w14:textId="77777777">
            <w:pPr>
              <w:numPr>
                <w:ilvl w:val="0"/>
                <w:numId w:val="36"/>
              </w:numPr>
              <w:spacing w:after="160" w:line="259" w:lineRule="auto"/>
              <w:contextualSpacing/>
              <w:rPr>
                <w:rFonts w:eastAsia="Calibri" w:cs="Times New Roman"/>
              </w:rPr>
            </w:pPr>
            <w:r w:rsidRPr="009656A8">
              <w:rPr>
                <w:rFonts w:eastAsia="Calibri" w:cs="Times New Roman"/>
              </w:rPr>
              <w:t>Vanuit het gebiedsbudget draagt het Rijk € 78,6 miljoen bij voor gebiedsgerichte maatregelen waaronder voor water; dit onder voorwaarde dat de regio minimaal eenzelfde financiële bijdrage levert.</w:t>
            </w:r>
          </w:p>
          <w:p w:rsidR="00E615B6" w:rsidP="00463830" w14:paraId="4CFEE692" w14:textId="77777777">
            <w:pPr>
              <w:spacing w:after="160" w:line="276" w:lineRule="auto"/>
              <w:contextualSpacing/>
              <w:rPr>
                <w:rFonts w:eastAsia="Calibri" w:cs="Times New Roman"/>
              </w:rPr>
            </w:pPr>
          </w:p>
          <w:p w:rsidRPr="009A36E6" w:rsidR="00E615B6" w:rsidP="00463830" w14:paraId="69E04ECC" w14:textId="77777777">
            <w:pPr>
              <w:spacing w:line="240" w:lineRule="exact"/>
              <w:rPr>
                <w:rFonts w:eastAsia="Calibri"/>
                <w:color w:val="auto"/>
                <w:u w:val="single"/>
              </w:rPr>
            </w:pPr>
            <w:r w:rsidRPr="009A36E6">
              <w:rPr>
                <w:rFonts w:eastAsia="Calibri"/>
                <w:color w:val="auto"/>
                <w:u w:val="single"/>
              </w:rPr>
              <w:t>Katwijk (WoKT)</w:t>
            </w:r>
          </w:p>
          <w:p w:rsidR="00E615B6" w:rsidP="00463830" w14:paraId="5D3BC731" w14:textId="77777777">
            <w:pPr>
              <w:pStyle w:val="ListParagraph"/>
              <w:numPr>
                <w:ilvl w:val="0"/>
                <w:numId w:val="36"/>
              </w:numPr>
              <w:spacing w:line="276" w:lineRule="auto"/>
              <w:rPr>
                <w:rFonts w:eastAsia="Aptos" w:cs="Times New Roman"/>
                <w:kern w:val="2"/>
                <w14:ligatures w14:val="standardContextual"/>
              </w:rPr>
            </w:pPr>
            <w:r>
              <w:rPr>
                <w:rFonts w:eastAsia="Aptos" w:cs="Times New Roman"/>
                <w:kern w:val="2"/>
                <w14:ligatures w14:val="standardContextual"/>
              </w:rPr>
              <w:t>V</w:t>
            </w:r>
            <w:r w:rsidRPr="004B551A">
              <w:rPr>
                <w:rFonts w:eastAsia="Aptos" w:cs="Times New Roman"/>
                <w:kern w:val="2"/>
                <w14:ligatures w14:val="standardContextual"/>
              </w:rPr>
              <w:t xml:space="preserve">anwege strategische regionale en nationale (economische) belangen hebben Rijk en regio met elkaar afgesproken om voor de </w:t>
            </w:r>
            <w:r>
              <w:rPr>
                <w:rFonts w:eastAsia="Aptos" w:cs="Times New Roman"/>
                <w:kern w:val="2"/>
                <w14:ligatures w14:val="standardContextual"/>
              </w:rPr>
              <w:t xml:space="preserve">de gebiedsontwikkeling binnen de </w:t>
            </w:r>
            <w:r w:rsidRPr="004B551A">
              <w:rPr>
                <w:rFonts w:eastAsia="Aptos" w:cs="Times New Roman"/>
                <w:kern w:val="2"/>
                <w14:ligatures w14:val="standardContextual"/>
              </w:rPr>
              <w:t>gemeente Katwijk een governance structuur in te richten. Deze aanpak is gericht op de versterking van het toekomstig verdienvermogen van Nederland in en rond de gemeenten Leiden en Katwijk. Bij een gezamenlijke, integrale en gebiedsgerichte aanpak in de fysieke leefomgeving is aandacht voor woningbouw, mobiliteitsoplossingen en daarvoor noodzakelijke randvoorwaarden, zoals stikstof en netcongestie. Hierbij geldt voor de uitvoerbaarheid dat de scope van het gebied eerder is bepaald zoals eerder besproken tussen betrokken partijen.</w:t>
            </w:r>
          </w:p>
          <w:p w:rsidR="00E615B6" w:rsidP="00463830" w14:paraId="59558FE5" w14:textId="77777777">
            <w:pPr>
              <w:pStyle w:val="ListParagraph"/>
              <w:numPr>
                <w:ilvl w:val="0"/>
                <w:numId w:val="36"/>
              </w:numPr>
              <w:spacing w:line="276" w:lineRule="auto"/>
              <w:rPr>
                <w:rFonts w:eastAsia="Aptos" w:cs="Times New Roman"/>
                <w:kern w:val="2"/>
                <w14:ligatures w14:val="standardContextual"/>
              </w:rPr>
            </w:pPr>
            <w:r w:rsidRPr="004B551A">
              <w:rPr>
                <w:rFonts w:eastAsia="Aptos" w:cs="Times New Roman"/>
                <w:kern w:val="2"/>
                <w14:ligatures w14:val="standardContextual"/>
              </w:rPr>
              <w:t>Voor de in te richten governance neemt het ministerie van Economische Zaken het initiatief en stemt deze af met betrokken partijen.</w:t>
            </w:r>
          </w:p>
          <w:p w:rsidRPr="004B551A" w:rsidR="00E615B6" w:rsidP="00463830" w14:paraId="427E3003" w14:textId="77777777">
            <w:pPr>
              <w:pStyle w:val="ListParagraph"/>
              <w:numPr>
                <w:ilvl w:val="0"/>
                <w:numId w:val="36"/>
              </w:numPr>
              <w:spacing w:line="276" w:lineRule="auto"/>
              <w:rPr>
                <w:rFonts w:eastAsia="Aptos" w:cs="Times New Roman"/>
                <w:kern w:val="2"/>
                <w14:ligatures w14:val="standardContextual"/>
              </w:rPr>
            </w:pPr>
            <w:r w:rsidRPr="004B551A">
              <w:rPr>
                <w:rFonts w:eastAsia="Aptos" w:cs="Times New Roman"/>
                <w:kern w:val="2"/>
                <w14:ligatures w14:val="standardContextual"/>
              </w:rPr>
              <w:t>Het Rijk reserveert een bijdrage van € 13</w:t>
            </w:r>
            <w:r>
              <w:rPr>
                <w:rFonts w:eastAsia="Aptos" w:cs="Times New Roman"/>
                <w:kern w:val="2"/>
                <w14:ligatures w14:val="standardContextual"/>
              </w:rPr>
              <w:t>.</w:t>
            </w:r>
            <w:r w:rsidRPr="004B551A">
              <w:rPr>
                <w:rFonts w:eastAsia="Aptos" w:cs="Times New Roman"/>
                <w:kern w:val="2"/>
                <w14:ligatures w14:val="standardContextual"/>
              </w:rPr>
              <w:t>9</w:t>
            </w:r>
            <w:r>
              <w:rPr>
                <w:rFonts w:eastAsia="Aptos" w:cs="Times New Roman"/>
                <w:kern w:val="2"/>
                <w14:ligatures w14:val="standardContextual"/>
              </w:rPr>
              <w:t xml:space="preserve">00.000 </w:t>
            </w:r>
            <w:r w:rsidRPr="004B551A">
              <w:rPr>
                <w:rFonts w:eastAsia="Aptos" w:cs="Times New Roman"/>
                <w:kern w:val="2"/>
                <w14:ligatures w14:val="standardContextual"/>
              </w:rPr>
              <w:t>(gekoppeld aan 1.590 woningen) onder voorwaarde dat de regio minimaal € 7.737.608 reserveert voor</w:t>
            </w:r>
            <w:r>
              <w:rPr>
                <w:rFonts w:eastAsia="Aptos" w:cs="Times New Roman"/>
                <w:kern w:val="2"/>
                <w14:ligatures w14:val="standardContextual"/>
              </w:rPr>
              <w:t>:</w:t>
            </w:r>
          </w:p>
          <w:p w:rsidRPr="00D314CB" w:rsidR="00E615B6" w:rsidP="00463830" w14:paraId="7E04CB89" w14:textId="77777777">
            <w:pPr>
              <w:numPr>
                <w:ilvl w:val="1"/>
                <w:numId w:val="36"/>
              </w:numPr>
              <w:spacing w:line="252" w:lineRule="auto"/>
              <w:rPr>
                <w:rFonts w:eastAsia="Aptos" w:cs="Times New Roman"/>
                <w:kern w:val="2"/>
                <w14:ligatures w14:val="standardContextual"/>
              </w:rPr>
            </w:pPr>
            <w:r w:rsidRPr="00D314CB">
              <w:rPr>
                <w:rFonts w:eastAsia="Aptos" w:cs="Times New Roman"/>
                <w:kern w:val="2"/>
                <w14:ligatures w14:val="standardContextual"/>
              </w:rPr>
              <w:t xml:space="preserve">Aanleg ontbrekende fietsverbinding Valkenhorst-Leiden inclusief verbinding met HOV-halte BSP-West. </w:t>
            </w:r>
          </w:p>
          <w:p w:rsidRPr="00D314CB" w:rsidR="00E615B6" w:rsidP="00463830" w14:paraId="19014EEB" w14:textId="77777777">
            <w:pPr>
              <w:numPr>
                <w:ilvl w:val="1"/>
                <w:numId w:val="36"/>
              </w:numPr>
              <w:spacing w:line="252" w:lineRule="auto"/>
              <w:rPr>
                <w:rFonts w:eastAsia="Aptos" w:cs="Times New Roman"/>
                <w:kern w:val="2"/>
                <w14:ligatures w14:val="standardContextual"/>
              </w:rPr>
            </w:pPr>
            <w:r w:rsidRPr="00D314CB">
              <w:rPr>
                <w:rFonts w:eastAsia="Aptos" w:cs="Times New Roman"/>
                <w:kern w:val="2"/>
                <w14:ligatures w14:val="standardContextual"/>
              </w:rPr>
              <w:t>Aanleg onderdoorgang voor verbinden Zijlhoek De Woerd, Tjalmastrook en Valkenhorst, inclusief verbinding met HOV-halte Valkenburg-Oost.</w:t>
            </w:r>
          </w:p>
          <w:p w:rsidR="00E615B6" w:rsidP="00463830" w14:paraId="623D427E" w14:textId="77777777">
            <w:pPr>
              <w:spacing w:line="240" w:lineRule="exact"/>
              <w:contextualSpacing/>
              <w:rPr>
                <w:rFonts w:eastAsia="Calibri"/>
                <w:b/>
                <w:bCs/>
                <w:color w:val="auto"/>
              </w:rPr>
            </w:pPr>
          </w:p>
          <w:p w:rsidRPr="009A36E6" w:rsidR="00E615B6" w:rsidP="00463830" w14:paraId="632CD3A8" w14:textId="77777777">
            <w:pPr>
              <w:spacing w:line="240" w:lineRule="exact"/>
              <w:contextualSpacing/>
              <w:rPr>
                <w:rFonts w:eastAsia="Calibri"/>
                <w:color w:val="auto"/>
                <w:u w:val="single"/>
              </w:rPr>
            </w:pPr>
            <w:r w:rsidRPr="009A36E6">
              <w:rPr>
                <w:rFonts w:eastAsia="Calibri"/>
                <w:color w:val="auto"/>
                <w:u w:val="single"/>
              </w:rPr>
              <w:t>Stougjeswijk Oud-Beijerland (WoKT)</w:t>
            </w:r>
          </w:p>
          <w:p w:rsidRPr="00123F06" w:rsidR="00E615B6" w:rsidP="00463830" w14:paraId="49C0C5D9"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 xml:space="preserve">In Stougjeswijk Oud-Beijerland worden tot en met 2033 994 woningen gebouwd. </w:t>
            </w:r>
          </w:p>
          <w:p w:rsidRPr="00123F06" w:rsidR="00E615B6" w:rsidP="00463830" w14:paraId="0372EC4E"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Het Rijk reserveert een bijdrage van € 13.785.122 vanuit de WoKT onder voorwaarde dat de regio minimaal € 7.460.058 reserveert voor</w:t>
            </w:r>
            <w:r>
              <w:rPr>
                <w:rFonts w:eastAsia="Aptos" w:cs="Times New Roman"/>
                <w:kern w:val="2"/>
                <w14:ligatures w14:val="standardContextual"/>
              </w:rPr>
              <w:t xml:space="preserve"> </w:t>
            </w:r>
            <w:r w:rsidRPr="004F4752">
              <w:rPr>
                <w:rFonts w:eastAsia="Calibri" w:cs="Times New Roman"/>
              </w:rPr>
              <w:t>de ombouw van de Bosscherotonde en de realisatie van een OV-viaduct over de A29 onder de voorwaarde dat de regio € 7.460.058 reserveert.</w:t>
            </w:r>
          </w:p>
          <w:p w:rsidRPr="00123F06" w:rsidR="00E615B6" w:rsidP="00463830" w14:paraId="6AE010F9"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Dit vraagt capaciteit van RWS, waarvoor RWS 220 uur beschikbaar stelt. Randvoorwaarde voor toekenning is dat RWS geen verdere capaciteit zal leveren en dat de decentrale overheden zelf aanvullende expertise organiseren voor de planuitwerking en realisatie.</w:t>
            </w:r>
          </w:p>
          <w:p w:rsidR="00E615B6" w:rsidP="00463830" w14:paraId="30F819D8" w14:textId="77777777"/>
          <w:p w:rsidRPr="009A36E6" w:rsidR="00E615B6" w:rsidP="00463830" w14:paraId="390430D6" w14:textId="77777777">
            <w:pPr>
              <w:pStyle w:val="Heading3"/>
              <w:spacing w:line="276" w:lineRule="auto"/>
              <w:rPr>
                <w:rFonts w:ascii="Verdana" w:hAnsi="Verdana" w:eastAsia="Calibri"/>
                <w:color w:val="auto"/>
                <w:sz w:val="18"/>
                <w:szCs w:val="18"/>
                <w:u w:val="single"/>
              </w:rPr>
            </w:pPr>
            <w:bookmarkStart w:name="_Toc217048139" w:id="22"/>
            <w:bookmarkStart w:name="_Toc219197444" w:id="23"/>
            <w:r w:rsidRPr="009A36E6">
              <w:rPr>
                <w:rFonts w:ascii="Verdana" w:hAnsi="Verdana" w:eastAsia="Calibri"/>
                <w:color w:val="auto"/>
                <w:sz w:val="18"/>
                <w:szCs w:val="18"/>
                <w:u w:val="single"/>
              </w:rPr>
              <w:t>Leiden-Utrecht Beter Bereikbaar (WoKT)</w:t>
            </w:r>
            <w:bookmarkEnd w:id="22"/>
            <w:bookmarkEnd w:id="23"/>
          </w:p>
          <w:p w:rsidRPr="00123F06" w:rsidR="00E615B6" w:rsidP="00463830" w14:paraId="70D25283"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 xml:space="preserve">In </w:t>
            </w:r>
            <w:r>
              <w:rPr>
                <w:rFonts w:eastAsia="Aptos" w:cs="Times New Roman"/>
                <w:kern w:val="2"/>
                <w14:ligatures w14:val="standardContextual"/>
              </w:rPr>
              <w:t>de gemeente Alphen aan den Rijn</w:t>
            </w:r>
            <w:r w:rsidRPr="00123F06">
              <w:rPr>
                <w:rFonts w:eastAsia="Aptos" w:cs="Times New Roman"/>
                <w:kern w:val="2"/>
                <w14:ligatures w14:val="standardContextual"/>
              </w:rPr>
              <w:t xml:space="preserve"> worden tot en met 2033 </w:t>
            </w:r>
            <w:r>
              <w:rPr>
                <w:rFonts w:eastAsia="Aptos" w:cs="Times New Roman"/>
                <w:kern w:val="2"/>
                <w14:ligatures w14:val="standardContextual"/>
              </w:rPr>
              <w:t>9.110</w:t>
            </w:r>
            <w:r w:rsidRPr="00123F06">
              <w:rPr>
                <w:rFonts w:eastAsia="Aptos" w:cs="Times New Roman"/>
                <w:kern w:val="2"/>
                <w14:ligatures w14:val="standardContextual"/>
              </w:rPr>
              <w:t xml:space="preserve"> woningen gebouwd. </w:t>
            </w:r>
          </w:p>
          <w:p w:rsidRPr="00152F01" w:rsidR="00E615B6" w:rsidP="00463830" w14:paraId="4FB46473"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 xml:space="preserve">Het Rijk reserveert een bijdrage van € </w:t>
            </w:r>
            <w:r>
              <w:rPr>
                <w:rFonts w:eastAsia="Aptos" w:cs="Times New Roman"/>
                <w:kern w:val="2"/>
                <w14:ligatures w14:val="standardContextual"/>
              </w:rPr>
              <w:t>34.108.600</w:t>
            </w:r>
            <w:r w:rsidRPr="00123F06">
              <w:rPr>
                <w:rFonts w:eastAsia="Aptos" w:cs="Times New Roman"/>
                <w:kern w:val="2"/>
                <w14:ligatures w14:val="standardContextual"/>
              </w:rPr>
              <w:t xml:space="preserve"> vanuit de WoKT onder voorwaarde dat de regio € </w:t>
            </w:r>
            <w:r>
              <w:rPr>
                <w:rFonts w:eastAsia="Aptos" w:cs="Times New Roman"/>
                <w:kern w:val="2"/>
                <w14:ligatures w14:val="standardContextual"/>
              </w:rPr>
              <w:t>22.853.</w:t>
            </w:r>
            <w:r w:rsidRPr="00152F01">
              <w:rPr>
                <w:rFonts w:eastAsia="Aptos" w:cs="Times New Roman"/>
                <w:kern w:val="2"/>
                <w14:ligatures w14:val="standardContextual"/>
              </w:rPr>
              <w:t xml:space="preserve">118 reserveert voor de realisatie van een station, een mobiliteitshub en een ongelijkvloerse kruising met de N11 en het spoor. </w:t>
            </w:r>
          </w:p>
          <w:p w:rsidRPr="008F1F25" w:rsidR="00E615B6" w:rsidP="00463830" w14:paraId="567E692A" w14:textId="77777777">
            <w:pPr>
              <w:pStyle w:val="ListParagraph"/>
              <w:numPr>
                <w:ilvl w:val="0"/>
                <w:numId w:val="36"/>
              </w:numPr>
              <w:spacing w:line="276" w:lineRule="auto"/>
            </w:pPr>
            <w:r w:rsidRPr="008F1F25">
              <w:rPr>
                <w:rFonts w:eastAsia="Aptos" w:cs="Times New Roman"/>
                <w:kern w:val="2"/>
                <w14:ligatures w14:val="standardContextual"/>
              </w:rPr>
              <w:t xml:space="preserve">De ongelijkvloerse kruising met de N11 </w:t>
            </w:r>
            <w:r w:rsidRPr="008F1F25">
              <w:rPr>
                <w:rFonts w:eastAsia="Aptos" w:cs="Times New Roman"/>
              </w:rPr>
              <w:t xml:space="preserve">en de aanpassing van de toe- en afrit N11 bij het station vragen </w:t>
            </w:r>
            <w:r w:rsidRPr="008F1F25">
              <w:rPr>
                <w:rFonts w:eastAsia="Aptos" w:cs="Times New Roman"/>
                <w:kern w:val="2"/>
                <w14:ligatures w14:val="standardContextual"/>
              </w:rPr>
              <w:t>capaciteit van RWS, waarvoor RWS 440 uur beschikbaar stelt. Randvoorwaarde voor toekenning is dat RWS geen verdere capaciteit zal leveren en dat de decentrale overheden zelf aanvullende expertise organiseren voor de planuitwerking en realisatie.</w:t>
            </w:r>
          </w:p>
          <w:p w:rsidR="00E615B6" w:rsidP="00463830" w14:paraId="4A9564D9" w14:textId="77777777">
            <w:pPr>
              <w:spacing w:line="276" w:lineRule="auto"/>
            </w:pPr>
          </w:p>
          <w:p w:rsidRPr="009A36E6" w:rsidR="00E615B6" w:rsidP="00463830" w14:paraId="604AA495" w14:textId="77777777">
            <w:pPr>
              <w:spacing w:line="276" w:lineRule="auto"/>
              <w:rPr>
                <w:b/>
                <w:bCs/>
                <w:i/>
                <w:iCs/>
              </w:rPr>
            </w:pPr>
            <w:r w:rsidRPr="009A36E6">
              <w:rPr>
                <w:b/>
                <w:bCs/>
                <w:i/>
                <w:iCs/>
              </w:rPr>
              <w:t>Grootschalige woningbouw Zuidwest-Nederland</w:t>
            </w:r>
          </w:p>
          <w:p w:rsidRPr="009A36E6" w:rsidR="00E615B6" w:rsidP="00463830" w14:paraId="2A98DA79" w14:textId="77777777">
            <w:pPr>
              <w:spacing w:line="250" w:lineRule="atLeast"/>
              <w:rPr>
                <w:rFonts w:eastAsia="Calibri"/>
                <w:color w:val="auto"/>
                <w:u w:val="single"/>
              </w:rPr>
            </w:pPr>
            <w:r>
              <w:rPr>
                <w:rFonts w:eastAsia="Calibri"/>
                <w:color w:val="auto"/>
                <w:u w:val="single"/>
              </w:rPr>
              <w:t xml:space="preserve">2. </w:t>
            </w:r>
            <w:r w:rsidRPr="009A36E6">
              <w:rPr>
                <w:rFonts w:eastAsia="Calibri"/>
                <w:color w:val="auto"/>
                <w:u w:val="single"/>
              </w:rPr>
              <w:t>Oude Lijn</w:t>
            </w:r>
          </w:p>
          <w:p w:rsidRPr="000656D6" w:rsidR="00E615B6" w:rsidP="00463830" w14:paraId="45020E7A" w14:textId="77777777">
            <w:pPr>
              <w:rPr>
                <w:i/>
                <w:iCs/>
              </w:rPr>
            </w:pPr>
            <w:r w:rsidRPr="000656D6">
              <w:rPr>
                <w:i/>
                <w:iCs/>
              </w:rPr>
              <w:t>Inframiddelen</w:t>
            </w:r>
          </w:p>
          <w:p w:rsidRPr="00123F06" w:rsidR="00E615B6" w:rsidP="00463830" w14:paraId="7AF232D6"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In het nationaal grootschalige woningbouwgebied Oude Lijn worden tot en met 2030 ca 54.000 woningen gebouwd, zoals afgesproken in het BO MIRT 2022. Op een aantal deellocaties worden nu aanvullende afspraken gemaakt.</w:t>
            </w:r>
          </w:p>
          <w:p w:rsidRPr="00123F06" w:rsidR="00E615B6" w:rsidP="00463830" w14:paraId="389537C0"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In deelgebied Leiden wordt er tot en met 2034 gestart met de bouw van ca 2.200 extra nieuwe woningen. Voor de ontsluiting en bereikbaarheid van deze woningen reserveert het Rijk een bijdrage van ca € 105 miljoen voor een fietsenstalling en nieuw busstation bij Leiden Centraal onder voorwaarde dat de regio minimaal eenzelfde bijdrage reserveert. Van deze maatregelen profiteren ca 8.300 nieuwe woningen mee.</w:t>
            </w:r>
          </w:p>
          <w:p w:rsidRPr="00123F06" w:rsidR="00E615B6" w:rsidP="00463830" w14:paraId="4F888BE7"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In deelgebied Schiedam wordt er tot en met 2034 gestart met de bouw van ca 450 extra nieuwe woningen. Voor de ontsluiting en bereikbaarheid van deze woningen reserveert het Rijk een bijdrage van ca € 37,9 miljoen voor aanpassingen aan het station Schiedam Centrum en Rijksdeel metro, onder de voorwaarde dat gemeente Schiedam minimaal € 26,9 miljoen reserveert voor de openbare ruimte stationspleinen en de herinrichting Horvathweg. Van deze maatregelen profiteren ca 7.000 nieuwe woningen mee.</w:t>
            </w:r>
          </w:p>
          <w:p w:rsidR="00E615B6" w:rsidP="00463830" w14:paraId="446BFDE0"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De voorwaarden verbonden aan deze middelen en nadere bestuurlijke afspraken zijn te vinden onder agendapunt MIRT-verkenning Oude Lijn.</w:t>
            </w:r>
          </w:p>
          <w:p w:rsidRPr="00123F06" w:rsidR="00E615B6" w:rsidP="00463830" w14:paraId="7DF755DC" w14:textId="77777777">
            <w:pPr>
              <w:spacing w:line="276" w:lineRule="auto"/>
              <w:rPr>
                <w:rFonts w:eastAsia="Aptos" w:cs="Times New Roman"/>
                <w:kern w:val="2"/>
                <w14:ligatures w14:val="standardContextual"/>
              </w:rPr>
            </w:pPr>
          </w:p>
          <w:p w:rsidRPr="0045117C" w:rsidR="00E615B6" w:rsidP="00463830" w14:paraId="14A5D0CF" w14:textId="77777777">
            <w:pPr>
              <w:rPr>
                <w:i/>
                <w:iCs/>
              </w:rPr>
            </w:pPr>
            <w:r w:rsidRPr="0045117C">
              <w:rPr>
                <w:i/>
                <w:iCs/>
              </w:rPr>
              <w:t>Gebiedsbudget</w:t>
            </w:r>
          </w:p>
          <w:p w:rsidRPr="00123F06" w:rsidR="00E615B6" w:rsidP="00463830" w14:paraId="384860A7"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Het Rijk reserveert voor Delft een bijdrage van ca € 12,4 miljoen vanuit het gebiedsbudget voor maatregelen ten behoeve van maatregelen ten behoeve van toekomstbestendigheid, (her)inrichting openbare ruimte en verwervingen/(bedrijfs)verplaatsingen onder voorwaarde dat de regio minimaal eenzelfde bijdrage reserveert.</w:t>
            </w:r>
          </w:p>
          <w:p w:rsidRPr="00123F06" w:rsidR="00E615B6" w:rsidP="00463830" w14:paraId="4BB0BD23"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Het Rijk reserveert voor Rotterdam M4H een bijdrage van ca € 6,9 miljoen vanuit het gebiedsbudget voor maatregelen ten behoeve van toekomstbestendigheid onder voorwaarde dat de regio minimaal eenzelfde bijdrage reserveert.</w:t>
            </w:r>
          </w:p>
          <w:p w:rsidRPr="00123F06" w:rsidR="00E615B6" w:rsidP="00463830" w14:paraId="5654B2B8"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 xml:space="preserve">Het Rijk reserveert voor Schiedam Schieveste – Nieuw Mathenesse een bijdrage van ca € 6 miljoen vanuit het gebiedsbudget voor maatregelen ten behoeve van </w:t>
            </w:r>
            <w:r w:rsidRPr="00123F06">
              <w:rPr>
                <w:rFonts w:eastAsia="Aptos" w:cs="Times New Roman"/>
                <w:kern w:val="2"/>
                <w14:ligatures w14:val="standardContextual"/>
              </w:rPr>
              <w:t>toekomstbestendigheid en (her)inrichting openbare ruimte onder voorwaarde dat de regio minimaal eenzelfde bijdrage reserveert.</w:t>
            </w:r>
          </w:p>
          <w:p w:rsidRPr="00123F06" w:rsidR="00E615B6" w:rsidP="00463830" w14:paraId="0A590FDE"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 xml:space="preserve">Het Rijk reserveert voor Zoetermeer een bijdrage van ca € 22,8 miljoen vanuit het gebiedsbudget voor maatregelen ten behoeve van (her)inrichting openbare ruimte en verwervingen/(bedrijfs)verplaatsingen onder voorwaarde dat de regio minimaal eenzelfde bijdrage reserveert. </w:t>
            </w:r>
          </w:p>
          <w:p w:rsidR="00E615B6" w:rsidP="00463830" w14:paraId="15C27505" w14:textId="77777777">
            <w:pPr>
              <w:spacing w:line="276" w:lineRule="auto"/>
            </w:pPr>
          </w:p>
          <w:p w:rsidRPr="009A36E6" w:rsidR="00E615B6" w:rsidP="00463830" w14:paraId="600FEB39" w14:textId="77777777">
            <w:pPr>
              <w:spacing w:line="240" w:lineRule="exact"/>
              <w:contextualSpacing/>
              <w:rPr>
                <w:rFonts w:eastAsia="Calibri"/>
                <w:color w:val="auto"/>
                <w:u w:val="single"/>
              </w:rPr>
            </w:pPr>
            <w:r>
              <w:rPr>
                <w:rFonts w:eastAsia="Calibri"/>
                <w:color w:val="auto"/>
                <w:u w:val="single"/>
              </w:rPr>
              <w:t xml:space="preserve">3. </w:t>
            </w:r>
            <w:r w:rsidRPr="009A36E6">
              <w:rPr>
                <w:rFonts w:eastAsia="Calibri"/>
                <w:color w:val="auto"/>
                <w:u w:val="single"/>
              </w:rPr>
              <w:t>Rotterdam Oostflank</w:t>
            </w:r>
          </w:p>
          <w:p w:rsidRPr="00123F06" w:rsidR="00E615B6" w:rsidP="00463830" w14:paraId="5DBFE291"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In het nationaal grootschalige woningbouwgebied Rotterdam Oostflank worden tot en met 2030 19.000 woningen gebouwd, zoals afgesproken in het BO MIRT 2022.</w:t>
            </w:r>
          </w:p>
          <w:p w:rsidRPr="00123F06" w:rsidR="00E615B6" w:rsidP="00463830" w14:paraId="2563ADFE"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Aanvullend wordt er in Rotterdam Oostflank tot en met 2034 gestart met de bouw van ca 8.000 extra nieuwe woningen.</w:t>
            </w:r>
          </w:p>
          <w:p w:rsidR="00E615B6" w:rsidP="00463830" w14:paraId="7C16B087"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 xml:space="preserve">In deelgebied Stadionpark kan tussen 2030-2034 gestart worden met de bouw van 4.500 tot 5.300 nieuwe woningen. </w:t>
            </w:r>
            <w:r>
              <w:rPr>
                <w:rFonts w:eastAsia="Aptos" w:cs="Times New Roman"/>
                <w:kern w:val="2"/>
                <w14:ligatures w14:val="standardContextual"/>
              </w:rPr>
              <w:t>De uitplaatsing van het huidige spoorgoederenemplacement IJsselmonde biedt direct ruimte voor de bouw 2.000 woningen.</w:t>
            </w:r>
          </w:p>
          <w:p w:rsidRPr="00123F06" w:rsidR="00E615B6" w:rsidP="00463830" w14:paraId="0D7F2149"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 xml:space="preserve">Voor de ontwikkeling van Stadionpark en (indirect) voor de verdere ontwikkeling van Rotterdam Oostflank na 2030, is uitplaatsing van emplacement IJsselmonde naar een nieuwe locatie op de Maasvlakte randvoorwaardelijk. </w:t>
            </w:r>
          </w:p>
          <w:p w:rsidRPr="00123F06" w:rsidR="00E615B6" w:rsidP="00463830" w14:paraId="612C92E8"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 xml:space="preserve">De totale kosten voor de uitplaatsing bedragen € 326,4 miljoen. Gemeente Rotterdam en Havenbedrijf Rotterdam reserveren hiervoor gezamenlijk een bedrag van € 169,3 miljoen. De gereserveerde Rijksbijdrage voor de uitplaatsing bedraagt ca € 157,1 miljoen: ca € 88,8 miljoen vanuit de inframiddelen en ca € 68,3 miljoen vanuit het gebiedsbudget. </w:t>
            </w:r>
          </w:p>
          <w:p w:rsidRPr="00123F06" w:rsidR="00E615B6" w:rsidP="00463830" w14:paraId="060CC0A0"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Aan de rijksbijdrage zijn de volgende voorwaarden verbonden:</w:t>
            </w:r>
          </w:p>
          <w:p w:rsidRPr="00D72E05" w:rsidR="00E615B6" w:rsidP="00463830" w14:paraId="324674A5" w14:textId="77777777">
            <w:pPr>
              <w:numPr>
                <w:ilvl w:val="1"/>
                <w:numId w:val="36"/>
              </w:numPr>
              <w:spacing w:line="276" w:lineRule="auto"/>
              <w:contextualSpacing/>
              <w:rPr>
                <w:rFonts w:eastAsia="Calibri" w:cs="Times New Roman"/>
              </w:rPr>
            </w:pPr>
            <w:r w:rsidRPr="00D72E05">
              <w:rPr>
                <w:rFonts w:eastAsia="Calibri" w:cs="Times New Roman"/>
              </w:rPr>
              <w:t>Partijen (Ministerie van IenW, Ministerie van VRO, gemeente Rotterdam, Havenbedrijf Rotterdam) leggen in een Bestuursovereenkomst (BOK) op basis van de vastgestelde verkenning naar de uitplaatsing van emplacement IJsselmonde definitieve afspraken vast over o.a. de scope, budget, verdeling van kosten en (financiële) risico’s, juridisch-planologische procedures, organisatie en de planning. Daarbij wordt aangesloten op de uitgangspunten uit het geactualiseerde programmabeheersplan woningbouw en mobiliteit.</w:t>
            </w:r>
          </w:p>
          <w:p w:rsidRPr="00D72E05" w:rsidR="00E615B6" w:rsidP="00463830" w14:paraId="53F5B276" w14:textId="77777777">
            <w:pPr>
              <w:numPr>
                <w:ilvl w:val="1"/>
                <w:numId w:val="36"/>
              </w:numPr>
              <w:spacing w:line="276" w:lineRule="auto"/>
              <w:contextualSpacing/>
              <w:rPr>
                <w:rFonts w:eastAsia="Calibri" w:cs="Times New Roman"/>
              </w:rPr>
            </w:pPr>
            <w:r w:rsidRPr="00D72E05">
              <w:rPr>
                <w:rFonts w:eastAsia="Calibri" w:cs="Times New Roman"/>
              </w:rPr>
              <w:t>Gemeente Rotterdam neemt het initiatief voor het opstellen van de BOK, die in een nader te plannen BO IJsselmonde in Q1 2026 wordt vastgesteld door de betrokken partijen.</w:t>
            </w:r>
          </w:p>
          <w:p w:rsidRPr="00123F06" w:rsidR="00E615B6" w:rsidP="00463830" w14:paraId="13CC2E83"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Naast deze middelen, reserveert het Rijk een bijdrage van ca € 8 miljoen vanuit het gebiedsbudget voor maatregelen ten behoeve van (her)inrichting openbare ruimte van deelgebieden Brainpark I en Excelsior onder voorwaarde dat de regio minimaal eenzelfde bijdrage reserveert.</w:t>
            </w:r>
          </w:p>
          <w:p w:rsidR="00E615B6" w:rsidP="00463830" w14:paraId="1B2122AC" w14:textId="77777777">
            <w:pPr>
              <w:spacing w:line="276" w:lineRule="auto"/>
            </w:pPr>
          </w:p>
          <w:p w:rsidRPr="009A36E6" w:rsidR="00E615B6" w:rsidP="00463830" w14:paraId="613BD41C" w14:textId="77777777">
            <w:pPr>
              <w:rPr>
                <w:rFonts w:eastAsia="Calibri"/>
                <w:color w:val="auto"/>
                <w:u w:val="single"/>
              </w:rPr>
            </w:pPr>
            <w:r>
              <w:rPr>
                <w:rFonts w:eastAsia="Calibri"/>
                <w:color w:val="auto"/>
                <w:u w:val="single"/>
              </w:rPr>
              <w:t xml:space="preserve">4. </w:t>
            </w:r>
            <w:r w:rsidRPr="009A36E6">
              <w:rPr>
                <w:rFonts w:eastAsia="Calibri"/>
                <w:color w:val="auto"/>
                <w:u w:val="single"/>
              </w:rPr>
              <w:t>Den Haag CID Binckhorst</w:t>
            </w:r>
          </w:p>
          <w:p w:rsidRPr="00123F06" w:rsidR="00E615B6" w:rsidP="00463830" w14:paraId="4F4515C8"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 xml:space="preserve">In het nationaal grootschalige woningbouwgebied CID Binckhorst in Den Haag worden tot en met 2030 20.000 woningen gebouwd, zoals afgesproken in het BO MIRT 2022. </w:t>
            </w:r>
          </w:p>
          <w:p w:rsidRPr="00123F06" w:rsidR="00E615B6" w:rsidP="00463830" w14:paraId="28616ACE"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 xml:space="preserve">Aanvullend wordt er in de CID Binckhorst tot en met 2034 gestart met de bouw van ca 3.000 extra nieuwe woningen. Voor de ontsluiting en bereikbaarheid van deze woningen reserveert het Rijk een bijdrage van ca € 44,7 miljoen uit de inframiddelen voor de aanleg van een tunnel onder de Sporendriehoek </w:t>
            </w:r>
            <w:r>
              <w:rPr>
                <w:rFonts w:eastAsia="Aptos" w:cs="Times New Roman"/>
                <w:kern w:val="2"/>
                <w14:ligatures w14:val="standardContextual"/>
              </w:rPr>
              <w:t>voor</w:t>
            </w:r>
            <w:r w:rsidRPr="00123F06">
              <w:rPr>
                <w:rFonts w:eastAsia="Aptos" w:cs="Times New Roman"/>
                <w:kern w:val="2"/>
                <w14:ligatures w14:val="standardContextual"/>
              </w:rPr>
              <w:t xml:space="preserve"> de Vlietlijn onder voorwaarde dat de regio minimaal eenzelfde bijdrage reserveert.</w:t>
            </w:r>
          </w:p>
          <w:p w:rsidR="00E615B6" w:rsidP="00463830" w14:paraId="3C4B2FD0" w14:textId="77777777">
            <w:pPr>
              <w:pStyle w:val="ListParagraph"/>
              <w:numPr>
                <w:ilvl w:val="0"/>
                <w:numId w:val="36"/>
              </w:numPr>
              <w:spacing w:line="276" w:lineRule="auto"/>
              <w:rPr>
                <w:rFonts w:eastAsia="Aptos" w:cs="Times New Roman"/>
                <w:kern w:val="2"/>
                <w14:ligatures w14:val="standardContextual"/>
              </w:rPr>
            </w:pPr>
            <w:r w:rsidRPr="00123F06">
              <w:rPr>
                <w:rFonts w:eastAsia="Aptos" w:cs="Times New Roman"/>
                <w:kern w:val="2"/>
                <w14:ligatures w14:val="standardContextual"/>
              </w:rPr>
              <w:t>Het Rijk reserveert een bijdrage van ca € 32,8 miljoen vanuit het gebiedsbudget voor maatregelen ten behoeve van  maatregelen ten behoeve van toekomstbestendigheid en (her)inrichting openbare ruimte onder voorwaarde dat de regio minimaal eenzelfde bijdrage reserveert.</w:t>
            </w:r>
          </w:p>
          <w:p w:rsidR="00E615B6" w:rsidP="00463830" w14:paraId="2B760346" w14:textId="77777777">
            <w:pPr>
              <w:spacing w:line="276" w:lineRule="auto"/>
              <w:rPr>
                <w:rFonts w:eastAsia="Aptos" w:cs="Times New Roman"/>
                <w:kern w:val="2"/>
                <w14:ligatures w14:val="standardContextual"/>
              </w:rPr>
            </w:pPr>
          </w:p>
          <w:p w:rsidRPr="00A510EB" w:rsidR="00E615B6" w:rsidP="00463830" w14:paraId="69685D8F" w14:textId="77777777">
            <w:pPr>
              <w:pStyle w:val="Heading3"/>
              <w:spacing w:line="276" w:lineRule="auto"/>
              <w:rPr>
                <w:rFonts w:ascii="Verdana" w:hAnsi="Verdana" w:eastAsia="Calibri"/>
                <w:color w:val="000000" w:themeColor="text1"/>
                <w:sz w:val="18"/>
                <w:szCs w:val="18"/>
                <w:u w:val="single"/>
              </w:rPr>
            </w:pPr>
            <w:bookmarkStart w:name="_Toc217048140" w:id="24"/>
            <w:bookmarkStart w:name="_Toc219197445" w:id="25"/>
            <w:r>
              <w:rPr>
                <w:rFonts w:ascii="Verdana" w:hAnsi="Verdana" w:eastAsia="Calibri"/>
                <w:color w:val="000000" w:themeColor="text1"/>
                <w:sz w:val="18"/>
                <w:szCs w:val="18"/>
                <w:u w:val="single"/>
              </w:rPr>
              <w:t xml:space="preserve">5. </w:t>
            </w:r>
            <w:r w:rsidRPr="00A510EB">
              <w:rPr>
                <w:rFonts w:ascii="Verdana" w:hAnsi="Verdana" w:eastAsia="Calibri"/>
                <w:color w:val="000000" w:themeColor="text1"/>
                <w:sz w:val="18"/>
                <w:szCs w:val="18"/>
                <w:u w:val="single"/>
              </w:rPr>
              <w:t>Onderzoek effect van de toepassing van rendementseisen voor de WoKT-regeling</w:t>
            </w:r>
            <w:bookmarkEnd w:id="24"/>
            <w:bookmarkEnd w:id="25"/>
          </w:p>
          <w:p w:rsidRPr="00A510EB" w:rsidR="00E615B6" w:rsidP="00463830" w14:paraId="63DA1B93" w14:textId="77777777">
            <w:pPr>
              <w:pStyle w:val="ListParagraph"/>
              <w:numPr>
                <w:ilvl w:val="0"/>
                <w:numId w:val="36"/>
              </w:numPr>
              <w:spacing w:line="276" w:lineRule="auto"/>
              <w:rPr>
                <w:rFonts w:eastAsia="Aptos" w:cs="Times New Roman"/>
                <w:color w:val="000000" w:themeColor="text1"/>
                <w:kern w:val="2"/>
                <w14:ligatures w14:val="standardContextual"/>
              </w:rPr>
            </w:pPr>
            <w:r w:rsidRPr="00A510EB">
              <w:rPr>
                <w:rFonts w:eastAsia="Aptos" w:cs="Times New Roman"/>
                <w:color w:val="000000" w:themeColor="text1"/>
                <w:kern w:val="2"/>
                <w14:ligatures w14:val="standardContextual"/>
              </w:rPr>
              <w:t xml:space="preserve">Rijk en regio onderzoeken gezamenlijk wat het effect is van de toepassing van generieke rendementseisen voor de landelijke WoKT-regeling op de WoKT-voorstellen in de provincies </w:t>
            </w:r>
            <w:r w:rsidRPr="00A510EB">
              <w:rPr>
                <w:rFonts w:eastAsia="Aptos" w:cs="Times New Roman"/>
                <w:color w:val="000000" w:themeColor="text1"/>
                <w:kern w:val="2"/>
                <w14:ligatures w14:val="standardContextual"/>
              </w:rPr>
              <w:t>Groningen, Fryslân, Drenthe en Zeeland ten opzichte van de WoKT-voorstellen uit andere provincies.</w:t>
            </w:r>
          </w:p>
          <w:p w:rsidRPr="00EF0DC4" w:rsidR="00E615B6" w:rsidP="00463830" w14:paraId="4160D46F" w14:textId="77777777">
            <w:pPr>
              <w:pStyle w:val="ListParagraph"/>
              <w:numPr>
                <w:ilvl w:val="0"/>
                <w:numId w:val="36"/>
              </w:numPr>
              <w:spacing w:line="276" w:lineRule="auto"/>
              <w:rPr>
                <w:rFonts w:eastAsia="Aptos" w:cs="Times New Roman"/>
                <w:color w:val="000000" w:themeColor="text1"/>
                <w:kern w:val="2"/>
                <w14:ligatures w14:val="standardContextual"/>
              </w:rPr>
            </w:pPr>
            <w:r w:rsidRPr="00A510EB">
              <w:rPr>
                <w:rFonts w:eastAsia="Aptos" w:cs="Times New Roman"/>
                <w:color w:val="000000" w:themeColor="text1"/>
                <w:kern w:val="2"/>
                <w14:ligatures w14:val="standardContextual"/>
              </w:rPr>
              <w:t xml:space="preserve">In dit onderzoek zal gekeken worden naar de spanning op de woningmarkt, grondexploitaties, benodigde binnen- en bovenplanse infrastructuurinvesteringen, de </w:t>
            </w:r>
            <w:r w:rsidRPr="00EF0DC4">
              <w:rPr>
                <w:rFonts w:eastAsia="Aptos" w:cs="Times New Roman"/>
                <w:color w:val="000000" w:themeColor="text1"/>
                <w:kern w:val="2"/>
                <w14:ligatures w14:val="standardContextual"/>
              </w:rPr>
              <w:t xml:space="preserve">opbouw van de investeringen van de ingediende voorstellen en de publieke onrendabele top. </w:t>
            </w:r>
          </w:p>
          <w:p w:rsidRPr="00EF0DC4" w:rsidR="00E615B6" w:rsidP="00463830" w14:paraId="3AC26DBB" w14:textId="77777777">
            <w:pPr>
              <w:numPr>
                <w:ilvl w:val="0"/>
                <w:numId w:val="36"/>
              </w:numPr>
              <w:rPr>
                <w:rFonts w:eastAsia="Times New Roman"/>
              </w:rPr>
            </w:pPr>
            <w:r w:rsidRPr="00EF0DC4">
              <w:rPr>
                <w:rFonts w:eastAsia="Times New Roman"/>
              </w:rPr>
              <w:t>Onderdeel van dit onderzoek is de vraag of een landelijke WoMo-regeling met generieke criteria recht kan doen aan de verschillen in woningbouwopgaven in verschillende regio’s, mede in het licht van de activiteiten in het kader van Elke Regio Telt.</w:t>
            </w:r>
          </w:p>
          <w:p w:rsidRPr="00A510EB" w:rsidR="00E615B6" w:rsidP="00463830" w14:paraId="4FF87CBE" w14:textId="77777777">
            <w:pPr>
              <w:pStyle w:val="ListParagraph"/>
              <w:numPr>
                <w:ilvl w:val="0"/>
                <w:numId w:val="36"/>
              </w:numPr>
              <w:spacing w:line="276" w:lineRule="auto"/>
              <w:rPr>
                <w:rFonts w:eastAsia="Aptos" w:cs="Times New Roman"/>
                <w:color w:val="000000" w:themeColor="text1"/>
                <w:kern w:val="2"/>
                <w14:ligatures w14:val="standardContextual"/>
              </w:rPr>
            </w:pPr>
            <w:r w:rsidRPr="00A510EB">
              <w:rPr>
                <w:rFonts w:eastAsia="Aptos" w:cs="Times New Roman"/>
                <w:color w:val="000000" w:themeColor="text1"/>
                <w:kern w:val="2"/>
                <w14:ligatures w14:val="standardContextual"/>
              </w:rPr>
              <w:t>Rijk en regio werken gezamenlijk de onderzoeksopzet uit.</w:t>
            </w:r>
          </w:p>
          <w:p w:rsidRPr="00A510EB" w:rsidR="00E615B6" w:rsidP="00463830" w14:paraId="0AD66EC0" w14:textId="77777777">
            <w:pPr>
              <w:pStyle w:val="ListParagraph"/>
              <w:numPr>
                <w:ilvl w:val="0"/>
                <w:numId w:val="36"/>
              </w:numPr>
              <w:spacing w:line="276" w:lineRule="auto"/>
              <w:rPr>
                <w:rFonts w:eastAsia="Aptos" w:cs="Times New Roman"/>
                <w:color w:val="000000" w:themeColor="text1"/>
                <w:kern w:val="2"/>
                <w14:ligatures w14:val="standardContextual"/>
              </w:rPr>
            </w:pPr>
            <w:r w:rsidRPr="00A510EB">
              <w:rPr>
                <w:rFonts w:eastAsia="Aptos" w:cs="Times New Roman"/>
                <w:color w:val="000000" w:themeColor="text1"/>
                <w:kern w:val="2"/>
                <w14:ligatures w14:val="standardContextual"/>
              </w:rPr>
              <w:t>Uiterlijk in het BOL voorjaar 2026 zullen de resultaten van dit onderzoek worden besproken in de betreffende landsdelen.</w:t>
            </w:r>
          </w:p>
          <w:p w:rsidRPr="008F1F25" w:rsidR="00E615B6" w:rsidP="00463830" w14:paraId="5F637A8A" w14:textId="77777777">
            <w:pPr>
              <w:pStyle w:val="ListParagraph"/>
              <w:numPr>
                <w:ilvl w:val="0"/>
                <w:numId w:val="36"/>
              </w:numPr>
              <w:spacing w:line="276" w:lineRule="auto"/>
            </w:pPr>
            <w:r w:rsidRPr="00EF0DC4">
              <w:rPr>
                <w:rFonts w:eastAsia="Aptos" w:cs="Times New Roman"/>
                <w:color w:val="000000" w:themeColor="text1"/>
                <w:kern w:val="2"/>
                <w14:ligatures w14:val="standardContextual"/>
              </w:rPr>
              <w:t>Of en hoe de uitkomsten van dit onderzoek betrokken worden bij het alloceren van middelen in de toekomst, is ter beoordeling van een nieuw kabinet.</w:t>
            </w:r>
          </w:p>
        </w:tc>
      </w:tr>
      <w:tr w:rsidTr="00463830" w14:paraId="05BE92D9" w14:textId="77777777">
        <w:tblPrEx>
          <w:tblW w:w="0" w:type="auto"/>
          <w:tblInd w:w="0" w:type="dxa"/>
          <w:tblLayout w:type="fixed"/>
          <w:tblLook w:val="04A0"/>
        </w:tblPrEx>
        <w:tc>
          <w:tcPr>
            <w:tcW w:w="279" w:type="dxa"/>
          </w:tcPr>
          <w:p w:rsidR="00E615B6" w:rsidP="00463830" w14:paraId="4DD328E7" w14:textId="77777777">
            <w:pPr>
              <w:spacing w:line="240" w:lineRule="exact"/>
              <w:rPr>
                <w:b/>
                <w:bCs/>
              </w:rPr>
            </w:pPr>
            <w:r>
              <w:rPr>
                <w:b/>
                <w:bCs/>
              </w:rPr>
              <w:t>2</w:t>
            </w:r>
          </w:p>
        </w:tc>
        <w:tc>
          <w:tcPr>
            <w:tcW w:w="8738" w:type="dxa"/>
          </w:tcPr>
          <w:p w:rsidR="00E615B6" w:rsidP="00463830" w14:paraId="38D5065A" w14:textId="77777777">
            <w:pPr>
              <w:spacing w:line="276" w:lineRule="auto"/>
              <w:contextualSpacing/>
              <w:rPr>
                <w:rFonts w:eastAsia="Calibri"/>
                <w:b/>
                <w:bCs/>
                <w:color w:val="auto"/>
              </w:rPr>
            </w:pPr>
            <w:r w:rsidRPr="00A510EB">
              <w:rPr>
                <w:rFonts w:eastAsia="Calibri"/>
                <w:b/>
                <w:bCs/>
                <w:color w:val="auto"/>
              </w:rPr>
              <w:t>NOVEX Startbeslissing Verkenning Rotterdamse Haven</w:t>
            </w:r>
          </w:p>
          <w:p w:rsidRPr="005A7254" w:rsidR="00E615B6" w:rsidP="00463830" w14:paraId="5F617BC4" w14:textId="77777777">
            <w:pPr>
              <w:numPr>
                <w:ilvl w:val="0"/>
                <w:numId w:val="36"/>
              </w:numPr>
              <w:spacing w:line="276" w:lineRule="auto"/>
              <w:ind w:left="284" w:hanging="284"/>
              <w:contextualSpacing/>
              <w:rPr>
                <w:rFonts w:eastAsia="Aptos" w:cs="Times New Roman"/>
              </w:rPr>
            </w:pPr>
            <w:r w:rsidRPr="005A7254">
              <w:rPr>
                <w:rFonts w:eastAsia="Aptos" w:cs="Times New Roman"/>
              </w:rPr>
              <w:t>Rijk (IenW, VRO, KGG, LVVN), provincie Zuid-Holland, gemeente Rotterdam en het Havenbedrijf Rotterdam (partijen) spreken af om, op basis van het Startdocument</w:t>
            </w:r>
            <w:r>
              <w:rPr>
                <w:rStyle w:val="FootnoteReference"/>
                <w:rFonts w:eastAsia="Aptos" w:cs="Times New Roman"/>
              </w:rPr>
              <w:footnoteReference w:id="3"/>
            </w:r>
            <w:r w:rsidRPr="005A7254">
              <w:rPr>
                <w:rFonts w:eastAsia="Aptos" w:cs="Times New Roman"/>
              </w:rPr>
              <w:t xml:space="preserve">, de Verkenning uit te gaan voeren naar verschillende oplossingsrichtingen voor ruimtegebrek in de Rotterdamse haven en de impuls van de leefomgeving. </w:t>
            </w:r>
            <w:r w:rsidRPr="005A7254">
              <w:rPr>
                <w:rFonts w:eastAsia="Times New Roman" w:cs="Times New Roman"/>
              </w:rPr>
              <w:t>Vanwege de nationale belangen die hier spelen wordt gebruik gemaakt van de MIRT-systematiek zodat er een herkenbaar en navolgbaar proces wordt doorlopen. Het betreft hier geen MIRT-project.</w:t>
            </w:r>
          </w:p>
          <w:p w:rsidRPr="005A7254" w:rsidR="00E615B6" w:rsidP="00463830" w14:paraId="39D5FC93" w14:textId="77777777">
            <w:pPr>
              <w:numPr>
                <w:ilvl w:val="0"/>
                <w:numId w:val="36"/>
              </w:numPr>
              <w:spacing w:line="276" w:lineRule="auto"/>
              <w:ind w:left="284" w:hanging="284"/>
              <w:contextualSpacing/>
              <w:rPr>
                <w:rFonts w:eastAsia="Aptos" w:cs="Times New Roman"/>
              </w:rPr>
            </w:pPr>
            <w:r w:rsidRPr="005A7254">
              <w:rPr>
                <w:rFonts w:eastAsia="Aptos" w:cs="Times New Roman"/>
              </w:rPr>
              <w:t>De scope van de oplossingsrichtingen Ruimtegebrek haven betreft:</w:t>
            </w:r>
          </w:p>
          <w:p w:rsidRPr="005A7254" w:rsidR="00E615B6" w:rsidP="00463830" w14:paraId="61475C3B" w14:textId="77777777">
            <w:pPr>
              <w:numPr>
                <w:ilvl w:val="0"/>
                <w:numId w:val="39"/>
              </w:numPr>
              <w:spacing w:line="276" w:lineRule="auto"/>
              <w:contextualSpacing/>
              <w:rPr>
                <w:rFonts w:eastAsia="Aptos" w:cs="Times New Roman"/>
              </w:rPr>
            </w:pPr>
            <w:r w:rsidRPr="005A7254">
              <w:rPr>
                <w:rFonts w:eastAsia="Aptos" w:cs="Times New Roman"/>
              </w:rPr>
              <w:t xml:space="preserve">Intensivering en optimalisering van het ruimtegebruik in het bestaande havengebied </w:t>
            </w:r>
          </w:p>
          <w:p w:rsidRPr="005A7254" w:rsidR="00E615B6" w:rsidP="00463830" w14:paraId="09AA328E" w14:textId="77777777">
            <w:pPr>
              <w:numPr>
                <w:ilvl w:val="0"/>
                <w:numId w:val="39"/>
              </w:numPr>
              <w:spacing w:line="276" w:lineRule="auto"/>
              <w:contextualSpacing/>
              <w:rPr>
                <w:rFonts w:eastAsia="Aptos" w:cs="Times New Roman"/>
              </w:rPr>
            </w:pPr>
            <w:r w:rsidRPr="005A7254">
              <w:rPr>
                <w:rFonts w:eastAsia="Aptos" w:cs="Times New Roman"/>
              </w:rPr>
              <w:t>Herinrichten en herontwikkelen van bestaande bedrijventerreinen in de regio</w:t>
            </w:r>
          </w:p>
          <w:p w:rsidRPr="005A7254" w:rsidR="00E615B6" w:rsidP="00463830" w14:paraId="6162335F" w14:textId="77777777">
            <w:pPr>
              <w:numPr>
                <w:ilvl w:val="0"/>
                <w:numId w:val="39"/>
              </w:numPr>
              <w:spacing w:line="276" w:lineRule="auto"/>
              <w:contextualSpacing/>
              <w:rPr>
                <w:rFonts w:eastAsia="Aptos" w:cs="Times New Roman"/>
              </w:rPr>
            </w:pPr>
            <w:r w:rsidRPr="005A7254">
              <w:rPr>
                <w:rFonts w:eastAsia="Aptos" w:cs="Times New Roman"/>
              </w:rPr>
              <w:t>Mogelijkheden van een zeewaartse uitbreiding</w:t>
            </w:r>
          </w:p>
          <w:p w:rsidRPr="005A7254" w:rsidR="00E615B6" w:rsidP="00463830" w14:paraId="0F59AFC9" w14:textId="77777777">
            <w:pPr>
              <w:numPr>
                <w:ilvl w:val="0"/>
                <w:numId w:val="36"/>
              </w:numPr>
              <w:spacing w:line="276" w:lineRule="auto"/>
              <w:ind w:left="284" w:hanging="284"/>
              <w:contextualSpacing/>
              <w:rPr>
                <w:rFonts w:eastAsia="Aptos" w:cs="Times New Roman"/>
              </w:rPr>
            </w:pPr>
            <w:r w:rsidRPr="005A7254">
              <w:rPr>
                <w:rFonts w:eastAsia="Aptos" w:cs="Times New Roman"/>
              </w:rPr>
              <w:t>De scope van de oplossingsrichtingen Impuls Leefomgeving betreft:</w:t>
            </w:r>
          </w:p>
          <w:p w:rsidRPr="005A7254" w:rsidR="00E615B6" w:rsidP="00463830" w14:paraId="7EB9778D" w14:textId="77777777">
            <w:pPr>
              <w:numPr>
                <w:ilvl w:val="0"/>
                <w:numId w:val="39"/>
              </w:numPr>
              <w:spacing w:line="276" w:lineRule="auto"/>
              <w:contextualSpacing/>
              <w:rPr>
                <w:rFonts w:eastAsia="Aptos" w:cs="Times New Roman"/>
              </w:rPr>
            </w:pPr>
            <w:r w:rsidRPr="005A7254">
              <w:rPr>
                <w:rFonts w:eastAsia="Aptos" w:cs="Times New Roman"/>
              </w:rPr>
              <w:t>Landschap en recreatie: natuurherstel en -ontwikkeling, benutten kansen voor recreatie, ontwikkelen parklandschap en verbeteren bereikbaarheid per fiets</w:t>
            </w:r>
          </w:p>
          <w:p w:rsidRPr="005A7254" w:rsidR="00E615B6" w:rsidP="00463830" w14:paraId="2C2C4BA4" w14:textId="77777777">
            <w:pPr>
              <w:numPr>
                <w:ilvl w:val="0"/>
                <w:numId w:val="39"/>
              </w:numPr>
              <w:spacing w:line="276" w:lineRule="auto"/>
              <w:contextualSpacing/>
              <w:rPr>
                <w:rFonts w:eastAsia="Aptos" w:cs="Times New Roman"/>
              </w:rPr>
            </w:pPr>
            <w:r w:rsidRPr="005A7254">
              <w:rPr>
                <w:rFonts w:eastAsia="Aptos" w:cs="Times New Roman"/>
              </w:rPr>
              <w:t>Woon- en leefomgeving: aanpakken (kwetsbare) wijken, wegnemen belemmeringen in de leefomgeving, zoals door bodemsanering of een aanpak geluid, bij ontwikkelen woongebied</w:t>
            </w:r>
          </w:p>
          <w:p w:rsidRPr="005A7254" w:rsidR="00E615B6" w:rsidP="00463830" w14:paraId="3A5EB050" w14:textId="77777777">
            <w:pPr>
              <w:numPr>
                <w:ilvl w:val="0"/>
                <w:numId w:val="36"/>
              </w:numPr>
              <w:spacing w:line="276" w:lineRule="auto"/>
              <w:ind w:left="284" w:hanging="284"/>
              <w:contextualSpacing/>
              <w:rPr>
                <w:rFonts w:eastAsia="Aptos" w:cs="Times New Roman"/>
              </w:rPr>
            </w:pPr>
            <w:r w:rsidRPr="005A7254">
              <w:rPr>
                <w:rFonts w:eastAsia="Aptos" w:cs="Times New Roman"/>
              </w:rPr>
              <w:t>Het startdocument geeft richting aan de te onderzoeken oplossingsrichtingen. De definitieve scope van de te onderzoeken oplossingsrichtingen wordt bepaald in de Notitie Reikwijdte en Detailniveau, mede op basis van nog lopend onderzoek.</w:t>
            </w:r>
          </w:p>
          <w:p w:rsidRPr="005A7254" w:rsidR="00E615B6" w:rsidP="00463830" w14:paraId="5D9ECFD1" w14:textId="77777777">
            <w:pPr>
              <w:numPr>
                <w:ilvl w:val="0"/>
                <w:numId w:val="36"/>
              </w:numPr>
              <w:spacing w:line="276" w:lineRule="auto"/>
              <w:ind w:left="284" w:hanging="284"/>
              <w:contextualSpacing/>
              <w:rPr>
                <w:rFonts w:eastAsia="Aptos" w:cs="Times New Roman"/>
              </w:rPr>
            </w:pPr>
            <w:r w:rsidRPr="005A7254">
              <w:rPr>
                <w:rFonts w:eastAsia="Aptos" w:cs="Times New Roman"/>
              </w:rPr>
              <w:t>Partijen maken aan het einde van de Verkenning bekostigingsafspraken over de voorkeursbeslissing, waar zowel ‘ruimtegebrek haven’ als  ‘impuls’ onderdeel van uit maken. Voor de impuls leefomgeving gaan de partijen een inspanningsverplichting aan om de benodigde financiële middelen bijeen te brengen. Voor het ‘ruimtegebrek haven is er bij een mogelijke zeewaartse uitbreiding een businesscase die zicht op bekostiging biedt, die door een belangrijk deel gedekt wordt door de grondexploitatie.</w:t>
            </w:r>
          </w:p>
          <w:p w:rsidRPr="005A7254" w:rsidR="00E615B6" w:rsidP="00463830" w14:paraId="30976E34" w14:textId="77777777">
            <w:pPr>
              <w:numPr>
                <w:ilvl w:val="0"/>
                <w:numId w:val="36"/>
              </w:numPr>
              <w:spacing w:line="276" w:lineRule="auto"/>
              <w:ind w:left="284" w:hanging="284"/>
              <w:contextualSpacing/>
              <w:rPr>
                <w:rFonts w:eastAsia="Aptos" w:cs="Times New Roman"/>
              </w:rPr>
            </w:pPr>
            <w:r w:rsidRPr="005A7254">
              <w:rPr>
                <w:rFonts w:eastAsia="Aptos" w:cs="Times New Roman"/>
              </w:rPr>
              <w:t xml:space="preserve">Rijk en regio spreken af dat voor een mogelijk te nemen Projectbesluit de Minister van IenW, in overeenstemming met de Minister van Volkshuisvesting en Ruimtelijke Ordening, bevoegd gezag is. Om de uitkomsten van de Verkenning voor de opgave Impuls Leefomgeving ruimtelijk te borgen zal waarschijnlijk ook een wijziging van de omgevingsvisie en/of (onderdelen van) het omgevingsplan van Rotterdam en/of andere gemeenten rondom de haven nodig zijn. Voor die instrumenten zijn de desbetreffende gemeenteraden bevoegd gezag. Als te zijner tijd blijkt dat ook nog andere besluiten van andere bevoegde gezagen nodig zijn, dan kunnen die worden betrokken bij fase 2 van de procedure. </w:t>
            </w:r>
          </w:p>
          <w:p w:rsidRPr="005A7254" w:rsidR="00E615B6" w:rsidP="00463830" w14:paraId="3C6B7C3C" w14:textId="77777777">
            <w:pPr>
              <w:numPr>
                <w:ilvl w:val="0"/>
                <w:numId w:val="36"/>
              </w:numPr>
              <w:spacing w:line="276" w:lineRule="auto"/>
              <w:ind w:left="284" w:hanging="284"/>
              <w:contextualSpacing/>
              <w:rPr>
                <w:rFonts w:eastAsia="Aptos" w:cs="Times New Roman"/>
              </w:rPr>
            </w:pPr>
            <w:r w:rsidRPr="005A7254">
              <w:rPr>
                <w:rFonts w:eastAsia="Aptos" w:cs="Times New Roman"/>
              </w:rPr>
              <w:t xml:space="preserve">De kosten van de verkenning zijn geraamd op € 12 miljoen en worden gedekt volgens de verdeelsleutel 1/3e Rijk, 1/3e Regio (provincie Zuid-Holland en gemeente Rotterdam) en 1/3e Havenbedrijf Rotterdam. </w:t>
            </w:r>
          </w:p>
          <w:p w:rsidRPr="005A7254" w:rsidR="00E615B6" w:rsidP="00463830" w14:paraId="0289DE3F" w14:textId="77777777">
            <w:pPr>
              <w:numPr>
                <w:ilvl w:val="0"/>
                <w:numId w:val="36"/>
              </w:numPr>
              <w:spacing w:line="276" w:lineRule="auto"/>
              <w:ind w:left="284" w:hanging="284"/>
              <w:contextualSpacing/>
              <w:rPr>
                <w:rFonts w:eastAsia="Aptos" w:cs="Times New Roman"/>
              </w:rPr>
            </w:pPr>
            <w:r w:rsidRPr="005A7254">
              <w:rPr>
                <w:rFonts w:eastAsia="Aptos" w:cs="Times New Roman"/>
              </w:rPr>
              <w:t>Voor de uitvoering van de Verkenning wordt een projectorganisatie ingericht. Deze krijgt een eigen aansturing, als onderdeel van de governance van de NOVEX Rotterdamse haven.</w:t>
            </w:r>
          </w:p>
          <w:p w:rsidRPr="005A7254" w:rsidR="00E615B6" w:rsidP="00463830" w14:paraId="7E1FBF32" w14:textId="77777777">
            <w:pPr>
              <w:numPr>
                <w:ilvl w:val="0"/>
                <w:numId w:val="36"/>
              </w:numPr>
              <w:spacing w:line="276" w:lineRule="auto"/>
              <w:ind w:left="284" w:hanging="284"/>
              <w:contextualSpacing/>
              <w:rPr>
                <w:rFonts w:eastAsia="Aptos" w:cs="Times New Roman"/>
              </w:rPr>
            </w:pPr>
            <w:r w:rsidRPr="005A7254">
              <w:rPr>
                <w:rFonts w:eastAsia="Aptos" w:cs="Times New Roman"/>
              </w:rPr>
              <w:t>In een separaat BO NOVEX Rotterdamse haven in het eerste kwartaal van 2026 worden de volgende onderwerpen besproken:</w:t>
            </w:r>
          </w:p>
          <w:p w:rsidRPr="005A7254" w:rsidR="00E615B6" w:rsidP="00463830" w14:paraId="22F6D6BB" w14:textId="77777777">
            <w:pPr>
              <w:numPr>
                <w:ilvl w:val="0"/>
                <w:numId w:val="39"/>
              </w:numPr>
              <w:spacing w:line="276" w:lineRule="auto"/>
              <w:contextualSpacing/>
              <w:rPr>
                <w:rFonts w:eastAsia="Aptos" w:cs="Times New Roman"/>
              </w:rPr>
            </w:pPr>
            <w:r w:rsidRPr="005A7254">
              <w:rPr>
                <w:rFonts w:eastAsia="Aptos" w:cs="Times New Roman"/>
              </w:rPr>
              <w:t>Een bestuursakkoord, waarin afspraken worden vastgelegd over de scope, governance, organisatie, risico’s en planning van de Verkenning</w:t>
            </w:r>
          </w:p>
          <w:p w:rsidRPr="005A7254" w:rsidR="00E615B6" w:rsidP="00463830" w14:paraId="72988E2F" w14:textId="77777777">
            <w:pPr>
              <w:numPr>
                <w:ilvl w:val="0"/>
                <w:numId w:val="39"/>
              </w:numPr>
              <w:spacing w:line="276" w:lineRule="auto"/>
              <w:contextualSpacing/>
              <w:rPr>
                <w:rFonts w:eastAsia="Aptos" w:cs="Times New Roman"/>
              </w:rPr>
            </w:pPr>
            <w:r w:rsidRPr="005A7254">
              <w:rPr>
                <w:rFonts w:eastAsia="Aptos" w:cs="Times New Roman"/>
              </w:rPr>
              <w:t>Een procesconvenant met de omgevingspartijen, inclusief de visserij, waarin afspraken worden gemaakt over de rol en betrokkenheid van de omgevingspartijen</w:t>
            </w:r>
          </w:p>
          <w:p w:rsidRPr="005A7254" w:rsidR="00E615B6" w:rsidP="00463830" w14:paraId="6193A180" w14:textId="77777777">
            <w:pPr>
              <w:numPr>
                <w:ilvl w:val="0"/>
                <w:numId w:val="39"/>
              </w:numPr>
              <w:spacing w:line="276" w:lineRule="auto"/>
              <w:contextualSpacing/>
              <w:rPr>
                <w:rFonts w:eastAsia="Aptos" w:cs="Times New Roman"/>
              </w:rPr>
            </w:pPr>
            <w:r w:rsidRPr="005A7254">
              <w:rPr>
                <w:rFonts w:eastAsia="Aptos" w:cs="Times New Roman"/>
              </w:rPr>
              <w:t>De Kennisgeving voornemen en Kennisgeving participatie</w:t>
            </w:r>
          </w:p>
          <w:p w:rsidRPr="005A7254" w:rsidR="00E615B6" w:rsidP="00463830" w14:paraId="77A79239" w14:textId="77777777">
            <w:pPr>
              <w:numPr>
                <w:ilvl w:val="0"/>
                <w:numId w:val="36"/>
              </w:numPr>
              <w:spacing w:line="276" w:lineRule="auto"/>
              <w:ind w:left="284" w:hanging="284"/>
              <w:contextualSpacing/>
              <w:rPr>
                <w:rFonts w:eastAsia="Aptos" w:cs="Times New Roman"/>
              </w:rPr>
            </w:pPr>
            <w:r w:rsidRPr="005A7254">
              <w:rPr>
                <w:rFonts w:eastAsia="Aptos" w:cs="Times New Roman"/>
              </w:rPr>
              <w:t>De verkenning wordt gestart op grond van de Omgevingswet. De verkenning betreft zoals gesteld zowel de opgave ‘Ruimtegebrek Haven’ als ‘Impuls Leefomgeving’ en zal resulteren in een Voorkeursbeslissing en een voorkeursalternatief. Het streven is om eind 2027 de besluiten te nemen omtrent de ontwerp voorkeursbeslissing en het ontwerp voorkeursalternatief.</w:t>
            </w:r>
          </w:p>
          <w:p w:rsidRPr="005A7254" w:rsidR="00E615B6" w:rsidP="00463830" w14:paraId="72A19608" w14:textId="77777777">
            <w:pPr>
              <w:numPr>
                <w:ilvl w:val="0"/>
                <w:numId w:val="36"/>
              </w:numPr>
              <w:spacing w:line="276" w:lineRule="auto"/>
              <w:ind w:left="284" w:hanging="284"/>
              <w:contextualSpacing/>
              <w:rPr>
                <w:rFonts w:eastAsia="Aptos" w:cs="Times New Roman"/>
              </w:rPr>
            </w:pPr>
            <w:r w:rsidRPr="005A7254">
              <w:rPr>
                <w:rFonts w:eastAsia="Aptos" w:cs="Times New Roman"/>
              </w:rPr>
              <w:t>Voor de opgave ‘Ruimtegebrek haven’ geldt zorgvuldig ruimtegebruik als uitgangspunt. Zeewaartse uitbreiding is geen doel op zich en geen automatisme, maar één van de te verkennen oplossingsrichtingen voor ruimtegebrek in de haven.</w:t>
            </w:r>
          </w:p>
          <w:p w:rsidRPr="005A7254" w:rsidR="00E615B6" w:rsidP="00463830" w14:paraId="3C059E87" w14:textId="77777777">
            <w:pPr>
              <w:numPr>
                <w:ilvl w:val="0"/>
                <w:numId w:val="36"/>
              </w:numPr>
              <w:spacing w:line="276" w:lineRule="auto"/>
              <w:ind w:left="284" w:hanging="284"/>
              <w:contextualSpacing/>
              <w:rPr>
                <w:rFonts w:eastAsia="Aptos" w:cs="Times New Roman"/>
              </w:rPr>
            </w:pPr>
            <w:r w:rsidRPr="005A7254">
              <w:rPr>
                <w:rFonts w:eastAsia="Aptos" w:cs="Times New Roman"/>
              </w:rPr>
              <w:t xml:space="preserve">In de verkenning worden aspecten zoals stikstofdepositie, de noodzaak tot natuurcompensatie, de gevolgen voor de visserij en het behoud van een strategische zandvoorraad voor de toekomstige waterveiligheid van Nederland in beschouwing genomen en meegewogen. </w:t>
            </w:r>
          </w:p>
          <w:p w:rsidRPr="00E70916" w:rsidR="00E615B6" w:rsidP="00463830" w14:paraId="3E9F70FE" w14:textId="77777777">
            <w:pPr>
              <w:pStyle w:val="ListParagraph"/>
              <w:numPr>
                <w:ilvl w:val="0"/>
                <w:numId w:val="36"/>
              </w:numPr>
              <w:spacing w:line="276" w:lineRule="auto"/>
              <w:ind w:left="284" w:hanging="284"/>
              <w:rPr>
                <w:rFonts w:eastAsia="Calibri"/>
                <w:b/>
                <w:bCs/>
              </w:rPr>
            </w:pPr>
            <w:r w:rsidRPr="005A7254">
              <w:rPr>
                <w:rFonts w:eastAsia="Aptos" w:cs="Times New Roman"/>
              </w:rPr>
              <w:t>Natuurcompensatie in geval van een eventuele zeewaartse uitbreiding wordt bij voorkeur kwantitatief benaderd. Daarbij is het streven de gevolgen voor de visserij te minimaliseren.</w:t>
            </w:r>
          </w:p>
        </w:tc>
      </w:tr>
      <w:tr w:rsidTr="00463830" w14:paraId="63AB80E6" w14:textId="77777777">
        <w:tblPrEx>
          <w:tblW w:w="0" w:type="auto"/>
          <w:tblInd w:w="0" w:type="dxa"/>
          <w:tblLayout w:type="fixed"/>
          <w:tblLook w:val="04A0"/>
        </w:tblPrEx>
        <w:tc>
          <w:tcPr>
            <w:tcW w:w="279" w:type="dxa"/>
          </w:tcPr>
          <w:p w:rsidR="00E615B6" w:rsidP="00463830" w14:paraId="7B1448C0" w14:textId="77777777">
            <w:pPr>
              <w:spacing w:line="240" w:lineRule="exact"/>
              <w:rPr>
                <w:b/>
                <w:bCs/>
              </w:rPr>
            </w:pPr>
            <w:r>
              <w:rPr>
                <w:b/>
                <w:bCs/>
              </w:rPr>
              <w:t>3</w:t>
            </w:r>
          </w:p>
        </w:tc>
        <w:tc>
          <w:tcPr>
            <w:tcW w:w="8738" w:type="dxa"/>
          </w:tcPr>
          <w:p w:rsidR="00E615B6" w:rsidP="00463830" w14:paraId="5437D740" w14:textId="77777777">
            <w:pPr>
              <w:pStyle w:val="Heading2"/>
              <w:rPr>
                <w:rFonts w:ascii="Verdana" w:hAnsi="Verdana" w:eastAsia="Calibri" w:cs="Lohit Hindi"/>
                <w:b/>
                <w:bCs/>
                <w:color w:val="auto"/>
                <w:sz w:val="18"/>
                <w:szCs w:val="18"/>
              </w:rPr>
            </w:pPr>
            <w:bookmarkStart w:name="_Toc218547452" w:id="26"/>
            <w:bookmarkStart w:name="_Toc219197446" w:id="27"/>
            <w:r w:rsidRPr="00997598">
              <w:rPr>
                <w:rFonts w:ascii="Verdana" w:hAnsi="Verdana" w:eastAsia="Calibri" w:cs="Lohit Hindi"/>
                <w:b/>
                <w:bCs/>
                <w:color w:val="auto"/>
                <w:sz w:val="18"/>
                <w:szCs w:val="18"/>
              </w:rPr>
              <w:t>MIRT Verkenning Oude Lijn</w:t>
            </w:r>
            <w:bookmarkEnd w:id="26"/>
            <w:bookmarkEnd w:id="27"/>
          </w:p>
          <w:p w:rsidRPr="005A7254" w:rsidR="00E615B6" w:rsidP="00463830" w14:paraId="7D49827F" w14:textId="77777777">
            <w:pPr>
              <w:numPr>
                <w:ilvl w:val="0"/>
                <w:numId w:val="37"/>
              </w:numPr>
              <w:spacing w:line="276" w:lineRule="auto"/>
              <w:contextualSpacing/>
              <w:rPr>
                <w:rFonts w:eastAsia="Times New Roman" w:cs="Arial"/>
              </w:rPr>
            </w:pPr>
            <w:r w:rsidRPr="005A7254">
              <w:rPr>
                <w:rFonts w:eastAsia="Times New Roman" w:cs="Arial"/>
              </w:rPr>
              <w:t>Rijk en Regio constateren op basis van de onderzoeken in de MIRT-verkenning dat de schaalsprong op de Oude Lijn een belangrijke randvoorwaarde is om de verstedelijkingsopgave mogelijk te maken, de regio bereikbaar te houden en de agglomeratiekracht te versterken, de kansen voor mensen te vergroten, de sociale veiligheid te verbeteren en duurzame mobiliteit te stimuleren in de Zuidelijke Randstad. Uit de verkenning blijkt dat dit samenhangend pakket aan infrastructurele maatregelen een ongekend hoge maatschappelijke kosten-baten score kent.</w:t>
            </w:r>
          </w:p>
          <w:p w:rsidRPr="005A7254" w:rsidR="00E615B6" w:rsidP="00463830" w14:paraId="08203096" w14:textId="77777777">
            <w:pPr>
              <w:numPr>
                <w:ilvl w:val="0"/>
                <w:numId w:val="37"/>
              </w:numPr>
              <w:spacing w:line="276" w:lineRule="auto"/>
              <w:contextualSpacing/>
              <w:rPr>
                <w:rFonts w:eastAsia="Times New Roman" w:cs="Arial"/>
              </w:rPr>
            </w:pPr>
            <w:r w:rsidRPr="005A7254">
              <w:rPr>
                <w:rFonts w:eastAsia="Times New Roman" w:cs="Arial"/>
              </w:rPr>
              <w:t>Rijk en regio houden vast aan de eindbeelden van de verkenning, passend bij het verstedelijkingsakkoord. Rijk en regio werken door aan alle hiervoor benodigde onderdelen, starten de planning- en studiefase waar dat kan en werken parallel de verkenning verder uit voor de andere onderdelen. Om de eindbeelden van de Oude Lijn te realiseren is aanvullend ca. 2 miljard nodig. Rijk en regio hebben een gezamenlijke verantwoordelijkheid hiervoor financiering te vinden en sluiten hiervoor een pact.</w:t>
            </w:r>
          </w:p>
          <w:p w:rsidRPr="005A7254" w:rsidR="00E615B6" w:rsidP="00463830" w14:paraId="55F49414" w14:textId="77777777">
            <w:pPr>
              <w:numPr>
                <w:ilvl w:val="0"/>
                <w:numId w:val="37"/>
              </w:numPr>
              <w:spacing w:line="276" w:lineRule="auto"/>
              <w:contextualSpacing/>
              <w:rPr>
                <w:rFonts w:eastAsia="Times New Roman" w:cs="Arial"/>
              </w:rPr>
            </w:pPr>
            <w:r w:rsidRPr="005A7254">
              <w:rPr>
                <w:rFonts w:eastAsia="Times New Roman" w:cs="Arial"/>
              </w:rPr>
              <w:t>Rijk en regio stellen vast dat voor wat betreft de knooppunten waar de verkenningstudie is afgerond,  zo snel mogelijk gestart kan worden met de planning- en studiefase. Voor het onderdeel citysprinter en nieuwe stations zal de verkenning afgerond worden in 2026, na vaststelling van de Voorkeursbeslissing.</w:t>
            </w:r>
          </w:p>
          <w:p w:rsidRPr="005A7254" w:rsidR="00E615B6" w:rsidP="00463830" w14:paraId="22E195D7" w14:textId="77777777">
            <w:pPr>
              <w:numPr>
                <w:ilvl w:val="0"/>
                <w:numId w:val="37"/>
              </w:numPr>
              <w:spacing w:line="276" w:lineRule="auto"/>
              <w:contextualSpacing/>
              <w:rPr>
                <w:rFonts w:eastAsia="Times New Roman" w:cs="Arial"/>
              </w:rPr>
            </w:pPr>
            <w:r w:rsidRPr="005A7254">
              <w:rPr>
                <w:rFonts w:eastAsia="Times New Roman" w:cs="Arial"/>
              </w:rPr>
              <w:t xml:space="preserve">Rijk en regio spreken af te starten met de onderdelen waar begonnen kan worden, zodat de huidige beschikbare middelen zo snel mogelijk maatschappelijk renderen. De capaciteit en sociale en fysieke veiligheid op de bestaande knooppunten vormen knelpunten die de verstedelijking en reizigersgroei op termijn belemmeren. Partijen starten voor de knooppunten Leiden Centraal, Den Haag Laan van NOI en Schiedam Centrum met de planning- en studiefase. </w:t>
            </w:r>
            <w:bookmarkStart w:name="_Hlk214278783" w:id="28"/>
            <w:r w:rsidRPr="005A7254">
              <w:rPr>
                <w:rFonts w:eastAsia="Times New Roman" w:cs="Arial"/>
              </w:rPr>
              <w:t>Voor knooppunt Dordrecht zijn partijen het eens over de benodigde maatregelen, maar moeten nadere afspraken worden gemaakt over de daarbij behorende kostenverdeling.</w:t>
            </w:r>
            <w:bookmarkEnd w:id="28"/>
          </w:p>
          <w:p w:rsidRPr="005A7254" w:rsidR="00E615B6" w:rsidP="00463830" w14:paraId="433E1306" w14:textId="77777777">
            <w:pPr>
              <w:numPr>
                <w:ilvl w:val="0"/>
                <w:numId w:val="37"/>
              </w:numPr>
              <w:spacing w:line="276" w:lineRule="auto"/>
              <w:contextualSpacing/>
              <w:rPr>
                <w:rFonts w:eastAsia="Times New Roman" w:cs="Arial"/>
              </w:rPr>
            </w:pPr>
            <w:r w:rsidRPr="005A7254">
              <w:rPr>
                <w:rFonts w:eastAsia="Times New Roman" w:cs="Arial"/>
              </w:rPr>
              <w:t xml:space="preserve">Rijk en regio zetten gelijktijdig in op een frequentieverhoging naar 8 sprinters per uur. Deze frequentieverhoging levert een belangrijke bijdrage aan de doelstellingen. Dit versterkt het effect van de andere onderdelen van de schaalsprong en vergroot de impact. Het Rijk werkt in 2026 nader uit welke maatregelen op het spoor hiervoor binnen en buiten de Zuidelijke Randstad nodig zijn. Daarbij vinden partijen van belang dat ook ruimte blijft voor verdere groeimogelijkheden op het spoor conform de doorgroeireferentie uit het </w:t>
            </w:r>
            <w:r w:rsidRPr="005A7254">
              <w:rPr>
                <w:rFonts w:eastAsia="Times New Roman" w:cs="Arial"/>
              </w:rPr>
              <w:t>Toekomstbeeld OV. Rijk en regio spreken af vanuit de beschikbare middelen voor de Oude Lijn budget te reserveren voor de benodigde maatregelen binnen het Oude Lijn-gebied.</w:t>
            </w:r>
          </w:p>
          <w:p w:rsidRPr="005A7254" w:rsidR="00E615B6" w:rsidP="00463830" w14:paraId="3F6CB6AE" w14:textId="77777777">
            <w:pPr>
              <w:numPr>
                <w:ilvl w:val="0"/>
                <w:numId w:val="37"/>
              </w:numPr>
              <w:spacing w:line="276" w:lineRule="auto"/>
              <w:contextualSpacing/>
              <w:rPr>
                <w:rFonts w:eastAsia="Times New Roman" w:cs="Arial"/>
              </w:rPr>
            </w:pPr>
            <w:r w:rsidRPr="005A7254">
              <w:rPr>
                <w:rFonts w:eastAsia="Times New Roman" w:cs="Arial"/>
              </w:rPr>
              <w:t>Voor de nieuwe stations en spoorverdubbeling start de planning- en studiefase na de  afronding van de verkenning en het nemen van een voorkeursbeslissing, voorzien in 2026. Partijen houden hiervoor een substantieel deel van het budget gereserveerd. Partijen zetten zich in om de nieuwe stations en de spoorverdubbeling in 2040 gerealiseerd te hebben. Partijen hebben daarbij een gezamenlijke verantwoordelijkheid het totale budget hiervoor aan te vullen.</w:t>
            </w:r>
          </w:p>
          <w:p w:rsidRPr="005A7254" w:rsidR="00E615B6" w:rsidP="00463830" w14:paraId="48A90175" w14:textId="77777777">
            <w:pPr>
              <w:numPr>
                <w:ilvl w:val="0"/>
                <w:numId w:val="37"/>
              </w:numPr>
              <w:spacing w:line="276" w:lineRule="auto"/>
              <w:contextualSpacing/>
              <w:rPr>
                <w:rFonts w:eastAsia="Times New Roman" w:cs="Arial"/>
              </w:rPr>
            </w:pPr>
            <w:r w:rsidRPr="005A7254">
              <w:rPr>
                <w:rFonts w:eastAsia="Times New Roman" w:cs="Arial"/>
              </w:rPr>
              <w:t>Partijen constateren dat voor de stations Schiedam Kethel en Rotterdam Van Nelle de spoorverdubbeling tussen Delft en Schiedam randvoorwaardelijk is. Dat geldt niet voor de nieuwe stations Dordrecht Leerpark en Rijswijk Buiten. Rijk en regio behouden een reservering voor de spoorverdubbeling binnen het huidig budget. Daarnaast maken Rijk en regio binnen het huidig budget een reservering voor het station Rijswijk Buiten, en, afhankelijk van de afspraak over station Dordrecht, ook een reservering voor Dordrecht Leerpark. Bij de voorkeursbeslissing maken Rijk en regio definitieve financiële afspraken over de spoorverdubbeling en alle nieuwe stations.</w:t>
            </w:r>
          </w:p>
          <w:p w:rsidRPr="005A7254" w:rsidR="00E615B6" w:rsidP="00463830" w14:paraId="16A9D3F3" w14:textId="77777777">
            <w:pPr>
              <w:numPr>
                <w:ilvl w:val="0"/>
                <w:numId w:val="37"/>
              </w:numPr>
              <w:spacing w:line="276" w:lineRule="auto"/>
              <w:contextualSpacing/>
              <w:rPr>
                <w:rFonts w:eastAsia="Times New Roman" w:cs="Arial"/>
              </w:rPr>
            </w:pPr>
            <w:r w:rsidRPr="005A7254">
              <w:rPr>
                <w:rFonts w:eastAsia="Times New Roman" w:cs="Arial"/>
              </w:rPr>
              <w:t xml:space="preserve">Aanvullend op de startbeslissing wordt door Rijk en regio samen ca. 275 miljoen inclusief </w:t>
            </w:r>
            <w:r>
              <w:rPr>
                <w:rFonts w:eastAsia="Times New Roman" w:cs="Arial"/>
              </w:rPr>
              <w:t>btw</w:t>
            </w:r>
            <w:r w:rsidRPr="005A7254">
              <w:rPr>
                <w:rFonts w:eastAsia="Times New Roman" w:cs="Arial"/>
              </w:rPr>
              <w:t xml:space="preserve"> in het kader van WoMo beschikbaar gesteld. Daarbovenop stelt de regio nog ca. 37 miljoen inclusief </w:t>
            </w:r>
            <w:r>
              <w:rPr>
                <w:rFonts w:eastAsia="Times New Roman" w:cs="Arial"/>
              </w:rPr>
              <w:t>btw</w:t>
            </w:r>
            <w:r w:rsidRPr="005A7254">
              <w:rPr>
                <w:rFonts w:eastAsia="Times New Roman" w:cs="Arial"/>
              </w:rPr>
              <w:t xml:space="preserve"> beschikbaar. Met ProRail en NS worden afspraken gemaakt over een aanvullende bijdrage. De MRDH stelt 25 miljoen inclusief </w:t>
            </w:r>
            <w:r>
              <w:rPr>
                <w:rFonts w:eastAsia="Times New Roman" w:cs="Arial"/>
              </w:rPr>
              <w:t>btw</w:t>
            </w:r>
            <w:r w:rsidRPr="005A7254">
              <w:rPr>
                <w:rFonts w:eastAsia="Times New Roman" w:cs="Arial"/>
              </w:rPr>
              <w:t xml:space="preserve"> beschikbaar als startbudget voor de landschapsversterking van het Bijzonder Provinciaal Landschap, in relatie tot de spoorverdubbeling.</w:t>
            </w:r>
          </w:p>
          <w:p w:rsidRPr="009A36E6" w:rsidR="00E615B6" w:rsidP="00463830" w14:paraId="0C34E114" w14:textId="77777777">
            <w:pPr>
              <w:numPr>
                <w:ilvl w:val="0"/>
                <w:numId w:val="37"/>
              </w:numPr>
              <w:spacing w:line="276" w:lineRule="auto"/>
              <w:contextualSpacing/>
              <w:rPr>
                <w:rFonts w:eastAsia="Times New Roman" w:cs="Arial"/>
              </w:rPr>
            </w:pPr>
            <w:r w:rsidRPr="005A7254">
              <w:rPr>
                <w:rFonts w:eastAsia="Times New Roman" w:cs="Arial"/>
              </w:rPr>
              <w:t>Partijen stellen een bestuursovereenkomst op met concrete afspraken over de vervolgstappen voor de realisatie van de gehele schaalsprong op de Oude Lijn. Dit betreft onder andere de inrichting en governance van de planning- en studiefase en afspraken over budgetverdeling, indexatie, risicoverdeling en flankerend mobiliteitsbeleid langs de Oude Lijn.</w:t>
            </w:r>
          </w:p>
        </w:tc>
      </w:tr>
    </w:tbl>
    <w:p w:rsidR="000B117F" w:rsidP="000B117F" w14:paraId="7F68C034" w14:textId="77777777">
      <w:pPr>
        <w:pStyle w:val="NoSpacing"/>
        <w:rPr>
          <w:lang w:val="nl-NL" w:eastAsia="nl-NL"/>
        </w:rPr>
      </w:pPr>
      <w:bookmarkStart w:name="_Toc219197447" w:id="29"/>
    </w:p>
    <w:p w:rsidRPr="00FC0D88" w:rsidR="00FC0D88" w:rsidP="00CA52E2" w14:paraId="4CE4C934" w14:textId="78DE3373">
      <w:pPr>
        <w:pStyle w:val="Heading1"/>
        <w:rPr>
          <w:rFonts w:eastAsia="DejaVu Sans"/>
          <w:lang w:val="nl-NL" w:eastAsia="nl-NL"/>
        </w:rPr>
      </w:pPr>
      <w:r w:rsidRPr="00FC0D88">
        <w:rPr>
          <w:rFonts w:eastAsia="DejaVu Sans"/>
          <w:lang w:val="nl-NL" w:eastAsia="nl-NL"/>
        </w:rPr>
        <w:t xml:space="preserve">Regio </w:t>
      </w:r>
      <w:r w:rsidR="00DB4104">
        <w:rPr>
          <w:rFonts w:eastAsia="DejaVu Sans"/>
          <w:lang w:val="nl-NL" w:eastAsia="nl-NL"/>
        </w:rPr>
        <w:t>Noord-Nederland</w:t>
      </w:r>
      <w:bookmarkEnd w:id="29"/>
    </w:p>
    <w:p w:rsidRPr="00FC0D88" w:rsidR="00FC0D88" w:rsidP="00FC0D88" w14:paraId="0007BEDD" w14:textId="77777777">
      <w:pPr>
        <w:autoSpaceDN w:val="0"/>
        <w:spacing w:after="0" w:line="240" w:lineRule="exact"/>
        <w:textAlignment w:val="baseline"/>
        <w:rPr>
          <w:rFonts w:eastAsia="DejaVu Sans" w:cs="Lohit Hindi"/>
          <w:b/>
          <w:bCs/>
          <w:color w:val="000000"/>
          <w:szCs w:val="18"/>
          <w:lang w:val="nl-NL" w:eastAsia="nl-NL"/>
        </w:rPr>
      </w:pPr>
    </w:p>
    <w:tbl>
      <w:tblPr>
        <w:tblStyle w:val="TableGrid"/>
        <w:tblW w:w="0" w:type="auto"/>
        <w:tblInd w:w="0" w:type="dxa"/>
        <w:tblLayout w:type="fixed"/>
        <w:tblLook w:val="04A0"/>
      </w:tblPr>
      <w:tblGrid>
        <w:gridCol w:w="562"/>
        <w:gridCol w:w="8455"/>
      </w:tblGrid>
      <w:tr w:rsidTr="00483F3D" w14:paraId="34C7C005" w14:textId="77777777">
        <w:tblPrEx>
          <w:tblW w:w="0" w:type="auto"/>
          <w:tblInd w:w="0" w:type="dxa"/>
          <w:tblLayout w:type="fixed"/>
          <w:tblLook w:val="04A0"/>
        </w:tblPrEx>
        <w:tc>
          <w:tcPr>
            <w:tcW w:w="562" w:type="dxa"/>
            <w:tcBorders>
              <w:top w:val="single" w:color="auto" w:sz="4" w:space="0"/>
            </w:tcBorders>
          </w:tcPr>
          <w:p w:rsidRPr="00FC0D88" w:rsidR="00FC0D88" w:rsidP="00FC0D88" w14:paraId="4431D823" w14:textId="77777777">
            <w:pPr>
              <w:spacing w:line="240" w:lineRule="exact"/>
              <w:rPr>
                <w:b/>
                <w:bCs/>
              </w:rPr>
            </w:pPr>
            <w:bookmarkStart w:name="_Hlk181173927" w:id="30"/>
            <w:r w:rsidRPr="00FC0D88">
              <w:rPr>
                <w:b/>
                <w:bCs/>
              </w:rPr>
              <w:t>1</w:t>
            </w:r>
          </w:p>
        </w:tc>
        <w:tc>
          <w:tcPr>
            <w:tcW w:w="8455" w:type="dxa"/>
            <w:tcBorders>
              <w:top w:val="single" w:color="auto" w:sz="6" w:space="0"/>
            </w:tcBorders>
          </w:tcPr>
          <w:p w:rsidR="00F2163E" w:rsidP="003E3DC3" w14:paraId="5035D615" w14:textId="77777777">
            <w:pPr>
              <w:pStyle w:val="NoSpacing"/>
              <w:rPr>
                <w:b/>
                <w:bCs/>
              </w:rPr>
            </w:pPr>
            <w:r w:rsidRPr="003E3DC3">
              <w:rPr>
                <w:b/>
                <w:bCs/>
              </w:rPr>
              <w:t>Nedersaksenlijn</w:t>
            </w:r>
          </w:p>
          <w:p w:rsidRPr="003E3F1A" w:rsidR="003E3F1A" w:rsidP="00EF0DC4" w14:paraId="318BD7CD" w14:textId="77777777">
            <w:pPr>
              <w:numPr>
                <w:ilvl w:val="0"/>
                <w:numId w:val="8"/>
              </w:numPr>
              <w:spacing w:line="276" w:lineRule="auto"/>
              <w:rPr>
                <w:rFonts w:eastAsia="Times New Roman"/>
              </w:rPr>
            </w:pPr>
            <w:r w:rsidRPr="003E3F1A">
              <w:rPr>
                <w:rFonts w:eastAsia="Times New Roman"/>
              </w:rPr>
              <w:t>Rijk en regio stellen het startdocument voor de verkenning gebiedsontwikkeling Nedersaksenlijn vast. Deze verkenning stelt de ruimtelijke, economische en sociale uitwerking en impact van de Nedersaksenlijn centraal, met het versterken van de brede welvaart als rode draad. De verkenning gebiedsontwikkeling loopt parallel op met de MIRT-verkenning Nedersaksenlijn; beide trajecten vullen elkaar wederzijds aan.</w:t>
            </w:r>
          </w:p>
          <w:p w:rsidRPr="003E3F1A" w:rsidR="003E3F1A" w:rsidP="00EF0DC4" w14:paraId="5CE298EE" w14:textId="77777777">
            <w:pPr>
              <w:numPr>
                <w:ilvl w:val="0"/>
                <w:numId w:val="8"/>
              </w:numPr>
              <w:spacing w:line="276" w:lineRule="auto"/>
              <w:rPr>
                <w:rFonts w:eastAsia="Times New Roman"/>
              </w:rPr>
            </w:pPr>
            <w:r w:rsidRPr="003E3F1A">
              <w:rPr>
                <w:rFonts w:eastAsia="Times New Roman"/>
              </w:rPr>
              <w:t xml:space="preserve">De regio financiert de verkenning gebiedsontwikkeling en het Rijk financiert de MIRT-verkenning. </w:t>
            </w:r>
          </w:p>
          <w:p w:rsidRPr="003E3F1A" w:rsidR="003E3F1A" w:rsidP="00EF0DC4" w14:paraId="7C11CAE8" w14:textId="77777777">
            <w:pPr>
              <w:numPr>
                <w:ilvl w:val="0"/>
                <w:numId w:val="8"/>
              </w:numPr>
              <w:spacing w:line="276" w:lineRule="auto"/>
              <w:rPr>
                <w:rFonts w:eastAsia="Times New Roman"/>
              </w:rPr>
            </w:pPr>
            <w:r w:rsidRPr="003E3F1A">
              <w:rPr>
                <w:rFonts w:eastAsia="Times New Roman"/>
              </w:rPr>
              <w:t xml:space="preserve">De € 85 miljoen die het Rijk voor Reactivering Veendam-Stadskanaal gereserveerd had vanuit Nij Begun, worden gebruikt voor de Nedersaksenlijn. </w:t>
            </w:r>
          </w:p>
          <w:p w:rsidRPr="00894C60" w:rsidR="003A5519" w:rsidP="00EF0DC4" w14:paraId="15F5CE8C" w14:textId="77777777">
            <w:pPr>
              <w:numPr>
                <w:ilvl w:val="0"/>
                <w:numId w:val="8"/>
              </w:numPr>
              <w:spacing w:line="276" w:lineRule="auto"/>
              <w:rPr>
                <w:rFonts w:eastAsia="Times New Roman"/>
              </w:rPr>
            </w:pPr>
            <w:r w:rsidRPr="00894C60">
              <w:rPr>
                <w:rFonts w:eastAsia="Times New Roman"/>
              </w:rPr>
              <w:t xml:space="preserve">De provincie Groningen reserveert het resterend provinciale budget van Reactivering Veendam-Stadskanaal, </w:t>
            </w:r>
            <w:r w:rsidRPr="00794280">
              <w:rPr>
                <w:rFonts w:eastAsia="Times New Roman"/>
              </w:rPr>
              <w:t xml:space="preserve">onder voorbehoud van goedkeuring door Provinciale Staten Groningen, </w:t>
            </w:r>
            <w:r w:rsidRPr="00894C60">
              <w:rPr>
                <w:rFonts w:eastAsia="Times New Roman"/>
              </w:rPr>
              <w:t>ordegrootte € 65,7 miljoen voor de realisatie van de Nedersaksenlijn. IenW en provincie Groningen maken in de verkenning hierover nadere afspraken.</w:t>
            </w:r>
          </w:p>
          <w:p w:rsidRPr="003E3F1A" w:rsidR="003E3F1A" w:rsidP="00EF0DC4" w14:paraId="55DBE716" w14:textId="77777777">
            <w:pPr>
              <w:numPr>
                <w:ilvl w:val="0"/>
                <w:numId w:val="8"/>
              </w:numPr>
              <w:spacing w:line="276" w:lineRule="auto"/>
              <w:rPr>
                <w:rFonts w:eastAsia="Times New Roman"/>
              </w:rPr>
            </w:pPr>
            <w:r w:rsidRPr="003E3F1A">
              <w:rPr>
                <w:rFonts w:eastAsia="Times New Roman"/>
              </w:rPr>
              <w:t xml:space="preserve">De regio heeft tijdens het Bestuurlijk Overleg Deltaplan op 7 oktober 2024 € 50 miljoen aanvullende cofinanciering toegezegd voor de realisatie van de Nedersaksenlijn. De provincie Drenthe neemt vanuit de regio verantwoordelijkheid voor deze bijdrage. IenW en provincie Drenthe maken in de verkenning hierover nadere afspraken.  </w:t>
            </w:r>
          </w:p>
          <w:p w:rsidRPr="003E3F1A" w:rsidR="003E3F1A" w:rsidP="00EF0DC4" w14:paraId="703D0883" w14:textId="77777777">
            <w:pPr>
              <w:numPr>
                <w:ilvl w:val="0"/>
                <w:numId w:val="8"/>
              </w:numPr>
              <w:spacing w:line="276" w:lineRule="auto"/>
              <w:rPr>
                <w:rFonts w:eastAsia="Times New Roman"/>
              </w:rPr>
            </w:pPr>
            <w:r w:rsidRPr="003E3F1A">
              <w:rPr>
                <w:rFonts w:eastAsia="Times New Roman"/>
              </w:rPr>
              <w:t xml:space="preserve">Daarmee is het taakstellend budget voor de Nedersaksenlijn in totaal circa € 2115 miljoen. Dit bedrag is beschikbaar voor de aanleg voor de Nedersaksenlijn en de studiekosten om tot de aanleg te komen.  </w:t>
            </w:r>
          </w:p>
          <w:p w:rsidRPr="003E3F1A" w:rsidR="003E3DC3" w:rsidP="00EF0DC4" w14:paraId="0147A669" w14:textId="7F9ED87C">
            <w:pPr>
              <w:numPr>
                <w:ilvl w:val="0"/>
                <w:numId w:val="8"/>
              </w:numPr>
              <w:spacing w:line="276" w:lineRule="auto"/>
              <w:rPr>
                <w:rFonts w:eastAsia="Times New Roman"/>
              </w:rPr>
            </w:pPr>
            <w:r w:rsidRPr="003E3F1A">
              <w:rPr>
                <w:rFonts w:eastAsia="Times New Roman"/>
              </w:rPr>
              <w:t>Voor de realisatie van de elektrificatie Almelo-Mariënberg, onderdeel van het tracé van de Nedersaksenlijn, hebben de provincie Overijssel en de Rijksoverheid eerder respectievelijk € 50 miljoen en € 23 miljoen gereserveerd.</w:t>
            </w:r>
          </w:p>
        </w:tc>
      </w:tr>
      <w:tr w:rsidTr="009B7E59" w14:paraId="7368D056" w14:textId="77777777">
        <w:tblPrEx>
          <w:tblW w:w="0" w:type="auto"/>
          <w:tblInd w:w="0" w:type="dxa"/>
          <w:tblLayout w:type="fixed"/>
          <w:tblLook w:val="04A0"/>
        </w:tblPrEx>
        <w:tc>
          <w:tcPr>
            <w:tcW w:w="562" w:type="dxa"/>
          </w:tcPr>
          <w:p w:rsidRPr="00FC0D88" w:rsidR="00FC0D88" w:rsidP="00FC0D88" w14:paraId="6E1E4A4B" w14:textId="77777777">
            <w:pPr>
              <w:spacing w:line="240" w:lineRule="exact"/>
              <w:rPr>
                <w:b/>
                <w:bCs/>
              </w:rPr>
            </w:pPr>
            <w:r w:rsidRPr="00FC0D88">
              <w:rPr>
                <w:b/>
                <w:bCs/>
              </w:rPr>
              <w:t>2</w:t>
            </w:r>
          </w:p>
        </w:tc>
        <w:tc>
          <w:tcPr>
            <w:tcW w:w="8455" w:type="dxa"/>
          </w:tcPr>
          <w:p w:rsidR="00FC0D88" w:rsidP="003E3DC3" w14:paraId="6E742D0D" w14:textId="77777777">
            <w:pPr>
              <w:spacing w:line="240" w:lineRule="exact"/>
              <w:rPr>
                <w:b/>
                <w:bCs/>
              </w:rPr>
            </w:pPr>
            <w:r w:rsidRPr="003E3DC3">
              <w:rPr>
                <w:b/>
                <w:bCs/>
              </w:rPr>
              <w:t>Lelylijn</w:t>
            </w:r>
          </w:p>
          <w:p w:rsidRPr="003E3F1A" w:rsidR="003E3F1A" w:rsidP="00EF0DC4" w14:paraId="6EB006FE" w14:textId="77777777">
            <w:pPr>
              <w:numPr>
                <w:ilvl w:val="0"/>
                <w:numId w:val="9"/>
              </w:numPr>
              <w:spacing w:line="276" w:lineRule="auto"/>
              <w:rPr>
                <w:rFonts w:eastAsia="Times New Roman"/>
              </w:rPr>
            </w:pPr>
            <w:r w:rsidRPr="003E3F1A">
              <w:rPr>
                <w:rFonts w:eastAsia="Times New Roman"/>
              </w:rPr>
              <w:t xml:space="preserve">In het NOVEX-gebied Lelylijn werken Rijk en regio samen aan de ontwikkeling van een nieuwe spoorverbinding tussen het noorden en de Randstad. Naast verbeterde bereikbaarheid werkt de Lelylijn structuurversterkend en biedt kansen voor economische groei, woningbouw en leefbaarheid in Noordelijk Nederland. Daarom is de Lelylijn opgenomen in de Ontwerp-Nota Ruimte 2050, het ontwerp voor de nieuwe Nationale Omgevingsvisie. </w:t>
            </w:r>
          </w:p>
          <w:p w:rsidRPr="003E3F1A" w:rsidR="003E3F1A" w:rsidP="00EF0DC4" w14:paraId="72091E07" w14:textId="77777777">
            <w:pPr>
              <w:numPr>
                <w:ilvl w:val="0"/>
                <w:numId w:val="9"/>
              </w:numPr>
              <w:spacing w:line="276" w:lineRule="auto"/>
              <w:rPr>
                <w:rFonts w:eastAsia="Times New Roman"/>
              </w:rPr>
            </w:pPr>
            <w:r w:rsidRPr="003E3F1A">
              <w:rPr>
                <w:rFonts w:eastAsia="Times New Roman"/>
              </w:rPr>
              <w:t xml:space="preserve">Rijk en regio werken aan het Masterplan Lelylijn, met als doel de benodigde beslisinformatie te leveren voor de stap naar de MIRT-verkenning, waaronder het noodzakelijke zicht op 75% financiering voor het meest voor de hand liggende alternatief. </w:t>
            </w:r>
          </w:p>
          <w:p w:rsidRPr="003E3F1A" w:rsidR="003E3F1A" w:rsidP="00EF0DC4" w14:paraId="62D1F823" w14:textId="77777777">
            <w:pPr>
              <w:numPr>
                <w:ilvl w:val="0"/>
                <w:numId w:val="9"/>
              </w:numPr>
              <w:spacing w:line="276" w:lineRule="auto"/>
              <w:rPr>
                <w:rFonts w:eastAsia="Times New Roman"/>
              </w:rPr>
            </w:pPr>
            <w:r w:rsidRPr="003E3F1A">
              <w:rPr>
                <w:rFonts w:eastAsia="Times New Roman"/>
              </w:rPr>
              <w:t>Rijk en regio hebben de heer Klaas Knot (voormalig president van De Nederlandsche Bank) aangesteld als Lelylijn-gezant. In deze rol zal hij onder meer adviseren over realistische bekostiging en financiering voor de Lelylijn en de kosten daaraan. Hij zal ook kijken naar de geschiktheid van de MIRT-systematiek voor een project van deze omvang. De bevindingen van Klaas Knot zijn een advies aan het volgende kabinet.</w:t>
            </w:r>
          </w:p>
          <w:p w:rsidRPr="003E3F1A" w:rsidR="003E3DC3" w:rsidP="00EF0DC4" w14:paraId="13886A75" w14:textId="793347DF">
            <w:pPr>
              <w:numPr>
                <w:ilvl w:val="0"/>
                <w:numId w:val="9"/>
              </w:numPr>
              <w:spacing w:line="276" w:lineRule="auto"/>
              <w:rPr>
                <w:rFonts w:eastAsia="Times New Roman"/>
              </w:rPr>
            </w:pPr>
            <w:r w:rsidRPr="003E3F1A">
              <w:rPr>
                <w:rFonts w:eastAsia="Times New Roman"/>
              </w:rPr>
              <w:t>Het advies van de Lelylijn-gezant en de resultaten van het Masterplan worden op 30 januari gepresenteerd en besproken met bestuurders, volksvertegenwoordigers en andere betrokkenen op een Lelylijnconferentie.</w:t>
            </w:r>
          </w:p>
        </w:tc>
      </w:tr>
      <w:bookmarkEnd w:id="30"/>
      <w:tr w:rsidTr="009B7E59" w14:paraId="70DCF69E" w14:textId="77777777">
        <w:tblPrEx>
          <w:tblW w:w="0" w:type="auto"/>
          <w:tblInd w:w="0" w:type="dxa"/>
          <w:tblLayout w:type="fixed"/>
          <w:tblLook w:val="04A0"/>
        </w:tblPrEx>
        <w:tc>
          <w:tcPr>
            <w:tcW w:w="562" w:type="dxa"/>
          </w:tcPr>
          <w:p w:rsidRPr="00FC0D88" w:rsidR="00FC0D88" w:rsidP="00FC0D88" w14:paraId="170D582C" w14:textId="77777777">
            <w:pPr>
              <w:spacing w:line="240" w:lineRule="exact"/>
              <w:rPr>
                <w:b/>
                <w:bCs/>
              </w:rPr>
            </w:pPr>
            <w:r w:rsidRPr="00FC0D88">
              <w:rPr>
                <w:b/>
                <w:bCs/>
              </w:rPr>
              <w:t>3</w:t>
            </w:r>
          </w:p>
        </w:tc>
        <w:tc>
          <w:tcPr>
            <w:tcW w:w="8455" w:type="dxa"/>
          </w:tcPr>
          <w:p w:rsidR="0050221C" w:rsidP="003E3DC3" w14:paraId="552C4985" w14:textId="2725BBE4">
            <w:pPr>
              <w:pStyle w:val="Heading3"/>
              <w:rPr>
                <w:rFonts w:ascii="Verdana" w:hAnsi="Verdana"/>
                <w:b/>
                <w:bCs/>
                <w:color w:val="auto"/>
                <w:sz w:val="18"/>
                <w:szCs w:val="18"/>
              </w:rPr>
            </w:pPr>
            <w:bookmarkStart w:name="_Toc217048133" w:id="31"/>
            <w:bookmarkStart w:name="_Toc219197448" w:id="32"/>
            <w:bookmarkStart w:name="_Toc216884632" w:id="33"/>
            <w:r>
              <w:rPr>
                <w:rFonts w:ascii="Verdana" w:hAnsi="Verdana"/>
                <w:b/>
                <w:bCs/>
                <w:color w:val="auto"/>
                <w:sz w:val="18"/>
                <w:szCs w:val="18"/>
              </w:rPr>
              <w:t>WoMo-afspraken Noord-Nederland</w:t>
            </w:r>
            <w:bookmarkEnd w:id="31"/>
            <w:bookmarkEnd w:id="32"/>
          </w:p>
          <w:p w:rsidR="0050221C" w:rsidP="003E3DC3" w14:paraId="0815F7CD" w14:textId="77777777">
            <w:pPr>
              <w:pStyle w:val="Heading3"/>
              <w:rPr>
                <w:rFonts w:ascii="Verdana" w:hAnsi="Verdana"/>
                <w:b/>
                <w:bCs/>
                <w:color w:val="auto"/>
                <w:sz w:val="18"/>
                <w:szCs w:val="18"/>
              </w:rPr>
            </w:pPr>
          </w:p>
          <w:p w:rsidRPr="009A36E6" w:rsidR="003E3DC3" w:rsidP="003E3DC3" w14:paraId="4DE89A3E" w14:textId="79067726">
            <w:pPr>
              <w:pStyle w:val="Heading3"/>
              <w:rPr>
                <w:rFonts w:ascii="Verdana" w:hAnsi="Verdana"/>
                <w:b/>
                <w:bCs/>
                <w:i/>
                <w:iCs/>
                <w:color w:val="auto"/>
                <w:sz w:val="18"/>
                <w:szCs w:val="18"/>
              </w:rPr>
            </w:pPr>
            <w:bookmarkStart w:name="_Toc217048134" w:id="34"/>
            <w:bookmarkStart w:name="_Toc219197449" w:id="35"/>
            <w:r w:rsidRPr="009A36E6">
              <w:rPr>
                <w:rFonts w:ascii="Verdana" w:hAnsi="Verdana"/>
                <w:b/>
                <w:bCs/>
                <w:i/>
                <w:iCs/>
                <w:color w:val="auto"/>
                <w:sz w:val="18"/>
                <w:szCs w:val="18"/>
              </w:rPr>
              <w:t>WoKT-afspraken Noord-Nederland</w:t>
            </w:r>
            <w:bookmarkEnd w:id="33"/>
            <w:bookmarkEnd w:id="34"/>
            <w:bookmarkEnd w:id="35"/>
          </w:p>
          <w:p w:rsidRPr="003E3DC3" w:rsidR="003E3DC3" w:rsidP="003E3DC3" w14:paraId="3E354517" w14:textId="77777777"/>
          <w:tbl>
            <w:tblPr>
              <w:tblStyle w:val="PlainTable1"/>
              <w:tblW w:w="8676" w:type="dxa"/>
              <w:tblInd w:w="126" w:type="dxa"/>
              <w:tblLayout w:type="fixed"/>
              <w:tblLook w:val="04A0"/>
            </w:tblPr>
            <w:tblGrid>
              <w:gridCol w:w="1426"/>
              <w:gridCol w:w="1865"/>
              <w:gridCol w:w="1140"/>
              <w:gridCol w:w="1271"/>
              <w:gridCol w:w="1174"/>
              <w:gridCol w:w="1800"/>
            </w:tblGrid>
            <w:tr w:rsidTr="009656A8" w14:paraId="1C9AC526" w14:textId="77777777">
              <w:tblPrEx>
                <w:tblW w:w="8676" w:type="dxa"/>
                <w:tblInd w:w="126" w:type="dxa"/>
                <w:tblLayout w:type="fixed"/>
                <w:tblLook w:val="04A0"/>
              </w:tblPrEx>
              <w:trPr>
                <w:trHeight w:val="19"/>
              </w:trPr>
              <w:tc>
                <w:tcPr>
                  <w:tcW w:w="1426" w:type="dxa"/>
                  <w:shd w:val="clear" w:color="auto" w:fill="auto"/>
                </w:tcPr>
                <w:p w:rsidRPr="0050221C" w:rsidR="003E3DC3" w:rsidP="003E3DC3" w14:paraId="5CA8D44B" w14:textId="77777777">
                  <w:pPr>
                    <w:rPr>
                      <w:sz w:val="16"/>
                      <w:szCs w:val="16"/>
                      <w:lang w:val="nl-NL"/>
                    </w:rPr>
                  </w:pPr>
                  <w:r w:rsidRPr="0050221C">
                    <w:rPr>
                      <w:sz w:val="16"/>
                      <w:szCs w:val="16"/>
                      <w:lang w:val="nl-NL"/>
                    </w:rPr>
                    <w:t>Naam indienende gemeente/ penvoerder</w:t>
                  </w:r>
                </w:p>
                <w:p w:rsidRPr="0050221C" w:rsidR="003E3DC3" w:rsidP="003E3DC3" w14:paraId="53E53143" w14:textId="77777777">
                  <w:pPr>
                    <w:rPr>
                      <w:sz w:val="16"/>
                      <w:szCs w:val="16"/>
                      <w:lang w:val="nl-NL"/>
                    </w:rPr>
                  </w:pPr>
                  <w:r w:rsidRPr="0050221C">
                    <w:rPr>
                      <w:sz w:val="16"/>
                      <w:szCs w:val="16"/>
                      <w:lang w:val="nl-NL"/>
                    </w:rPr>
                    <w:t xml:space="preserve"> </w:t>
                  </w:r>
                </w:p>
              </w:tc>
              <w:tc>
                <w:tcPr>
                  <w:tcW w:w="1865" w:type="dxa"/>
                  <w:shd w:val="clear" w:color="auto" w:fill="auto"/>
                </w:tcPr>
                <w:p w:rsidRPr="0050221C" w:rsidR="003E3DC3" w:rsidP="003E3DC3" w14:paraId="1A9FC663" w14:textId="77777777">
                  <w:pPr>
                    <w:rPr>
                      <w:sz w:val="16"/>
                      <w:szCs w:val="16"/>
                      <w:lang w:val="nl-NL"/>
                    </w:rPr>
                  </w:pPr>
                  <w:r w:rsidRPr="0050221C">
                    <w:rPr>
                      <w:sz w:val="16"/>
                      <w:szCs w:val="16"/>
                      <w:lang w:val="nl-NL"/>
                    </w:rPr>
                    <w:t>Naam voorstel</w:t>
                  </w:r>
                </w:p>
              </w:tc>
              <w:tc>
                <w:tcPr>
                  <w:tcW w:w="1140" w:type="dxa"/>
                  <w:shd w:val="clear" w:color="auto" w:fill="auto"/>
                </w:tcPr>
                <w:p w:rsidRPr="0050221C" w:rsidR="003E3DC3" w:rsidP="003E3DC3" w14:paraId="7E8A7EC8" w14:textId="77777777">
                  <w:pPr>
                    <w:rPr>
                      <w:sz w:val="16"/>
                      <w:szCs w:val="16"/>
                      <w:lang w:val="nl-NL"/>
                    </w:rPr>
                  </w:pPr>
                  <w:r w:rsidRPr="0050221C">
                    <w:rPr>
                      <w:sz w:val="16"/>
                      <w:szCs w:val="16"/>
                      <w:lang w:val="nl-NL"/>
                    </w:rPr>
                    <w:t xml:space="preserve">Aantal woningen </w:t>
                  </w:r>
                </w:p>
              </w:tc>
              <w:tc>
                <w:tcPr>
                  <w:tcW w:w="1271" w:type="dxa"/>
                  <w:shd w:val="clear" w:color="auto" w:fill="auto"/>
                </w:tcPr>
                <w:p w:rsidRPr="0050221C" w:rsidR="003E3DC3" w:rsidP="003E3DC3" w14:paraId="222EAF0D" w14:textId="77777777">
                  <w:pPr>
                    <w:rPr>
                      <w:sz w:val="16"/>
                      <w:szCs w:val="16"/>
                      <w:lang w:val="nl-NL"/>
                    </w:rPr>
                  </w:pPr>
                  <w:r w:rsidRPr="0050221C">
                    <w:rPr>
                      <w:sz w:val="16"/>
                      <w:szCs w:val="16"/>
                      <w:lang w:val="nl-NL"/>
                    </w:rPr>
                    <w:t>Rijksbijdrage (incl. btw, prijspeil 2025)</w:t>
                  </w:r>
                </w:p>
              </w:tc>
              <w:tc>
                <w:tcPr>
                  <w:tcW w:w="1174" w:type="dxa"/>
                  <w:shd w:val="clear" w:color="auto" w:fill="auto"/>
                </w:tcPr>
                <w:p w:rsidRPr="008D44D3" w:rsidR="003E3DC3" w:rsidP="003E3DC3" w14:paraId="73FE4AE1" w14:textId="77777777">
                  <w:pPr>
                    <w:rPr>
                      <w:sz w:val="16"/>
                      <w:szCs w:val="16"/>
                      <w:lang w:val="nl-NL"/>
                    </w:rPr>
                  </w:pPr>
                  <w:r w:rsidRPr="008D44D3">
                    <w:rPr>
                      <w:sz w:val="16"/>
                      <w:szCs w:val="16"/>
                      <w:lang w:val="nl-NL"/>
                    </w:rPr>
                    <w:t>Regionale bijdrage (incl. btw, prijspeil 2025)</w:t>
                  </w:r>
                </w:p>
              </w:tc>
              <w:tc>
                <w:tcPr>
                  <w:tcW w:w="1800" w:type="dxa"/>
                  <w:shd w:val="clear" w:color="auto" w:fill="auto"/>
                </w:tcPr>
                <w:p w:rsidRPr="008D44D3" w:rsidR="003E3DC3" w:rsidP="003E3DC3" w14:paraId="7D8B8CAD" w14:textId="77777777">
                  <w:pPr>
                    <w:rPr>
                      <w:sz w:val="16"/>
                      <w:szCs w:val="16"/>
                    </w:rPr>
                  </w:pPr>
                  <w:r w:rsidRPr="008D44D3">
                    <w:rPr>
                      <w:sz w:val="16"/>
                      <w:szCs w:val="16"/>
                    </w:rPr>
                    <w:t xml:space="preserve">Maatregelen </w:t>
                  </w:r>
                </w:p>
                <w:p w:rsidRPr="008D44D3" w:rsidR="003E3DC3" w:rsidP="003E3DC3" w14:paraId="6DA0BB43" w14:textId="77777777">
                  <w:pPr>
                    <w:rPr>
                      <w:sz w:val="16"/>
                      <w:szCs w:val="16"/>
                    </w:rPr>
                  </w:pPr>
                </w:p>
                <w:p w:rsidRPr="008D44D3" w:rsidR="003E3DC3" w:rsidP="003E3DC3" w14:paraId="4A3CE144" w14:textId="77777777">
                  <w:pPr>
                    <w:rPr>
                      <w:sz w:val="16"/>
                      <w:szCs w:val="16"/>
                    </w:rPr>
                  </w:pPr>
                </w:p>
              </w:tc>
            </w:tr>
            <w:tr w:rsidTr="009656A8" w14:paraId="2361AAA4" w14:textId="77777777">
              <w:tblPrEx>
                <w:tblW w:w="8676" w:type="dxa"/>
                <w:tblInd w:w="126" w:type="dxa"/>
                <w:tblLayout w:type="fixed"/>
                <w:tblLook w:val="04A0"/>
              </w:tblPrEx>
              <w:trPr>
                <w:trHeight w:val="19"/>
              </w:trPr>
              <w:tc>
                <w:tcPr>
                  <w:tcW w:w="1426" w:type="dxa"/>
                  <w:shd w:val="clear" w:color="auto" w:fill="auto"/>
                  <w:hideMark/>
                </w:tcPr>
                <w:p w:rsidRPr="008D44D3" w:rsidR="003E3DC3" w:rsidP="003E3DC3" w14:paraId="7889F54E" w14:textId="77777777">
                  <w:pPr>
                    <w:rPr>
                      <w:rFonts w:cs="Calibri"/>
                      <w:b w:val="0"/>
                      <w:bCs w:val="0"/>
                      <w:sz w:val="16"/>
                      <w:szCs w:val="16"/>
                    </w:rPr>
                  </w:pPr>
                  <w:r w:rsidRPr="008D44D3">
                    <w:rPr>
                      <w:rFonts w:cs="Calibri"/>
                      <w:b w:val="0"/>
                      <w:bCs w:val="0"/>
                      <w:sz w:val="16"/>
                      <w:szCs w:val="16"/>
                    </w:rPr>
                    <w:t>Leeuwarden</w:t>
                  </w:r>
                </w:p>
              </w:tc>
              <w:tc>
                <w:tcPr>
                  <w:tcW w:w="1865" w:type="dxa"/>
                  <w:shd w:val="clear" w:color="auto" w:fill="auto"/>
                </w:tcPr>
                <w:p w:rsidRPr="008D44D3" w:rsidR="003E3DC3" w:rsidP="003E3DC3" w14:paraId="5F949B82" w14:textId="77777777">
                  <w:pPr>
                    <w:rPr>
                      <w:sz w:val="16"/>
                      <w:szCs w:val="16"/>
                    </w:rPr>
                  </w:pPr>
                  <w:r w:rsidRPr="008D44D3">
                    <w:rPr>
                      <w:rFonts w:cs="Calibri"/>
                      <w:sz w:val="16"/>
                      <w:szCs w:val="16"/>
                    </w:rPr>
                    <w:t>Leeuwarden - Werpsterhoeke</w:t>
                  </w:r>
                </w:p>
              </w:tc>
              <w:tc>
                <w:tcPr>
                  <w:tcW w:w="1140" w:type="dxa"/>
                  <w:shd w:val="clear" w:color="auto" w:fill="auto"/>
                </w:tcPr>
                <w:p w:rsidRPr="008D44D3" w:rsidR="003E3DC3" w:rsidP="003E3DC3" w14:paraId="631EB2E6" w14:textId="77777777">
                  <w:pPr>
                    <w:rPr>
                      <w:sz w:val="16"/>
                      <w:szCs w:val="16"/>
                    </w:rPr>
                  </w:pPr>
                  <w:r w:rsidRPr="008D44D3">
                    <w:rPr>
                      <w:rFonts w:cs="Calibri"/>
                      <w:color w:val="000000"/>
                      <w:sz w:val="16"/>
                      <w:szCs w:val="16"/>
                    </w:rPr>
                    <w:t>1.400</w:t>
                  </w:r>
                </w:p>
              </w:tc>
              <w:tc>
                <w:tcPr>
                  <w:tcW w:w="1271" w:type="dxa"/>
                  <w:shd w:val="clear" w:color="auto" w:fill="auto"/>
                </w:tcPr>
                <w:p w:rsidRPr="008D44D3" w:rsidR="003E3DC3" w:rsidP="003E3DC3" w14:paraId="2BC2183E" w14:textId="77777777">
                  <w:pPr>
                    <w:rPr>
                      <w:sz w:val="16"/>
                      <w:szCs w:val="16"/>
                    </w:rPr>
                  </w:pPr>
                  <w:r w:rsidRPr="008D44D3">
                    <w:rPr>
                      <w:rFonts w:cs="Calibri"/>
                      <w:color w:val="000000"/>
                      <w:sz w:val="16"/>
                      <w:szCs w:val="16"/>
                    </w:rPr>
                    <w:t>€ 3.883.832</w:t>
                  </w:r>
                </w:p>
              </w:tc>
              <w:tc>
                <w:tcPr>
                  <w:tcW w:w="1174" w:type="dxa"/>
                  <w:shd w:val="clear" w:color="auto" w:fill="auto"/>
                </w:tcPr>
                <w:p w:rsidRPr="008D44D3" w:rsidR="003E3DC3" w:rsidP="003E3DC3" w14:paraId="5028D192" w14:textId="77777777">
                  <w:pPr>
                    <w:rPr>
                      <w:sz w:val="16"/>
                      <w:szCs w:val="16"/>
                    </w:rPr>
                  </w:pPr>
                  <w:r w:rsidRPr="008D44D3">
                    <w:rPr>
                      <w:rFonts w:cs="Calibri"/>
                      <w:sz w:val="16"/>
                      <w:szCs w:val="16"/>
                    </w:rPr>
                    <w:t>€ 2.101.804</w:t>
                  </w:r>
                </w:p>
              </w:tc>
              <w:tc>
                <w:tcPr>
                  <w:tcW w:w="1800" w:type="dxa"/>
                  <w:shd w:val="clear" w:color="auto" w:fill="auto"/>
                </w:tcPr>
                <w:p w:rsidRPr="008D44D3" w:rsidR="003E3DC3" w:rsidP="003E3DC3" w14:paraId="48FCC014" w14:textId="77777777">
                  <w:pPr>
                    <w:rPr>
                      <w:sz w:val="16"/>
                      <w:szCs w:val="16"/>
                    </w:rPr>
                  </w:pPr>
                  <w:r w:rsidRPr="008D44D3">
                    <w:rPr>
                      <w:rFonts w:cs="Calibri"/>
                      <w:color w:val="000000"/>
                      <w:sz w:val="16"/>
                      <w:szCs w:val="16"/>
                    </w:rPr>
                    <w:t>Mobiliteitshub</w:t>
                  </w:r>
                </w:p>
              </w:tc>
            </w:tr>
            <w:tr w:rsidTr="009656A8" w14:paraId="62A5F8FE" w14:textId="77777777">
              <w:tblPrEx>
                <w:tblW w:w="8676" w:type="dxa"/>
                <w:tblInd w:w="126" w:type="dxa"/>
                <w:tblLayout w:type="fixed"/>
                <w:tblLook w:val="04A0"/>
              </w:tblPrEx>
              <w:trPr>
                <w:trHeight w:val="19"/>
              </w:trPr>
              <w:tc>
                <w:tcPr>
                  <w:tcW w:w="1426" w:type="dxa"/>
                  <w:shd w:val="clear" w:color="auto" w:fill="auto"/>
                  <w:hideMark/>
                </w:tcPr>
                <w:p w:rsidRPr="008D44D3" w:rsidR="003E3DC3" w:rsidP="003E3DC3" w14:paraId="74DC1437" w14:textId="77777777">
                  <w:pPr>
                    <w:rPr>
                      <w:rFonts w:cs="Calibri"/>
                      <w:b w:val="0"/>
                      <w:bCs w:val="0"/>
                      <w:sz w:val="16"/>
                      <w:szCs w:val="16"/>
                    </w:rPr>
                  </w:pPr>
                  <w:r w:rsidRPr="008D44D3">
                    <w:rPr>
                      <w:rFonts w:cs="Calibri"/>
                      <w:b w:val="0"/>
                      <w:bCs w:val="0"/>
                      <w:sz w:val="16"/>
                      <w:szCs w:val="16"/>
                    </w:rPr>
                    <w:t>Midden-Drenthe</w:t>
                  </w:r>
                </w:p>
              </w:tc>
              <w:tc>
                <w:tcPr>
                  <w:tcW w:w="1865" w:type="dxa"/>
                  <w:shd w:val="clear" w:color="auto" w:fill="auto"/>
                </w:tcPr>
                <w:p w:rsidRPr="008D44D3" w:rsidR="003E3DC3" w:rsidP="003E3DC3" w14:paraId="3A007C7D" w14:textId="77777777">
                  <w:pPr>
                    <w:rPr>
                      <w:sz w:val="16"/>
                      <w:szCs w:val="16"/>
                    </w:rPr>
                  </w:pPr>
                  <w:r w:rsidRPr="008D44D3">
                    <w:rPr>
                      <w:rFonts w:cs="Calibri"/>
                      <w:sz w:val="16"/>
                      <w:szCs w:val="16"/>
                    </w:rPr>
                    <w:t>Wervend perspectief Beilen</w:t>
                  </w:r>
                </w:p>
              </w:tc>
              <w:tc>
                <w:tcPr>
                  <w:tcW w:w="1140" w:type="dxa"/>
                  <w:shd w:val="clear" w:color="auto" w:fill="auto"/>
                </w:tcPr>
                <w:p w:rsidRPr="008D44D3" w:rsidR="003E3DC3" w:rsidP="003E3DC3" w14:paraId="3FB4A0A6" w14:textId="77777777">
                  <w:pPr>
                    <w:rPr>
                      <w:sz w:val="16"/>
                      <w:szCs w:val="16"/>
                    </w:rPr>
                  </w:pPr>
                  <w:r w:rsidRPr="008D44D3">
                    <w:rPr>
                      <w:rFonts w:cs="Calibri"/>
                      <w:color w:val="000000"/>
                      <w:sz w:val="16"/>
                      <w:szCs w:val="16"/>
                    </w:rPr>
                    <w:t>303</w:t>
                  </w:r>
                </w:p>
              </w:tc>
              <w:tc>
                <w:tcPr>
                  <w:tcW w:w="1271" w:type="dxa"/>
                  <w:shd w:val="clear" w:color="auto" w:fill="auto"/>
                </w:tcPr>
                <w:p w:rsidRPr="008D44D3" w:rsidR="003E3DC3" w:rsidP="003E3DC3" w14:paraId="0F83E6F6" w14:textId="77777777">
                  <w:pPr>
                    <w:rPr>
                      <w:sz w:val="16"/>
                      <w:szCs w:val="16"/>
                    </w:rPr>
                  </w:pPr>
                  <w:r w:rsidRPr="008D44D3">
                    <w:rPr>
                      <w:rFonts w:cs="Calibri"/>
                      <w:color w:val="000000"/>
                      <w:sz w:val="16"/>
                      <w:szCs w:val="16"/>
                    </w:rPr>
                    <w:t>€ 3.790.844</w:t>
                  </w:r>
                </w:p>
              </w:tc>
              <w:tc>
                <w:tcPr>
                  <w:tcW w:w="1174" w:type="dxa"/>
                  <w:shd w:val="clear" w:color="auto" w:fill="auto"/>
                </w:tcPr>
                <w:p w:rsidRPr="008D44D3" w:rsidR="003E3DC3" w:rsidP="003E3DC3" w14:paraId="524018FF" w14:textId="77777777">
                  <w:pPr>
                    <w:rPr>
                      <w:sz w:val="16"/>
                      <w:szCs w:val="16"/>
                    </w:rPr>
                  </w:pPr>
                  <w:r w:rsidRPr="008D44D3">
                    <w:rPr>
                      <w:rFonts w:cs="Calibri"/>
                      <w:color w:val="000000"/>
                      <w:sz w:val="16"/>
                      <w:szCs w:val="16"/>
                    </w:rPr>
                    <w:t>€ 2.051.481</w:t>
                  </w:r>
                </w:p>
              </w:tc>
              <w:tc>
                <w:tcPr>
                  <w:tcW w:w="1800" w:type="dxa"/>
                  <w:shd w:val="clear" w:color="auto" w:fill="auto"/>
                </w:tcPr>
                <w:p w:rsidRPr="008D44D3" w:rsidR="003E3DC3" w:rsidP="003E3DC3" w14:paraId="000BE03B" w14:textId="77777777">
                  <w:pPr>
                    <w:rPr>
                      <w:sz w:val="16"/>
                      <w:szCs w:val="16"/>
                      <w:lang w:val="nl-NL"/>
                    </w:rPr>
                  </w:pPr>
                  <w:r w:rsidRPr="008D44D3">
                    <w:rPr>
                      <w:rFonts w:cs="Calibri"/>
                      <w:sz w:val="16"/>
                      <w:szCs w:val="16"/>
                      <w:lang w:val="nl-NL"/>
                    </w:rPr>
                    <w:t>Aanleg ontsluitingsweg, aanleg rotonde, aanleg fietspaden, herinrichting ontsluitingsweg, herinrichting fietspaden</w:t>
                  </w:r>
                </w:p>
              </w:tc>
            </w:tr>
            <w:tr w:rsidTr="009656A8" w14:paraId="02C0E80A" w14:textId="77777777">
              <w:tblPrEx>
                <w:tblW w:w="8676" w:type="dxa"/>
                <w:tblInd w:w="126" w:type="dxa"/>
                <w:tblLayout w:type="fixed"/>
                <w:tblLook w:val="04A0"/>
              </w:tblPrEx>
              <w:trPr>
                <w:trHeight w:val="1087"/>
              </w:trPr>
              <w:tc>
                <w:tcPr>
                  <w:tcW w:w="1426" w:type="dxa"/>
                  <w:shd w:val="clear" w:color="auto" w:fill="auto"/>
                  <w:hideMark/>
                </w:tcPr>
                <w:p w:rsidRPr="008D44D3" w:rsidR="003E3DC3" w:rsidP="003E3DC3" w14:paraId="144E2602" w14:textId="77777777">
                  <w:pPr>
                    <w:rPr>
                      <w:rFonts w:cs="Calibri"/>
                      <w:b w:val="0"/>
                      <w:bCs w:val="0"/>
                      <w:sz w:val="16"/>
                      <w:szCs w:val="16"/>
                    </w:rPr>
                  </w:pPr>
                  <w:r w:rsidRPr="008D44D3">
                    <w:rPr>
                      <w:rFonts w:cs="Calibri"/>
                      <w:b w:val="0"/>
                      <w:bCs w:val="0"/>
                      <w:sz w:val="16"/>
                      <w:szCs w:val="16"/>
                    </w:rPr>
                    <w:t>Westerkwartier</w:t>
                  </w:r>
                </w:p>
              </w:tc>
              <w:tc>
                <w:tcPr>
                  <w:tcW w:w="1865" w:type="dxa"/>
                  <w:shd w:val="clear" w:color="auto" w:fill="auto"/>
                </w:tcPr>
                <w:p w:rsidRPr="008D44D3" w:rsidR="003E3DC3" w:rsidP="003E3DC3" w14:paraId="1514D3E6" w14:textId="77777777">
                  <w:pPr>
                    <w:rPr>
                      <w:sz w:val="16"/>
                      <w:szCs w:val="16"/>
                      <w:lang w:val="nl-NL"/>
                    </w:rPr>
                  </w:pPr>
                  <w:r w:rsidRPr="008D44D3">
                    <w:rPr>
                      <w:rFonts w:cs="Calibri"/>
                      <w:sz w:val="16"/>
                      <w:szCs w:val="16"/>
                      <w:lang w:val="nl-NL"/>
                    </w:rPr>
                    <w:t>Regionale verkeersontsluiting</w:t>
                  </w:r>
                  <w:r w:rsidRPr="008D44D3">
                    <w:rPr>
                      <w:rFonts w:cs="Calibri"/>
                      <w:sz w:val="16"/>
                      <w:szCs w:val="16"/>
                      <w:lang w:val="nl-NL"/>
                    </w:rPr>
                    <w:br/>
                    <w:t>Leek/Tolbert-Roden</w:t>
                  </w:r>
                </w:p>
              </w:tc>
              <w:tc>
                <w:tcPr>
                  <w:tcW w:w="1140" w:type="dxa"/>
                  <w:shd w:val="clear" w:color="auto" w:fill="auto"/>
                </w:tcPr>
                <w:p w:rsidRPr="000E1070" w:rsidR="003E3DC3" w:rsidP="003E3DC3" w14:paraId="5B11E8BB" w14:textId="77777777">
                  <w:pPr>
                    <w:rPr>
                      <w:sz w:val="16"/>
                      <w:szCs w:val="16"/>
                      <w:lang w:val="nl-NL"/>
                    </w:rPr>
                  </w:pPr>
                  <w:r w:rsidRPr="000E1070">
                    <w:rPr>
                      <w:rFonts w:cs="Calibri"/>
                      <w:color w:val="000000"/>
                      <w:sz w:val="16"/>
                      <w:szCs w:val="16"/>
                      <w:lang w:val="nl-NL"/>
                    </w:rPr>
                    <w:t>440</w:t>
                  </w:r>
                </w:p>
              </w:tc>
              <w:tc>
                <w:tcPr>
                  <w:tcW w:w="1271" w:type="dxa"/>
                  <w:shd w:val="clear" w:color="auto" w:fill="auto"/>
                </w:tcPr>
                <w:p w:rsidRPr="000E1070" w:rsidR="003E3DC3" w:rsidP="003E3DC3" w14:paraId="591A4764" w14:textId="77777777">
                  <w:pPr>
                    <w:rPr>
                      <w:sz w:val="16"/>
                      <w:szCs w:val="16"/>
                      <w:lang w:val="nl-NL"/>
                    </w:rPr>
                  </w:pPr>
                  <w:r w:rsidRPr="000E1070">
                    <w:rPr>
                      <w:rFonts w:cs="Calibri"/>
                      <w:color w:val="000000"/>
                      <w:sz w:val="16"/>
                      <w:szCs w:val="16"/>
                      <w:lang w:val="nl-NL"/>
                    </w:rPr>
                    <w:t>€ 1.504.938</w:t>
                  </w:r>
                </w:p>
              </w:tc>
              <w:tc>
                <w:tcPr>
                  <w:tcW w:w="1174" w:type="dxa"/>
                  <w:shd w:val="clear" w:color="auto" w:fill="auto"/>
                </w:tcPr>
                <w:p w:rsidRPr="000E1070" w:rsidR="003E3DC3" w:rsidP="003E3DC3" w14:paraId="6031B206" w14:textId="77777777">
                  <w:pPr>
                    <w:rPr>
                      <w:sz w:val="16"/>
                      <w:szCs w:val="16"/>
                      <w:lang w:val="nl-NL"/>
                    </w:rPr>
                  </w:pPr>
                  <w:r w:rsidRPr="000E1070">
                    <w:rPr>
                      <w:rFonts w:cs="Calibri"/>
                      <w:color w:val="000000"/>
                      <w:sz w:val="16"/>
                      <w:szCs w:val="16"/>
                      <w:lang w:val="nl-NL"/>
                    </w:rPr>
                    <w:t>€ 1.512.500</w:t>
                  </w:r>
                </w:p>
              </w:tc>
              <w:tc>
                <w:tcPr>
                  <w:tcW w:w="1800" w:type="dxa"/>
                  <w:shd w:val="clear" w:color="auto" w:fill="auto"/>
                </w:tcPr>
                <w:p w:rsidRPr="000E1070" w:rsidR="003E3DC3" w:rsidP="003E3DC3" w14:paraId="6D878331" w14:textId="77777777">
                  <w:pPr>
                    <w:rPr>
                      <w:sz w:val="16"/>
                      <w:szCs w:val="16"/>
                      <w:lang w:val="nl-NL"/>
                    </w:rPr>
                  </w:pPr>
                  <w:r w:rsidRPr="000E1070">
                    <w:rPr>
                      <w:rFonts w:cs="Calibri"/>
                      <w:sz w:val="16"/>
                      <w:szCs w:val="16"/>
                      <w:lang w:val="nl-NL"/>
                    </w:rPr>
                    <w:t>Herinrichting rotondes, herinrichten ontsluitingsweg</w:t>
                  </w:r>
                </w:p>
              </w:tc>
            </w:tr>
          </w:tbl>
          <w:p w:rsidR="008F1F25" w:rsidP="003E3DC3" w14:paraId="38FA78C6" w14:textId="0E7BD3C9">
            <w:pPr>
              <w:spacing w:line="240" w:lineRule="exact"/>
            </w:pPr>
            <w:r>
              <w:t xml:space="preserve">   </w:t>
            </w:r>
          </w:p>
          <w:p w:rsidRPr="009A36E6" w:rsidR="008F1F25" w:rsidP="008F1F25" w14:paraId="694BC862" w14:textId="77777777">
            <w:pPr>
              <w:spacing w:line="240" w:lineRule="exact"/>
              <w:rPr>
                <w:u w:val="single"/>
              </w:rPr>
            </w:pPr>
            <w:r w:rsidRPr="009A36E6">
              <w:rPr>
                <w:rFonts w:eastAsiaTheme="majorEastAsia" w:cstheme="majorBidi"/>
                <w:color w:val="auto"/>
                <w:u w:val="single"/>
              </w:rPr>
              <w:t>Onderzoek effect van de toepassing van rendementseisen bij de WoKT-regeling</w:t>
            </w:r>
          </w:p>
          <w:p w:rsidR="008F1F25" w:rsidP="00EF0DC4" w14:paraId="123DC203" w14:textId="77777777">
            <w:pPr>
              <w:numPr>
                <w:ilvl w:val="0"/>
                <w:numId w:val="25"/>
              </w:numPr>
              <w:spacing w:line="276" w:lineRule="auto"/>
              <w:rPr>
                <w:rFonts w:eastAsia="Times New Roman"/>
              </w:rPr>
            </w:pPr>
            <w:r>
              <w:rPr>
                <w:rFonts w:eastAsia="Times New Roman"/>
              </w:rPr>
              <w:t>Rijk en regio onderzoeken gezamenlijk wat het effect is van de toepassing van generieke rendementseisen voor de landelijke WoKT-regeling op de WoKT-voorstellen in de provincies Groningen, Fryslân, Drenthe en Zeeland ten opzichte van de WoKT-voorstellen uit andere provincies.</w:t>
            </w:r>
          </w:p>
          <w:p w:rsidRPr="00EF0DC4" w:rsidR="008F1F25" w:rsidP="00EF0DC4" w14:paraId="6648BA7D" w14:textId="77777777">
            <w:pPr>
              <w:numPr>
                <w:ilvl w:val="0"/>
                <w:numId w:val="25"/>
              </w:numPr>
              <w:spacing w:line="276" w:lineRule="auto"/>
              <w:rPr>
                <w:rFonts w:eastAsia="Times New Roman"/>
              </w:rPr>
            </w:pPr>
            <w:r>
              <w:rPr>
                <w:rFonts w:eastAsia="Times New Roman"/>
              </w:rPr>
              <w:t xml:space="preserve">In dit onderzoek zal gekeken worden naar de spanning op de woningmarkt, grondexploitaties, benodigde binnen- en bovenplanse infrastructuurinvesteringen, de opbouw van de investeringen van de ingediende voorstellen en de publieke onrendabele </w:t>
            </w:r>
            <w:r w:rsidRPr="00EF0DC4">
              <w:rPr>
                <w:rFonts w:eastAsia="Times New Roman"/>
              </w:rPr>
              <w:t xml:space="preserve">top. </w:t>
            </w:r>
          </w:p>
          <w:p w:rsidRPr="00EF0DC4" w:rsidR="00EF0DC4" w:rsidP="00EF0DC4" w14:paraId="2EEE7488" w14:textId="7A4F1966">
            <w:pPr>
              <w:numPr>
                <w:ilvl w:val="0"/>
                <w:numId w:val="25"/>
              </w:numPr>
              <w:autoSpaceDN/>
              <w:textAlignment w:val="auto"/>
              <w:rPr>
                <w:rFonts w:eastAsia="Times New Roman" w:cstheme="minorBidi"/>
                <w:color w:val="auto"/>
                <w:lang w:eastAsia="en-US"/>
              </w:rPr>
            </w:pPr>
            <w:r w:rsidRPr="00EF0DC4">
              <w:rPr>
                <w:rFonts w:eastAsia="Times New Roman"/>
              </w:rPr>
              <w:t>Onderdeel van dit onderzoek is de vraag of een landelijke WoMo-regeling met generieke criteria recht kan doen aan de verschillen in woningbouwopgaven in verschillende regio’s, mede in het licht van de activiteiten in het kader van Elke Regio Telt.</w:t>
            </w:r>
          </w:p>
          <w:p w:rsidR="008F1F25" w:rsidP="00EF0DC4" w14:paraId="0F273F9B" w14:textId="77777777">
            <w:pPr>
              <w:numPr>
                <w:ilvl w:val="0"/>
                <w:numId w:val="25"/>
              </w:numPr>
              <w:spacing w:line="276" w:lineRule="auto"/>
              <w:rPr>
                <w:rFonts w:eastAsia="Times New Roman"/>
              </w:rPr>
            </w:pPr>
            <w:r>
              <w:rPr>
                <w:rFonts w:eastAsia="Times New Roman"/>
              </w:rPr>
              <w:t>Rijk en regio werken gezamenlijk de onderzoeksopzet uit.</w:t>
            </w:r>
          </w:p>
          <w:p w:rsidR="008F1F25" w:rsidP="00EF0DC4" w14:paraId="061C8750" w14:textId="351BC572">
            <w:pPr>
              <w:numPr>
                <w:ilvl w:val="0"/>
                <w:numId w:val="25"/>
              </w:numPr>
              <w:spacing w:line="276" w:lineRule="auto"/>
              <w:rPr>
                <w:rFonts w:eastAsia="Times New Roman"/>
              </w:rPr>
            </w:pPr>
            <w:r>
              <w:rPr>
                <w:rFonts w:eastAsia="Times New Roman"/>
              </w:rPr>
              <w:t>Uiterlijk in het BOL voorjaar 2026 zullen de resultaten van dit onderzoek worden besproken</w:t>
            </w:r>
            <w:r w:rsidR="00483F3D">
              <w:rPr>
                <w:rFonts w:eastAsia="Times New Roman"/>
              </w:rPr>
              <w:t xml:space="preserve"> in de betreffende landsdelen</w:t>
            </w:r>
            <w:r>
              <w:rPr>
                <w:rFonts w:eastAsia="Times New Roman"/>
              </w:rPr>
              <w:t>.</w:t>
            </w:r>
          </w:p>
          <w:p w:rsidRPr="008F1F25" w:rsidR="008F1F25" w:rsidP="00EF0DC4" w14:paraId="0B4175AB" w14:textId="26437CEE">
            <w:pPr>
              <w:numPr>
                <w:ilvl w:val="0"/>
                <w:numId w:val="25"/>
              </w:numPr>
              <w:spacing w:line="276" w:lineRule="auto"/>
              <w:rPr>
                <w:rFonts w:eastAsia="Times New Roman"/>
              </w:rPr>
            </w:pPr>
            <w:r w:rsidRPr="008F1F25">
              <w:t>Of en hoe de uitkomsten van dit onderzoek betrokken worden bij het alloceren van middelen in de toekomst, is ter beoordeling van een nieuw kabinet.</w:t>
            </w:r>
          </w:p>
          <w:p w:rsidRPr="008F1F25" w:rsidR="008F1F25" w:rsidP="008F1F25" w14:paraId="323C0F74" w14:textId="68702448">
            <w:pPr>
              <w:spacing w:line="276" w:lineRule="auto"/>
              <w:ind w:left="360"/>
              <w:rPr>
                <w:rFonts w:eastAsia="Times New Roman"/>
              </w:rPr>
            </w:pPr>
          </w:p>
          <w:p w:rsidRPr="009A36E6" w:rsidR="0050221C" w:rsidP="003E3DC3" w14:paraId="0152365A" w14:textId="21F46CB1">
            <w:pPr>
              <w:spacing w:line="240" w:lineRule="exact"/>
              <w:rPr>
                <w:b/>
                <w:bCs/>
                <w:i/>
                <w:iCs/>
              </w:rPr>
            </w:pPr>
            <w:r w:rsidRPr="009A36E6">
              <w:rPr>
                <w:b/>
                <w:bCs/>
                <w:i/>
                <w:iCs/>
              </w:rPr>
              <w:t>Grootschalige woningbouw Noord-Nederland</w:t>
            </w:r>
          </w:p>
          <w:p w:rsidRPr="009A36E6" w:rsidR="008F1F25" w:rsidP="008F1F25" w14:paraId="1A1B50E9" w14:textId="77777777">
            <w:pPr>
              <w:pStyle w:val="Heading3"/>
              <w:rPr>
                <w:rFonts w:ascii="Verdana" w:hAnsi="Verdana"/>
                <w:color w:val="auto"/>
                <w:sz w:val="18"/>
                <w:szCs w:val="18"/>
                <w:u w:val="single"/>
              </w:rPr>
            </w:pPr>
            <w:bookmarkStart w:name="_Toc217048135" w:id="36"/>
            <w:bookmarkStart w:name="_Toc219197450" w:id="37"/>
            <w:r w:rsidRPr="009A36E6">
              <w:rPr>
                <w:rFonts w:ascii="Verdana" w:hAnsi="Verdana"/>
                <w:color w:val="auto"/>
                <w:sz w:val="18"/>
                <w:szCs w:val="18"/>
                <w:u w:val="single"/>
              </w:rPr>
              <w:t>Groningen Suikerzijde</w:t>
            </w:r>
            <w:bookmarkEnd w:id="36"/>
            <w:bookmarkEnd w:id="37"/>
          </w:p>
          <w:p w:rsidR="008F1F25" w:rsidP="00EF0DC4" w14:paraId="55924DC4" w14:textId="77777777">
            <w:pPr>
              <w:numPr>
                <w:ilvl w:val="0"/>
                <w:numId w:val="25"/>
              </w:numPr>
              <w:spacing w:line="276" w:lineRule="auto"/>
              <w:rPr>
                <w:rFonts w:eastAsia="Times New Roman"/>
              </w:rPr>
            </w:pPr>
            <w:r w:rsidRPr="00A73F95">
              <w:rPr>
                <w:rFonts w:eastAsia="Times New Roman"/>
              </w:rPr>
              <w:t xml:space="preserve">In het nationaal grootschalige woningbouwgebied Groningen Suikerzijde worden tot en met 2030 4.300 woningen gebouwd, zoals afgesproken in het BO MIRT 2022. </w:t>
            </w:r>
          </w:p>
          <w:p w:rsidR="0050221C" w:rsidP="00EF0DC4" w14:paraId="649B15C5" w14:textId="77777777">
            <w:pPr>
              <w:numPr>
                <w:ilvl w:val="0"/>
                <w:numId w:val="25"/>
              </w:numPr>
              <w:spacing w:line="276" w:lineRule="auto"/>
              <w:rPr>
                <w:rFonts w:eastAsia="Times New Roman"/>
              </w:rPr>
            </w:pPr>
            <w:r w:rsidRPr="008F1F25">
              <w:rPr>
                <w:rFonts w:eastAsia="Times New Roman"/>
              </w:rPr>
              <w:t>Het Rijk reserveert voor dit gebied een aanvullende bijdrage van ca € 27 miljoen vanuit het gebiedsbudget voor maatregelen ten behoeve van toekomstbestendigheid, (her)inrichting openbare ruimte en verwerving/verplaatsing van bedrijven onder voorwaarde dat de regio minimaal eenzelfde bijdrage reserveert.</w:t>
            </w:r>
          </w:p>
          <w:p w:rsidR="008F1F25" w:rsidP="008F1F25" w14:paraId="6B7AA078" w14:textId="77777777">
            <w:pPr>
              <w:spacing w:line="276" w:lineRule="auto"/>
              <w:rPr>
                <w:rFonts w:eastAsia="Times New Roman"/>
              </w:rPr>
            </w:pPr>
          </w:p>
          <w:p w:rsidRPr="009A36E6" w:rsidR="008F1F25" w:rsidP="008F1F25" w14:paraId="47636B05" w14:textId="77777777">
            <w:pPr>
              <w:pStyle w:val="Heading3"/>
              <w:rPr>
                <w:rFonts w:ascii="Verdana" w:hAnsi="Verdana"/>
                <w:color w:val="auto"/>
                <w:sz w:val="18"/>
                <w:szCs w:val="18"/>
                <w:u w:val="single"/>
              </w:rPr>
            </w:pPr>
            <w:bookmarkStart w:name="_Toc217048136" w:id="38"/>
            <w:bookmarkStart w:name="_Toc219197451" w:id="39"/>
            <w:r w:rsidRPr="009A36E6">
              <w:rPr>
                <w:rFonts w:ascii="Verdana" w:hAnsi="Verdana"/>
                <w:color w:val="auto"/>
                <w:sz w:val="18"/>
                <w:szCs w:val="18"/>
                <w:u w:val="single"/>
              </w:rPr>
              <w:t>Groningen Stadshavens/Eemskanaalzone</w:t>
            </w:r>
            <w:bookmarkEnd w:id="38"/>
            <w:bookmarkEnd w:id="39"/>
          </w:p>
          <w:p w:rsidR="008F1F25" w:rsidP="00EF0DC4" w14:paraId="7AAB7890" w14:textId="77777777">
            <w:pPr>
              <w:numPr>
                <w:ilvl w:val="0"/>
                <w:numId w:val="25"/>
              </w:numPr>
              <w:spacing w:line="276" w:lineRule="auto"/>
              <w:rPr>
                <w:rFonts w:eastAsia="Times New Roman"/>
              </w:rPr>
            </w:pPr>
            <w:r w:rsidRPr="00A73F95">
              <w:rPr>
                <w:rFonts w:eastAsia="Times New Roman"/>
              </w:rPr>
              <w:t>In het nationaal grootschalige woningbouwgebied Groningen Stadshavens/Eemskanaalzone worden tot en met 2030 4.150 woningen gebouwd, zoals afgesproken in het BO MIRT 2022.</w:t>
            </w:r>
          </w:p>
          <w:p w:rsidRPr="008F1F25" w:rsidR="008F1F25" w:rsidP="00EF0DC4" w14:paraId="49A24279" w14:textId="78F229D9">
            <w:pPr>
              <w:numPr>
                <w:ilvl w:val="0"/>
                <w:numId w:val="25"/>
              </w:numPr>
              <w:spacing w:line="276" w:lineRule="auto"/>
              <w:rPr>
                <w:rFonts w:eastAsia="Times New Roman"/>
                <w:u w:val="single"/>
              </w:rPr>
            </w:pPr>
            <w:r w:rsidRPr="008F1F25">
              <w:rPr>
                <w:rFonts w:eastAsia="Times New Roman"/>
              </w:rPr>
              <w:t>Het Rijk reserveert voor dit gebied een aanvullende bijdrage van ca € 40,5 miljoen vanuit het gebiedsbudget voor maatregelen ten behoeve van toekomstbestendigheid en (her)inrichting openbare ruimte onder voorwaarde dat de regio minimaal eenzelfde bijdrage reserveert.</w:t>
            </w:r>
          </w:p>
        </w:tc>
      </w:tr>
      <w:tr w:rsidTr="009B7E59" w14:paraId="4047499E" w14:textId="77777777">
        <w:tblPrEx>
          <w:tblW w:w="0" w:type="auto"/>
          <w:tblInd w:w="0" w:type="dxa"/>
          <w:tblLayout w:type="fixed"/>
          <w:tblLook w:val="04A0"/>
        </w:tblPrEx>
        <w:tc>
          <w:tcPr>
            <w:tcW w:w="562" w:type="dxa"/>
          </w:tcPr>
          <w:p w:rsidRPr="00FC0D88" w:rsidR="00FC0D88" w:rsidP="00FC0D88" w14:paraId="6054CCBD" w14:textId="7673E691">
            <w:pPr>
              <w:spacing w:line="240" w:lineRule="exact"/>
              <w:rPr>
                <w:b/>
                <w:bCs/>
              </w:rPr>
            </w:pPr>
            <w:r>
              <w:rPr>
                <w:b/>
                <w:bCs/>
              </w:rPr>
              <w:t>4</w:t>
            </w:r>
          </w:p>
        </w:tc>
        <w:tc>
          <w:tcPr>
            <w:tcW w:w="8455" w:type="dxa"/>
          </w:tcPr>
          <w:p w:rsidR="00FC0D88" w:rsidP="003E3DC3" w14:paraId="2FCD37FB" w14:textId="77777777">
            <w:pPr>
              <w:spacing w:line="240" w:lineRule="exact"/>
              <w:rPr>
                <w:rFonts w:eastAsia="Calibri"/>
                <w:b/>
                <w:bCs/>
                <w:color w:val="auto"/>
              </w:rPr>
            </w:pPr>
            <w:r w:rsidRPr="00A73F95">
              <w:rPr>
                <w:rFonts w:eastAsia="Calibri"/>
                <w:b/>
                <w:bCs/>
                <w:color w:val="auto"/>
              </w:rPr>
              <w:t>Ruimtelijk Arrangement Rijk – Groningen</w:t>
            </w:r>
          </w:p>
          <w:p w:rsidRPr="003E3DC3" w:rsidR="003E3DC3" w:rsidP="00EF0DC4" w14:paraId="09092E71" w14:textId="3E4F6CBA">
            <w:pPr>
              <w:pStyle w:val="ListParagraph"/>
              <w:numPr>
                <w:ilvl w:val="0"/>
                <w:numId w:val="7"/>
              </w:numPr>
              <w:spacing w:line="240" w:lineRule="exact"/>
              <w:rPr>
                <w:i/>
                <w:iCs/>
                <w:u w:val="single"/>
              </w:rPr>
            </w:pPr>
            <w:r w:rsidRPr="003E3DC3">
              <w:rPr>
                <w:rFonts w:eastAsia="Times New Roman"/>
              </w:rPr>
              <w:t>Rijk en provincie Groningen stellen het Ruimtelijk Arrangement Rijk – Groningen 2025 vast</w:t>
            </w:r>
          </w:p>
        </w:tc>
      </w:tr>
      <w:tr w:rsidTr="009B7E59" w14:paraId="0C3108D7" w14:textId="77777777">
        <w:tblPrEx>
          <w:tblW w:w="0" w:type="auto"/>
          <w:tblInd w:w="0" w:type="dxa"/>
          <w:tblLayout w:type="fixed"/>
          <w:tblLook w:val="04A0"/>
        </w:tblPrEx>
        <w:tc>
          <w:tcPr>
            <w:tcW w:w="562" w:type="dxa"/>
          </w:tcPr>
          <w:p w:rsidRPr="00550B59" w:rsidR="00550B59" w:rsidP="00FC0D88" w14:paraId="474DD50F" w14:textId="4AB42BCB">
            <w:pPr>
              <w:spacing w:line="240" w:lineRule="exact"/>
              <w:rPr>
                <w:b/>
                <w:bCs/>
              </w:rPr>
            </w:pPr>
            <w:r>
              <w:rPr>
                <w:b/>
                <w:bCs/>
              </w:rPr>
              <w:t>5</w:t>
            </w:r>
          </w:p>
        </w:tc>
        <w:tc>
          <w:tcPr>
            <w:tcW w:w="8455" w:type="dxa"/>
          </w:tcPr>
          <w:p w:rsidR="00550B59" w:rsidP="003E3DC3" w14:paraId="39F91751" w14:textId="77777777">
            <w:pPr>
              <w:pStyle w:val="Heading2"/>
              <w:rPr>
                <w:rFonts w:ascii="Verdana" w:hAnsi="Verdana" w:eastAsia="Calibri"/>
                <w:b/>
                <w:bCs/>
                <w:color w:val="auto"/>
                <w:sz w:val="18"/>
                <w:szCs w:val="18"/>
              </w:rPr>
            </w:pPr>
            <w:bookmarkStart w:name="_Toc216884636" w:id="40"/>
            <w:bookmarkStart w:name="_Toc217048137" w:id="41"/>
            <w:bookmarkStart w:name="_Toc219197452" w:id="42"/>
            <w:r w:rsidRPr="003E3DC3">
              <w:rPr>
                <w:rFonts w:ascii="Verdana" w:hAnsi="Verdana" w:eastAsia="Calibri"/>
                <w:b/>
                <w:bCs/>
                <w:color w:val="auto"/>
                <w:sz w:val="18"/>
                <w:szCs w:val="18"/>
              </w:rPr>
              <w:t>NOVEX-gebied Regio Groningen-Assen (RGA)</w:t>
            </w:r>
            <w:bookmarkEnd w:id="40"/>
            <w:bookmarkEnd w:id="41"/>
            <w:bookmarkEnd w:id="42"/>
            <w:r w:rsidRPr="003E3DC3">
              <w:rPr>
                <w:rFonts w:ascii="Verdana" w:hAnsi="Verdana" w:eastAsia="Calibri"/>
                <w:b/>
                <w:bCs/>
                <w:color w:val="auto"/>
                <w:sz w:val="18"/>
                <w:szCs w:val="18"/>
              </w:rPr>
              <w:t xml:space="preserve"> </w:t>
            </w:r>
          </w:p>
          <w:p w:rsidRPr="00A73F95" w:rsidR="003E3DC3" w:rsidP="00EF0DC4" w14:paraId="72B4A85B" w14:textId="77777777">
            <w:pPr>
              <w:numPr>
                <w:ilvl w:val="0"/>
                <w:numId w:val="11"/>
              </w:numPr>
              <w:spacing w:line="276" w:lineRule="auto"/>
              <w:rPr>
                <w:rFonts w:eastAsia="Times New Roman"/>
              </w:rPr>
            </w:pPr>
            <w:r w:rsidRPr="00A73F95">
              <w:rPr>
                <w:rFonts w:eastAsia="Times New Roman"/>
              </w:rPr>
              <w:t xml:space="preserve">Rijk en regio stellen de NOVEX-RGA Uitvoeringsagenda 2.0 vast en nemen kennis van de contouren van de Regionale Investeringsagenda. </w:t>
            </w:r>
          </w:p>
          <w:p w:rsidRPr="00A73F95" w:rsidR="003E3DC3" w:rsidP="00EF0DC4" w14:paraId="17AB9157" w14:textId="77777777">
            <w:pPr>
              <w:numPr>
                <w:ilvl w:val="0"/>
                <w:numId w:val="11"/>
              </w:numPr>
              <w:spacing w:line="276" w:lineRule="auto"/>
              <w:rPr>
                <w:rFonts w:eastAsia="Times New Roman"/>
              </w:rPr>
            </w:pPr>
            <w:r w:rsidRPr="00A73F95">
              <w:rPr>
                <w:rFonts w:eastAsia="Times New Roman"/>
              </w:rPr>
              <w:t>Rijk en regio gebruiken de nu voorliggende UA 2.0 als basis voor de jaarlijkse herijking richting BO’s in 2026 en verder.</w:t>
            </w:r>
          </w:p>
          <w:p w:rsidRPr="003E3DC3" w:rsidR="003E3DC3" w:rsidP="00EF0DC4" w14:paraId="0FF3848F" w14:textId="523AB808">
            <w:pPr>
              <w:numPr>
                <w:ilvl w:val="0"/>
                <w:numId w:val="11"/>
              </w:numPr>
              <w:spacing w:line="276" w:lineRule="auto"/>
              <w:rPr>
                <w:rFonts w:eastAsia="Times New Roman"/>
              </w:rPr>
            </w:pPr>
            <w:r w:rsidRPr="00A73F95">
              <w:rPr>
                <w:rFonts w:eastAsia="Times New Roman"/>
              </w:rPr>
              <w:t>Rijk en Regio concretiseren de Regionale Investeringsagenda en agenderen op het BOL 2026 een volgende versie.</w:t>
            </w:r>
          </w:p>
        </w:tc>
      </w:tr>
    </w:tbl>
    <w:p w:rsidRPr="00FC0D88" w:rsidR="00FC0D88" w:rsidP="00FC0D88" w14:paraId="0FAE15E4" w14:textId="77777777">
      <w:pPr>
        <w:autoSpaceDN w:val="0"/>
        <w:spacing w:after="0" w:line="240" w:lineRule="exact"/>
        <w:textAlignment w:val="baseline"/>
        <w:rPr>
          <w:rFonts w:eastAsia="DejaVu Sans" w:cs="Lohit Hindi"/>
          <w:b/>
          <w:bCs/>
          <w:color w:val="000000"/>
          <w:szCs w:val="18"/>
          <w:lang w:val="nl-NL" w:eastAsia="nl-NL"/>
        </w:rPr>
      </w:pPr>
    </w:p>
    <w:p w:rsidRPr="00FC0D88" w:rsidR="00FC0D88" w:rsidP="00FC0D88" w14:paraId="47E0C7F7" w14:textId="07F5242B">
      <w:pPr>
        <w:pStyle w:val="Heading1"/>
        <w:rPr>
          <w:rFonts w:eastAsia="DejaVu Sans"/>
          <w:lang w:val="nl-NL" w:eastAsia="nl-NL"/>
        </w:rPr>
      </w:pPr>
      <w:bookmarkStart w:name="_Toc219197453" w:id="43"/>
      <w:r w:rsidRPr="00FC0D88">
        <w:rPr>
          <w:rFonts w:eastAsia="DejaVu Sans"/>
          <w:lang w:val="nl-NL" w:eastAsia="nl-NL"/>
        </w:rPr>
        <w:t xml:space="preserve">Regio </w:t>
      </w:r>
      <w:r>
        <w:rPr>
          <w:rFonts w:eastAsia="DejaVu Sans"/>
          <w:lang w:val="nl-NL" w:eastAsia="nl-NL"/>
        </w:rPr>
        <w:t>Zuid</w:t>
      </w:r>
      <w:r w:rsidRPr="00FC0D88">
        <w:rPr>
          <w:rFonts w:eastAsia="DejaVu Sans"/>
          <w:lang w:val="nl-NL" w:eastAsia="nl-NL"/>
        </w:rPr>
        <w:t>-Ned</w:t>
      </w:r>
      <w:r w:rsidRPr="00FC0D88">
        <w:rPr>
          <w:rFonts w:eastAsia="DejaVu Sans"/>
          <w:lang w:val="nl-NL" w:eastAsia="nl-NL"/>
        </w:rPr>
        <w:t>erland</w:t>
      </w:r>
      <w:bookmarkEnd w:id="43"/>
    </w:p>
    <w:p w:rsidRPr="00FC0D88" w:rsidR="00FC0D88" w:rsidP="00FC0D88" w14:paraId="156423B4" w14:textId="77777777">
      <w:pPr>
        <w:autoSpaceDN w:val="0"/>
        <w:spacing w:after="0" w:line="240" w:lineRule="exact"/>
        <w:textAlignment w:val="baseline"/>
        <w:rPr>
          <w:rFonts w:eastAsia="DejaVu Sans" w:cs="Lohit Hindi"/>
          <w:b/>
          <w:bCs/>
          <w:color w:val="000000"/>
          <w:szCs w:val="18"/>
          <w:lang w:val="nl-NL" w:eastAsia="nl-NL"/>
        </w:rPr>
      </w:pPr>
    </w:p>
    <w:tbl>
      <w:tblPr>
        <w:tblStyle w:val="TableGrid"/>
        <w:tblW w:w="0" w:type="auto"/>
        <w:tblInd w:w="0" w:type="dxa"/>
        <w:tblLook w:val="04A0"/>
      </w:tblPr>
      <w:tblGrid>
        <w:gridCol w:w="341"/>
        <w:gridCol w:w="8676"/>
      </w:tblGrid>
      <w:tr w:rsidTr="00863C28" w14:paraId="40E40798" w14:textId="77777777">
        <w:tblPrEx>
          <w:tblW w:w="0" w:type="auto"/>
          <w:tblInd w:w="0" w:type="dxa"/>
          <w:tblLook w:val="04A0"/>
        </w:tblPrEx>
        <w:tc>
          <w:tcPr>
            <w:tcW w:w="341" w:type="dxa"/>
          </w:tcPr>
          <w:p w:rsidRPr="00FC0D88" w:rsidR="00CA79CE" w:rsidP="00CA79CE" w14:paraId="0154B124" w14:textId="603F4108">
            <w:pPr>
              <w:spacing w:line="240" w:lineRule="exact"/>
              <w:rPr>
                <w:b/>
                <w:bCs/>
              </w:rPr>
            </w:pPr>
            <w:r w:rsidRPr="00FC0D88">
              <w:rPr>
                <w:b/>
                <w:bCs/>
              </w:rPr>
              <w:t>1</w:t>
            </w:r>
          </w:p>
        </w:tc>
        <w:tc>
          <w:tcPr>
            <w:tcW w:w="8676" w:type="dxa"/>
          </w:tcPr>
          <w:p w:rsidRPr="00E93A16" w:rsidR="00CA79CE" w:rsidP="00CA79CE" w14:paraId="7058E718" w14:textId="77777777">
            <w:pPr>
              <w:spacing w:line="276" w:lineRule="auto"/>
              <w:rPr>
                <w:b/>
                <w:bCs/>
              </w:rPr>
            </w:pPr>
            <w:r w:rsidRPr="00E93A16">
              <w:rPr>
                <w:b/>
                <w:bCs/>
              </w:rPr>
              <w:t>Grondfaciliteit Fellenoord</w:t>
            </w:r>
          </w:p>
          <w:p w:rsidRPr="00FA1353" w:rsidR="00836C89" w:rsidP="00836C89" w14:paraId="45776F37" w14:textId="77777777">
            <w:pPr>
              <w:pStyle w:val="ListParagraph"/>
              <w:numPr>
                <w:ilvl w:val="0"/>
                <w:numId w:val="6"/>
              </w:numPr>
              <w:spacing w:line="276" w:lineRule="auto"/>
            </w:pPr>
            <w:r w:rsidRPr="00FA1353">
              <w:t>Bij het BO Leefomgeving hebben</w:t>
            </w:r>
            <w:r>
              <w:t xml:space="preserve"> het ministerie van</w:t>
            </w:r>
            <w:r w:rsidRPr="00FA1353">
              <w:t xml:space="preserve"> </w:t>
            </w:r>
            <w:r>
              <w:t>Volkshuisvesting en Ruimtelijke Ordening (VRO)</w:t>
            </w:r>
            <w:r w:rsidRPr="00FA1353">
              <w:t xml:space="preserve"> en </w:t>
            </w:r>
            <w:r>
              <w:t>de r</w:t>
            </w:r>
            <w:r w:rsidRPr="00FA1353">
              <w:t xml:space="preserve">egio afgesproken om een 50% risicodragende participatie van </w:t>
            </w:r>
            <w:r>
              <w:t>VRO</w:t>
            </w:r>
            <w:r w:rsidRPr="00FA1353">
              <w:t xml:space="preserve"> in de recent (2024 en 2025) gerealiseerde en beoogde (grond)verwervingen Fellenoord onderdeel te laten zijn van een pilot t</w:t>
            </w:r>
            <w:r>
              <w:t xml:space="preserve">en behoeve van </w:t>
            </w:r>
            <w:r w:rsidRPr="00FA1353">
              <w:t>het opstellen van een grondfaciliteit. Doel is dat dit leidt tot versnelde realisatie van woningen in het plangebied en het</w:t>
            </w:r>
            <w:r>
              <w:t xml:space="preserve"> delen van het</w:t>
            </w:r>
            <w:r w:rsidRPr="00FA1353">
              <w:t xml:space="preserve"> financiële</w:t>
            </w:r>
            <w:r>
              <w:t xml:space="preserve"> risico</w:t>
            </w:r>
            <w:r w:rsidRPr="00FA1353">
              <w:t xml:space="preserve"> dat optreedt op het moment dat door de gemeente verworven gronden/panden in de gebiedsontwikkeling worden gebracht.</w:t>
            </w:r>
          </w:p>
          <w:p w:rsidRPr="00FA1353" w:rsidR="00836C89" w:rsidP="00836C89" w14:paraId="11F26A99" w14:textId="58BBEB7B">
            <w:pPr>
              <w:pStyle w:val="ListParagraph"/>
              <w:numPr>
                <w:ilvl w:val="0"/>
                <w:numId w:val="6"/>
              </w:numPr>
              <w:spacing w:line="276" w:lineRule="auto"/>
            </w:pPr>
            <w:bookmarkStart w:name="_Hlk218846145" w:id="44"/>
            <w:r w:rsidRPr="00FA1353">
              <w:t>Uit de pilot is gebleken dat de nog op te richten grondfaciliteit (op korte termijn) geen soelaas biedt voor het doen van de gewenste grondaankopen dan</w:t>
            </w:r>
            <w:r>
              <w:t xml:space="preserve"> </w:t>
            </w:r>
            <w:r w:rsidRPr="00FA1353">
              <w:t xml:space="preserve">wel het afdekken van de risico’s ten behoeve van een versnelde inbreng in de grondexploitatie. Hierop hebben </w:t>
            </w:r>
            <w:r>
              <w:t>VRO</w:t>
            </w:r>
            <w:r w:rsidRPr="00FA1353">
              <w:t xml:space="preserve"> en Regio samen alternatieven verkend en is de inzet van het gebiedsbudget (voor de periode tot en met 2030 korte termijn) het meest geschikte instrument gebleken om te voorzien in de gedane en beoogde verwervingen en risicoafdekking. </w:t>
            </w:r>
            <w:r w:rsidRPr="004F48F4" w:rsidR="004F48F4">
              <w:t>De gemeente heeft deze beoogde verwervingen opgenomen in de aanvraag voor het gebiedsbudget</w:t>
            </w:r>
            <w:r w:rsidR="002B1E74">
              <w:t xml:space="preserve">. </w:t>
            </w:r>
            <w:r w:rsidRPr="002B1E74" w:rsidR="002B1E74">
              <w:t>Deze aanvraag is eind 2025 gehonoreerd en beschikt, voor een totale bijdrage van</w:t>
            </w:r>
            <w:r w:rsidR="002B1E74">
              <w:t xml:space="preserve"> </w:t>
            </w:r>
            <w:r w:rsidRPr="002B1E74" w:rsidR="002B1E74">
              <w:t>€ 6.253.908</w:t>
            </w:r>
            <w:r w:rsidR="002B1E74">
              <w:t>.</w:t>
            </w:r>
          </w:p>
          <w:bookmarkEnd w:id="44"/>
          <w:p w:rsidRPr="00FA1353" w:rsidR="00836C89" w:rsidP="00836C89" w14:paraId="1BF02C5A" w14:textId="77777777">
            <w:pPr>
              <w:pStyle w:val="ListParagraph"/>
              <w:numPr>
                <w:ilvl w:val="0"/>
                <w:numId w:val="6"/>
              </w:numPr>
              <w:spacing w:line="276" w:lineRule="auto"/>
            </w:pPr>
            <w:r w:rsidRPr="00FA1353">
              <w:t>Voor aankopen door de gemeente t</w:t>
            </w:r>
            <w:r>
              <w:t xml:space="preserve">en behoeve van </w:t>
            </w:r>
            <w:r w:rsidRPr="00FA1353">
              <w:t>versnelling van de woningbouw in deze gebiedsontwikkeling blijven partijen met elkaar in gesprek in lijn met de gemaakt afspraken uit het Beethoven Convenant.</w:t>
            </w:r>
          </w:p>
          <w:p w:rsidRPr="00FA1353" w:rsidR="00836C89" w:rsidP="00836C89" w14:paraId="67E23815" w14:textId="77777777">
            <w:pPr>
              <w:pStyle w:val="ListParagraph"/>
              <w:numPr>
                <w:ilvl w:val="0"/>
                <w:numId w:val="6"/>
              </w:numPr>
              <w:spacing w:line="276" w:lineRule="auto"/>
            </w:pPr>
            <w:r>
              <w:t>VRO</w:t>
            </w:r>
            <w:r w:rsidRPr="00FA1353">
              <w:t xml:space="preserve"> en regio hebben tevens afspraken gemaakt over het toetreden van het Ministerie van VRO als vast agenda lid tot het structurele overleg tussen de directie van de </w:t>
            </w:r>
            <w:r w:rsidRPr="00FA1353">
              <w:t xml:space="preserve">Ontwikkelingsmaatschappij om geïnformeerd te zijn over de voortgang van de gebiedsontwikkeling alsmede de (versnelde) realisatie van woningen in het plangebied. </w:t>
            </w:r>
          </w:p>
          <w:p w:rsidRPr="00836C89" w:rsidR="00CA79CE" w:rsidP="00836C89" w14:paraId="291C61E3" w14:textId="40C78880">
            <w:pPr>
              <w:pStyle w:val="ListParagraph"/>
              <w:numPr>
                <w:ilvl w:val="0"/>
                <w:numId w:val="6"/>
              </w:numPr>
              <w:spacing w:line="276" w:lineRule="auto"/>
            </w:pPr>
            <w:r w:rsidRPr="00FA1353">
              <w:t xml:space="preserve">Hiermee is voldaan aan de gemaakte afspraken uit het Beethoven convenant om de uitvoeringskracht te versterken. </w:t>
            </w:r>
            <w:r>
              <w:t>VRO</w:t>
            </w:r>
            <w:r w:rsidRPr="00FA1353">
              <w:t xml:space="preserve"> en</w:t>
            </w:r>
            <w:r>
              <w:t xml:space="preserve"> de</w:t>
            </w:r>
            <w:r w:rsidRPr="00FA1353">
              <w:t xml:space="preserve"> regio blijven continu in gesprek om kansen te benutten ten behoeve van de (versnelde) realisatie van woningen en blijven nauw samenwerken binnen de nationaal grootschalige woningbouwlocaties in de regio (Knoop XL, Zuidwest-As en Helmond centrum+).</w:t>
            </w:r>
          </w:p>
        </w:tc>
      </w:tr>
      <w:tr w:rsidTr="00863C28" w14:paraId="7D1D5F3C" w14:textId="77777777">
        <w:tblPrEx>
          <w:tblW w:w="0" w:type="auto"/>
          <w:tblInd w:w="0" w:type="dxa"/>
          <w:tblLook w:val="04A0"/>
        </w:tblPrEx>
        <w:tc>
          <w:tcPr>
            <w:tcW w:w="341" w:type="dxa"/>
          </w:tcPr>
          <w:p w:rsidRPr="00FC0D88" w:rsidR="00CA79CE" w:rsidP="00CA79CE" w14:paraId="2D2DEA1F" w14:textId="75AEA971">
            <w:pPr>
              <w:spacing w:line="240" w:lineRule="exact"/>
              <w:rPr>
                <w:b/>
                <w:bCs/>
              </w:rPr>
            </w:pPr>
            <w:r w:rsidRPr="00FC0D88">
              <w:rPr>
                <w:b/>
                <w:bCs/>
              </w:rPr>
              <w:t>2</w:t>
            </w:r>
          </w:p>
        </w:tc>
        <w:tc>
          <w:tcPr>
            <w:tcW w:w="8676" w:type="dxa"/>
          </w:tcPr>
          <w:p w:rsidRPr="00E93A16" w:rsidR="00CA79CE" w:rsidP="00CA79CE" w14:paraId="4673C7A1" w14:textId="77777777">
            <w:pPr>
              <w:spacing w:line="276" w:lineRule="auto"/>
              <w:rPr>
                <w:b/>
                <w:bCs/>
              </w:rPr>
            </w:pPr>
            <w:r>
              <w:rPr>
                <w:b/>
                <w:bCs/>
              </w:rPr>
              <w:t>Actualisatie MIRT-onderzoek Verstedelijking en Bereikbaarheid Brainport</w:t>
            </w:r>
          </w:p>
          <w:p w:rsidRPr="001B6337" w:rsidR="00836C89" w:rsidP="00EF0DC4" w14:paraId="1F3D723A" w14:textId="77777777">
            <w:pPr>
              <w:pStyle w:val="ListParagraph"/>
              <w:numPr>
                <w:ilvl w:val="0"/>
                <w:numId w:val="38"/>
              </w:numPr>
              <w:spacing w:line="276" w:lineRule="auto"/>
            </w:pPr>
            <w:r w:rsidRPr="001B6337">
              <w:t>De actualisatie van het MIRT-onderzoek Verstedelijking en Bereikbaarheid Brainport is afgerond. Rijk en Regio constateren dat de actualisatie de ingezette koers van het onderzoek van 2020 bevestigt en verbreedt en dat de actualisatie voor de lange termijn leidt tot een aantal toegevoegde ontwikkelopgaven.</w:t>
            </w:r>
          </w:p>
          <w:p w:rsidRPr="001B6337" w:rsidR="00836C89" w:rsidP="00EF0DC4" w14:paraId="1353EF38" w14:textId="77777777">
            <w:pPr>
              <w:pStyle w:val="ListParagraph"/>
              <w:numPr>
                <w:ilvl w:val="0"/>
                <w:numId w:val="38"/>
              </w:numPr>
              <w:spacing w:line="276" w:lineRule="auto"/>
            </w:pPr>
            <w:r w:rsidRPr="001B6337">
              <w:t xml:space="preserve">Rijk en Regio onderschrijven hierbij deze </w:t>
            </w:r>
            <w:r>
              <w:t>stappen in verschillende stadia van uitwerking:</w:t>
            </w:r>
          </w:p>
          <w:p w:rsidRPr="00836C89" w:rsidR="00836C89" w:rsidP="00EF0DC4" w14:paraId="160CEA26" w14:textId="77777777">
            <w:pPr>
              <w:pStyle w:val="ListParagraph"/>
              <w:numPr>
                <w:ilvl w:val="1"/>
                <w:numId w:val="38"/>
              </w:numPr>
              <w:spacing w:line="276" w:lineRule="auto"/>
              <w:rPr>
                <w:color w:val="auto"/>
              </w:rPr>
            </w:pPr>
            <w:r w:rsidRPr="00836C89">
              <w:rPr>
                <w:color w:val="auto"/>
              </w:rPr>
              <w:t xml:space="preserve">De (her)bevestiging van nut, noodzaak en urgentie van het uitvoeren van verstedelijkings- en mobiliteitsmaatregelen die reeds in gang gezet zijn. </w:t>
            </w:r>
          </w:p>
          <w:p w:rsidRPr="00836C89" w:rsidR="00836C89" w:rsidP="00EF0DC4" w14:paraId="087F6D21" w14:textId="77777777">
            <w:pPr>
              <w:pStyle w:val="ListParagraph"/>
              <w:numPr>
                <w:ilvl w:val="1"/>
                <w:numId w:val="38"/>
              </w:numPr>
              <w:spacing w:line="276" w:lineRule="auto"/>
              <w:rPr>
                <w:color w:val="auto"/>
              </w:rPr>
            </w:pPr>
            <w:r w:rsidRPr="00836C89">
              <w:rPr>
                <w:color w:val="auto"/>
              </w:rPr>
              <w:t xml:space="preserve">Daarbij gaat het om het aanpassen van de infrastructuur voor de ontwikkeling van de eerste fase van BIC-Noord, de daarmee samenhangende integrale MIRT-verkenning naar de A2/N2, Brainportlijn en Noordwestelijke ontsluiting, de geplande doorstart van de A58 Eindhoven – Tilburg, de mobiliteits- en gebiedsontwikkelingen van NOVEX Eindhoven (KnoopXL en HOV4), de regionale korte termijn maatregelenpakketten 1 en 2 en het aanwijzen van Helmond als grootschalige woningbouwlocatie. </w:t>
            </w:r>
          </w:p>
          <w:p w:rsidRPr="00836C89" w:rsidR="00836C89" w:rsidP="00EF0DC4" w14:paraId="1B8A3CBE" w14:textId="77777777">
            <w:pPr>
              <w:pStyle w:val="ListParagraph"/>
              <w:numPr>
                <w:ilvl w:val="1"/>
                <w:numId w:val="38"/>
              </w:numPr>
              <w:spacing w:line="276" w:lineRule="auto"/>
              <w:rPr>
                <w:color w:val="auto"/>
              </w:rPr>
            </w:pPr>
            <w:r w:rsidRPr="00836C89">
              <w:rPr>
                <w:color w:val="auto"/>
              </w:rPr>
              <w:t>Het belang om de zaken die hiervan op dit moment nog niet (volledig) zijn gefinancierd tijdig te realiseren. Daarbij gaat het nu met name om stap 2 en 3 van de MIRT-verkenning Spoorknoop Eindhoven, de gepauzeerde A67 Leenderheide – Geldrop en de in het Beethoven Convenant genoemde te onderzoeken opgaven in bereikbaarheid waaronder de regionale gebiedsontwikkeling (o.a. Helmond / zuidelijke ontsluiting) en de regionale OV-knoop Best.</w:t>
            </w:r>
          </w:p>
          <w:p w:rsidRPr="00836C89" w:rsidR="00836C89" w:rsidP="00EF0DC4" w14:paraId="21490FE1" w14:textId="77777777">
            <w:pPr>
              <w:pStyle w:val="ListParagraph"/>
              <w:numPr>
                <w:ilvl w:val="1"/>
                <w:numId w:val="38"/>
              </w:numPr>
              <w:spacing w:line="276" w:lineRule="auto"/>
              <w:rPr>
                <w:color w:val="auto"/>
              </w:rPr>
            </w:pPr>
            <w:r w:rsidRPr="00836C89">
              <w:rPr>
                <w:color w:val="auto"/>
              </w:rPr>
              <w:t>Het belang om in aanvulling hierop de gezamenlijk vastgestelde opgaven aan het hoofdwegennet tot uitwerking te brengen, zoals opgenomen in de geactualiseerde netwerkstrategie HWN/OWN.</w:t>
            </w:r>
          </w:p>
          <w:p w:rsidRPr="00836C89" w:rsidR="00836C89" w:rsidP="00EF0DC4" w14:paraId="0AF2EFD3" w14:textId="77777777">
            <w:pPr>
              <w:pStyle w:val="ListParagraph"/>
              <w:numPr>
                <w:ilvl w:val="1"/>
                <w:numId w:val="38"/>
              </w:numPr>
              <w:spacing w:line="276" w:lineRule="auto"/>
              <w:rPr>
                <w:color w:val="auto"/>
              </w:rPr>
            </w:pPr>
            <w:r w:rsidRPr="00836C89">
              <w:rPr>
                <w:color w:val="auto"/>
              </w:rPr>
              <w:t>De noodzaak om een aantal randvoorwaarden voor de verstedelijkings- en mobiliteitsopgaven tijdig te realiseren. Daarbij gaat het met name om netcongestie, stikstof, voorzieningen, groen-blauwe structuren, schaalsprong OV en voldoende ruimte voor werklocaties. Dit heeft deels opvolging gekregen op het BO Brainport op 3 november jl.</w:t>
            </w:r>
          </w:p>
          <w:p w:rsidRPr="00836C89" w:rsidR="00836C89" w:rsidP="00EF0DC4" w14:paraId="24E73743" w14:textId="77777777">
            <w:pPr>
              <w:pStyle w:val="ListParagraph"/>
              <w:numPr>
                <w:ilvl w:val="1"/>
                <w:numId w:val="38"/>
              </w:numPr>
              <w:spacing w:line="276" w:lineRule="auto"/>
              <w:rPr>
                <w:color w:val="auto"/>
              </w:rPr>
            </w:pPr>
            <w:r w:rsidRPr="00836C89">
              <w:rPr>
                <w:color w:val="auto"/>
              </w:rPr>
              <w:t xml:space="preserve">De wens om onderdelen nader uit te werken voor de lange termijn en hiertoe te werken met gebiedsgerichte ontwikkelpaden. Waarbij Rijk en Regio gezamenlijk een integrale gebiedsvisie Eindhoven Noordwest – Best – Veldhoven en een uitwerking van het Brainportbaan-concept Best – Helmond – Deurne uitwerken. Daarnaast zal onder leiding van de Regio een uitwerking plaatsvinden van regionale knopen en ontwikkelassen en de bovenregionale samenwerking met gemeenten en regio’s buiten Brainport. </w:t>
            </w:r>
          </w:p>
          <w:p w:rsidRPr="000C0115" w:rsidR="000C0115" w:rsidP="00EF0DC4" w14:paraId="722074C7" w14:textId="77777777">
            <w:pPr>
              <w:pStyle w:val="ListParagraph"/>
              <w:numPr>
                <w:ilvl w:val="0"/>
                <w:numId w:val="38"/>
              </w:numPr>
              <w:contextualSpacing w:val="0"/>
              <w:rPr>
                <w:rFonts w:eastAsia="Times New Roman"/>
                <w:color w:val="auto"/>
              </w:rPr>
            </w:pPr>
            <w:r w:rsidRPr="000C0115">
              <w:rPr>
                <w:rFonts w:eastAsia="Times New Roman"/>
                <w:color w:val="auto"/>
              </w:rPr>
              <w:t>Rijk en Regio borgen gezamenlijk de samenhang en regie op de uitwerking en voortgang (bijvoorbeeld in de vorm van een geactualiseerd verstedelijkingsakkoord). Rijk en Regio werken daartoe eerst een gezamenlijk plan van aanpak en opdrachtformulering uit.</w:t>
            </w:r>
          </w:p>
          <w:p w:rsidRPr="001B6337" w:rsidR="00836C89" w:rsidP="00EF0DC4" w14:paraId="0CE92A54" w14:textId="77777777">
            <w:pPr>
              <w:pStyle w:val="ListParagraph"/>
              <w:numPr>
                <w:ilvl w:val="0"/>
                <w:numId w:val="38"/>
              </w:numPr>
              <w:spacing w:line="276" w:lineRule="auto"/>
            </w:pPr>
            <w:r w:rsidRPr="001B6337">
              <w:t>De vervolgopgaven op het gebied van mobiliteit en verstedelijking worden in overleg tussen de regio en IenW en VRO en indien nodig, geagendeerd op het BO Leefomgeving of BO MIRT.</w:t>
            </w:r>
          </w:p>
          <w:p w:rsidRPr="00857B3A" w:rsidR="00CA79CE" w:rsidP="00EF0DC4" w14:paraId="557B7AA8" w14:textId="68098E50">
            <w:pPr>
              <w:pStyle w:val="ListParagraph"/>
              <w:numPr>
                <w:ilvl w:val="0"/>
                <w:numId w:val="38"/>
              </w:numPr>
              <w:spacing w:line="276" w:lineRule="auto"/>
              <w:rPr>
                <w:b/>
                <w:bCs/>
                <w:color w:val="000000" w:themeColor="text1"/>
              </w:rPr>
            </w:pPr>
            <w:r w:rsidRPr="001B6337">
              <w:t>Rijk en Regio spreken af dat daarnaast het brede(re) gesprek over het geactualiseerde MIRT-onderzoek op het BO Brainport gevoerd wordt. In het BO Brainport kan afgesproken worden om bepaalde onderwerpen op andere tafels te agenderen.</w:t>
            </w:r>
            <w:r w:rsidRPr="001B6337">
              <w:t xml:space="preserve">Rijk en Regio spreken af dat daarnaast het brede(re) gesprek over het geactualiseerde MIRT-onderzoek op het BO </w:t>
            </w:r>
            <w:r w:rsidRPr="001B6337">
              <w:t xml:space="preserve">Brainport gevoerd wordt. In het BO Brainport kan afgesproken worden om bepaalde onderwerpen op andere tafels te agenderen. </w:t>
            </w:r>
          </w:p>
        </w:tc>
      </w:tr>
      <w:tr w:rsidTr="00863C28" w14:paraId="00E2303D" w14:textId="77777777">
        <w:tblPrEx>
          <w:tblW w:w="0" w:type="auto"/>
          <w:tblInd w:w="0" w:type="dxa"/>
          <w:tblLook w:val="04A0"/>
        </w:tblPrEx>
        <w:tc>
          <w:tcPr>
            <w:tcW w:w="341" w:type="dxa"/>
          </w:tcPr>
          <w:p w:rsidRPr="00FC0D88" w:rsidR="00CA79CE" w:rsidP="00CA79CE" w14:paraId="656B06A4" w14:textId="2D695EF2">
            <w:pPr>
              <w:spacing w:line="240" w:lineRule="exact"/>
              <w:rPr>
                <w:b/>
                <w:bCs/>
              </w:rPr>
            </w:pPr>
            <w:r>
              <w:rPr>
                <w:b/>
                <w:bCs/>
              </w:rPr>
              <w:t>3</w:t>
            </w:r>
          </w:p>
        </w:tc>
        <w:tc>
          <w:tcPr>
            <w:tcW w:w="8676" w:type="dxa"/>
          </w:tcPr>
          <w:p w:rsidRPr="00857B3A" w:rsidR="00CA79CE" w:rsidP="00CA79CE" w14:paraId="02A416CF" w14:textId="77777777">
            <w:pPr>
              <w:spacing w:line="276" w:lineRule="auto"/>
              <w:rPr>
                <w:b/>
                <w:bCs/>
              </w:rPr>
            </w:pPr>
            <w:bookmarkStart w:name="_Hlk211445017" w:id="45"/>
            <w:r w:rsidRPr="00857B3A">
              <w:rPr>
                <w:b/>
                <w:bCs/>
              </w:rPr>
              <w:t>Verstedelijkingsstrategie Limburg Centraal</w:t>
            </w:r>
          </w:p>
          <w:bookmarkEnd w:id="45"/>
          <w:p w:rsidRPr="001B6337" w:rsidR="00836C89" w:rsidP="00836C89" w14:paraId="635C8EB3" w14:textId="77777777">
            <w:pPr>
              <w:pStyle w:val="ListParagraph"/>
              <w:numPr>
                <w:ilvl w:val="0"/>
                <w:numId w:val="4"/>
              </w:numPr>
              <w:spacing w:line="276" w:lineRule="auto"/>
            </w:pPr>
            <w:r w:rsidRPr="001B6337">
              <w:t>Rijk en regio nemen kennis van de voortgang van het Verstedelijkingsconcept, dat de Stuurgroep Limburg Centraal voornemens is om vast te stellen begin 2026. Nadien informeren de stuurgroepleden hun achterban. Conform Plan van Aanpak Limburg Centraal werken partijen verder aan de Verstedelijkingsstrategie en streven naar vaststelling in het BO Leefomgeving 2026;</w:t>
            </w:r>
          </w:p>
          <w:p w:rsidRPr="001B6337" w:rsidR="00836C89" w:rsidP="00836C89" w14:paraId="70DB5419" w14:textId="77777777">
            <w:pPr>
              <w:pStyle w:val="ListParagraph"/>
              <w:numPr>
                <w:ilvl w:val="0"/>
                <w:numId w:val="4"/>
              </w:numPr>
              <w:spacing w:line="276" w:lineRule="auto"/>
            </w:pPr>
            <w:r w:rsidRPr="001B6337">
              <w:t>Conform de in het BO Leefomgeving gemaakte afspraak hebben Rijk en regio de boven- en binnenplanse tekorten in de gebiedsontwikkelingen van de zes steden binnen Limburg Centraal in kaart gebracht. Dit is uitgewerkt in de Businesscases Limburg Centraal. Ze constateren dat het bestaande instrumentarium, zoals geëvalueerd aan de hand van de kamerbrief d.d. 19 mei 2025 “Financieel instrumentarium woningbouw”, op dit moment niet toereikend is om tekorten te dekken;</w:t>
            </w:r>
          </w:p>
          <w:p w:rsidRPr="001B6337" w:rsidR="00836C89" w:rsidP="00836C89" w14:paraId="29363294" w14:textId="77777777">
            <w:pPr>
              <w:pStyle w:val="ListParagraph"/>
              <w:numPr>
                <w:ilvl w:val="0"/>
                <w:numId w:val="4"/>
              </w:numPr>
              <w:spacing w:line="276" w:lineRule="auto"/>
            </w:pPr>
            <w:r w:rsidRPr="001B6337">
              <w:t>Rijk en regio nemen kennis van uitkomsten van de eerste stap verkenning Verstedelijkingsbudget (eveneens instrumentenkoffer). De uitkomsten bieden waardevolle aanknopingspunten voor gezamenlijk verdere uitwerking van de verkenning. Het inzicht in de rollen, instrumenten en bijdragen die de verschillende partners kunnen inzetten om de gebiedsontwikkeling in Limburg Centraal te stimuleren wordt meegenomen in de verdere totstandkoming van de Verstedelijkingsstrategie Limburg Centraal (voorzien BOL 2026) en mogelijke uitvoerings- en investeringsagenda.</w:t>
            </w:r>
          </w:p>
          <w:p w:rsidRPr="00836C89" w:rsidR="00CA79CE" w:rsidP="00836C89" w14:paraId="25928417" w14:textId="4D0200C6">
            <w:pPr>
              <w:pStyle w:val="ListParagraph"/>
              <w:numPr>
                <w:ilvl w:val="0"/>
                <w:numId w:val="4"/>
              </w:numPr>
              <w:spacing w:line="276" w:lineRule="auto"/>
            </w:pPr>
            <w:r w:rsidRPr="001B6337">
              <w:t xml:space="preserve">Rijk en regio onderschrijven het belang van goede afstemming tussen de ruimtelijke opgaven voor de Brainportregio en de omliggende regio's. Bovenregionale samenwerking tussen de MRE en nabijgelegen gemeenten en regio’s in Noord-Brabant en Limburg biedt daarbij kansen, bijvoorbeeld op het gebied van wonen en werken. Dit is voor de lange termijn in de Actualisatie MIRT-onderzoek Verstedelijking en Bereikbaarheid Brainport benoemd als één van de gebiedsgerichte ontwikkelpaden die wordt uitgewerkt, waarvan het belangrijk is om daar nu samen mee aan de slag te gaan. </w:t>
            </w:r>
          </w:p>
        </w:tc>
      </w:tr>
      <w:tr w:rsidTr="00863C28" w14:paraId="713213B5" w14:textId="77777777">
        <w:tblPrEx>
          <w:tblW w:w="0" w:type="auto"/>
          <w:tblInd w:w="0" w:type="dxa"/>
          <w:tblLook w:val="04A0"/>
        </w:tblPrEx>
        <w:tc>
          <w:tcPr>
            <w:tcW w:w="341" w:type="dxa"/>
          </w:tcPr>
          <w:p w:rsidRPr="00FC0D88" w:rsidR="00CA79CE" w:rsidP="00CA79CE" w14:paraId="00614B63" w14:textId="56CF9E8E">
            <w:pPr>
              <w:spacing w:line="240" w:lineRule="exact"/>
              <w:rPr>
                <w:b/>
                <w:bCs/>
              </w:rPr>
            </w:pPr>
            <w:r>
              <w:rPr>
                <w:b/>
                <w:bCs/>
              </w:rPr>
              <w:t>4</w:t>
            </w:r>
          </w:p>
        </w:tc>
        <w:tc>
          <w:tcPr>
            <w:tcW w:w="8676" w:type="dxa"/>
          </w:tcPr>
          <w:p w:rsidRPr="00E93A16" w:rsidR="00CA79CE" w:rsidP="00CA79CE" w14:paraId="5A97D20D" w14:textId="77777777">
            <w:pPr>
              <w:spacing w:line="276" w:lineRule="auto"/>
              <w:rPr>
                <w:b/>
                <w:bCs/>
              </w:rPr>
            </w:pPr>
            <w:r w:rsidRPr="00E93A16">
              <w:rPr>
                <w:b/>
                <w:bCs/>
              </w:rPr>
              <w:t>Spoorgoederenvervoer inclusief link naar Delta – Rhine Corridor</w:t>
            </w:r>
          </w:p>
          <w:p w:rsidRPr="001B6337" w:rsidR="00836C89" w:rsidP="00836C89" w14:paraId="4D8AC898" w14:textId="77777777">
            <w:pPr>
              <w:pStyle w:val="ListParagraph"/>
              <w:numPr>
                <w:ilvl w:val="0"/>
                <w:numId w:val="1"/>
              </w:numPr>
              <w:spacing w:line="276" w:lineRule="auto"/>
            </w:pPr>
            <w:r w:rsidRPr="001B6337">
              <w:t>Rijk en regio zien de samenhang tussen de verschillende visies en beleidsagenda’s (Mobiliteitsvisie 2050, Toekomstbeeld Spoorgoederenvervoer, Beleidsagenda goederenvervoer, Toekomstbeeld OV, Nota Ruimte en Goederencorridor Noordoost Europa (GNOE)) als het gaat om het spoorgoederenvervoer en de balans met de leefomgeving en zetten zich gezamenlijk in om deze opgave in samenhang op te pakken.</w:t>
            </w:r>
          </w:p>
          <w:p w:rsidRPr="00836C89" w:rsidR="00CA79CE" w:rsidP="00836C89" w14:paraId="0911212B" w14:textId="390437EE">
            <w:pPr>
              <w:pStyle w:val="ListParagraph"/>
              <w:numPr>
                <w:ilvl w:val="0"/>
                <w:numId w:val="1"/>
              </w:numPr>
              <w:spacing w:line="276" w:lineRule="auto"/>
            </w:pPr>
            <w:r w:rsidRPr="001B6337">
              <w:t>Rijk en regio spreken af buiten de DRC-procedure om de mogelijkheden te verkennen om de buisleidingenstroken zo optimaal mogelijk te benutten voor vervoer van gevaarlijke stoffen waaronder ammoniak t.b.v. integrale samenhang met andere ruimtelijke opgaven zoals met de verstedelijkingsopgave, de mobiliteitsopgave en de verduurzaming van industrie.</w:t>
            </w:r>
          </w:p>
        </w:tc>
      </w:tr>
      <w:tr w:rsidTr="00863C28" w14:paraId="2103122A" w14:textId="77777777">
        <w:tblPrEx>
          <w:tblW w:w="0" w:type="auto"/>
          <w:tblInd w:w="0" w:type="dxa"/>
          <w:tblLook w:val="04A0"/>
        </w:tblPrEx>
        <w:tc>
          <w:tcPr>
            <w:tcW w:w="341" w:type="dxa"/>
          </w:tcPr>
          <w:p w:rsidRPr="00FC0D88" w:rsidR="00CA79CE" w:rsidP="00CA79CE" w14:paraId="78625764" w14:textId="7602A1B9">
            <w:pPr>
              <w:spacing w:line="240" w:lineRule="exact"/>
              <w:rPr>
                <w:b/>
                <w:bCs/>
              </w:rPr>
            </w:pPr>
            <w:r>
              <w:rPr>
                <w:b/>
                <w:bCs/>
              </w:rPr>
              <w:t>5</w:t>
            </w:r>
          </w:p>
        </w:tc>
        <w:tc>
          <w:tcPr>
            <w:tcW w:w="8676" w:type="dxa"/>
          </w:tcPr>
          <w:p w:rsidRPr="00857B3A" w:rsidR="00CA79CE" w:rsidP="00CA79CE" w14:paraId="2ABB60ED" w14:textId="77777777">
            <w:pPr>
              <w:spacing w:line="276" w:lineRule="auto"/>
              <w:rPr>
                <w:b/>
                <w:bCs/>
                <w:color w:val="000000" w:themeColor="text1"/>
              </w:rPr>
            </w:pPr>
            <w:r>
              <w:rPr>
                <w:b/>
                <w:bCs/>
                <w:color w:val="000000" w:themeColor="text1"/>
              </w:rPr>
              <w:t xml:space="preserve">NOVEX </w:t>
            </w:r>
            <w:r w:rsidRPr="00857B3A">
              <w:rPr>
                <w:b/>
                <w:bCs/>
                <w:color w:val="000000" w:themeColor="text1"/>
              </w:rPr>
              <w:t>Stedelijk Brabant</w:t>
            </w:r>
          </w:p>
          <w:p w:rsidRPr="001B6337" w:rsidR="00836C89" w:rsidP="00836C89" w14:paraId="183B7C6C" w14:textId="77777777">
            <w:pPr>
              <w:pStyle w:val="ListParagraph"/>
              <w:numPr>
                <w:ilvl w:val="0"/>
                <w:numId w:val="5"/>
              </w:numPr>
              <w:spacing w:line="276" w:lineRule="auto"/>
              <w:rPr>
                <w:color w:val="000000" w:themeColor="text1"/>
              </w:rPr>
            </w:pPr>
            <w:r w:rsidRPr="001B6337">
              <w:t xml:space="preserve">Rijk en regio concretiseren de Uitvoerings- en werkagenda de komende periode in een Investeringsagenda voor NOVEX Stedelijk Brabant. Brabant Bouwt vormt mede input hiervoor, evenals de Multimodale Agenda van SmartwayZ. Inzet van partijen is om op basis van de Investeringsagenda voor NOVEX Stedelijk Brabant te komen tot een beperkt aantal </w:t>
            </w:r>
            <w:r w:rsidRPr="001B6337">
              <w:rPr>
                <w:color w:val="000000" w:themeColor="text1"/>
              </w:rPr>
              <w:t>sleutelprojecten. Indien dit mobiliteitsprojecten van regio en Rijk gezamenlijk betreft, worden deze weer geagendeerd in de Multimodale Agenda.</w:t>
            </w:r>
          </w:p>
          <w:p w:rsidRPr="001B6337" w:rsidR="00836C89" w:rsidP="00836C89" w14:paraId="3D20F8AD" w14:textId="77777777">
            <w:pPr>
              <w:pStyle w:val="ListParagraph"/>
              <w:numPr>
                <w:ilvl w:val="0"/>
                <w:numId w:val="5"/>
              </w:numPr>
              <w:spacing w:line="276" w:lineRule="auto"/>
              <w:rPr>
                <w:color w:val="000000" w:themeColor="text1"/>
              </w:rPr>
            </w:pPr>
            <w:r w:rsidRPr="001B6337">
              <w:rPr>
                <w:color w:val="000000" w:themeColor="text1"/>
              </w:rPr>
              <w:t>Onderdeel van deze investeringsagenda is een strategische programmering op hoofdlijnen die in beeld brengt hoe de verstedelijkingsopgaven samenhangen met investeringen in mobiliteit, groen, water, energie etc. en welke integrale afwegingen van de meer grootschalige verstedelijkingslocaties voor wonen en werken voor de (middel)lange termijn er binnen NOVEX Stedelijk Brabant nodig zijn.</w:t>
            </w:r>
          </w:p>
          <w:p w:rsidRPr="00836C89" w:rsidR="00CA79CE" w:rsidP="00836C89" w14:paraId="6FBF829F" w14:textId="42B294FA">
            <w:pPr>
              <w:pStyle w:val="ListParagraph"/>
              <w:numPr>
                <w:ilvl w:val="0"/>
                <w:numId w:val="5"/>
              </w:numPr>
              <w:spacing w:line="276" w:lineRule="auto"/>
              <w:rPr>
                <w:color w:val="000000" w:themeColor="text1"/>
              </w:rPr>
            </w:pPr>
            <w:r w:rsidRPr="001B6337">
              <w:rPr>
                <w:color w:val="000000" w:themeColor="text1"/>
              </w:rPr>
              <w:t xml:space="preserve">Rijk en regio onderschrijven het belang van goede afstemming tussen de ruimtelijke opgaven voor de Brainportregio en de omliggende regio's. Bovenregionale samenwerking tussen de MRE en nabijgelegen gemeenten en regio’s in Noord-Brabant en Limburg biedt daarbij kansen, bijvoorbeeld op het gebied van wonen en werken. Dit is voor de lange </w:t>
            </w:r>
            <w:r w:rsidRPr="001B6337">
              <w:rPr>
                <w:color w:val="000000" w:themeColor="text1"/>
              </w:rPr>
              <w:t xml:space="preserve">termijn in de Actualisatie MIRT-onderzoek Verstedelijking en Bereikbaarheid Brainport benoemd als één van de gebiedsgerichte ontwikkelpaden die wordt uitgewerkt, waarvan het belangrijk is om daar nu samen mee aan de slag te gaan. </w:t>
            </w:r>
          </w:p>
        </w:tc>
      </w:tr>
      <w:tr w:rsidTr="00863C28" w14:paraId="39BA1443" w14:textId="77777777">
        <w:tblPrEx>
          <w:tblW w:w="0" w:type="auto"/>
          <w:tblInd w:w="0" w:type="dxa"/>
          <w:tblLook w:val="04A0"/>
        </w:tblPrEx>
        <w:tc>
          <w:tcPr>
            <w:tcW w:w="341" w:type="dxa"/>
          </w:tcPr>
          <w:p w:rsidRPr="00FC0D88" w:rsidR="00CA79CE" w:rsidP="00CA79CE" w14:paraId="292B0396" w14:textId="3BA232F0">
            <w:pPr>
              <w:spacing w:line="240" w:lineRule="exact"/>
              <w:rPr>
                <w:b/>
                <w:bCs/>
              </w:rPr>
            </w:pPr>
            <w:r w:rsidRPr="00FC0D88">
              <w:rPr>
                <w:b/>
                <w:bCs/>
              </w:rPr>
              <w:t>6</w:t>
            </w:r>
          </w:p>
        </w:tc>
        <w:tc>
          <w:tcPr>
            <w:tcW w:w="8676" w:type="dxa"/>
          </w:tcPr>
          <w:p w:rsidRPr="00E93A16" w:rsidR="00CA79CE" w:rsidP="00CA79CE" w14:paraId="20FD79A7" w14:textId="77777777">
            <w:pPr>
              <w:spacing w:line="276" w:lineRule="auto"/>
              <w:rPr>
                <w:b/>
                <w:bCs/>
              </w:rPr>
            </w:pPr>
            <w:r w:rsidRPr="00E93A16">
              <w:rPr>
                <w:b/>
                <w:bCs/>
              </w:rPr>
              <w:t>NOVEX Zuid-Limburg</w:t>
            </w:r>
          </w:p>
          <w:p w:rsidRPr="00B7371D" w:rsidR="00CA79CE" w:rsidP="00836C89" w14:paraId="41858131" w14:textId="3730C9AB">
            <w:pPr>
              <w:pStyle w:val="ListParagraph"/>
              <w:numPr>
                <w:ilvl w:val="0"/>
                <w:numId w:val="3"/>
              </w:numPr>
              <w:rPr>
                <w:rFonts w:cs="Arial"/>
              </w:rPr>
            </w:pPr>
            <w:r w:rsidRPr="001B6337">
              <w:t>Rijk en regio stellen de Regionale Uitvoerings en Investeringsagenda (RUIA) Zuid-Limburg vast.</w:t>
            </w:r>
          </w:p>
        </w:tc>
      </w:tr>
      <w:tr w:rsidTr="00863C28" w14:paraId="14BD5757" w14:textId="77777777">
        <w:tblPrEx>
          <w:tblW w:w="0" w:type="auto"/>
          <w:tblInd w:w="0" w:type="dxa"/>
          <w:tblLook w:val="04A0"/>
        </w:tblPrEx>
        <w:tc>
          <w:tcPr>
            <w:tcW w:w="341" w:type="dxa"/>
          </w:tcPr>
          <w:p w:rsidRPr="00FC0D88" w:rsidR="00CA79CE" w:rsidP="00CA79CE" w14:paraId="32A8118D" w14:textId="5888F39C">
            <w:pPr>
              <w:spacing w:line="240" w:lineRule="exact"/>
              <w:rPr>
                <w:b/>
                <w:bCs/>
              </w:rPr>
            </w:pPr>
            <w:r>
              <w:rPr>
                <w:b/>
                <w:bCs/>
              </w:rPr>
              <w:t>7</w:t>
            </w:r>
          </w:p>
        </w:tc>
        <w:tc>
          <w:tcPr>
            <w:tcW w:w="8676" w:type="dxa"/>
          </w:tcPr>
          <w:p w:rsidRPr="00E93A16" w:rsidR="00CA79CE" w:rsidP="00CA79CE" w14:paraId="19FB771B" w14:textId="77777777">
            <w:pPr>
              <w:spacing w:line="276" w:lineRule="auto"/>
              <w:rPr>
                <w:b/>
                <w:bCs/>
              </w:rPr>
            </w:pPr>
            <w:r w:rsidRPr="00E93A16">
              <w:rPr>
                <w:b/>
                <w:bCs/>
              </w:rPr>
              <w:t>NOVEX De Peel</w:t>
            </w:r>
          </w:p>
          <w:p w:rsidRPr="00B7371D" w:rsidR="00CA79CE" w:rsidP="00CA79CE" w14:paraId="0AC72404" w14:textId="5F14FFAD">
            <w:pPr>
              <w:pStyle w:val="ListParagraph"/>
              <w:numPr>
                <w:ilvl w:val="0"/>
                <w:numId w:val="2"/>
              </w:numPr>
            </w:pPr>
            <w:r w:rsidRPr="001B6337">
              <w:t>Rijk en regio nemen kennis van de voortgang van NOVEX de Peel</w:t>
            </w:r>
            <w:r>
              <w:t>.</w:t>
            </w:r>
          </w:p>
        </w:tc>
      </w:tr>
      <w:tr w:rsidTr="00863C28" w14:paraId="01AFF725" w14:textId="77777777">
        <w:tblPrEx>
          <w:tblW w:w="0" w:type="auto"/>
          <w:tblInd w:w="0" w:type="dxa"/>
          <w:tblLook w:val="04A0"/>
        </w:tblPrEx>
        <w:tc>
          <w:tcPr>
            <w:tcW w:w="341" w:type="dxa"/>
          </w:tcPr>
          <w:p w:rsidRPr="00FC0D88" w:rsidR="00CA79CE" w:rsidP="00CA79CE" w14:paraId="3ECC6CB0" w14:textId="18F67A05">
            <w:pPr>
              <w:spacing w:line="240" w:lineRule="exact"/>
              <w:rPr>
                <w:b/>
                <w:bCs/>
              </w:rPr>
            </w:pPr>
            <w:r>
              <w:rPr>
                <w:b/>
                <w:bCs/>
              </w:rPr>
              <w:t>8</w:t>
            </w:r>
          </w:p>
        </w:tc>
        <w:tc>
          <w:tcPr>
            <w:tcW w:w="8676" w:type="dxa"/>
          </w:tcPr>
          <w:p w:rsidR="009A36E6" w:rsidP="00CA79CE" w14:paraId="4E101C12" w14:textId="6620586F">
            <w:pPr>
              <w:spacing w:line="240" w:lineRule="exact"/>
              <w:rPr>
                <w:b/>
                <w:bCs/>
              </w:rPr>
            </w:pPr>
            <w:r>
              <w:rPr>
                <w:b/>
                <w:bCs/>
              </w:rPr>
              <w:t>WoMo-afspraken Zuid-Nederland</w:t>
            </w:r>
          </w:p>
          <w:p w:rsidR="009A36E6" w:rsidP="00CA79CE" w14:paraId="52680C93" w14:textId="77777777">
            <w:pPr>
              <w:spacing w:line="240" w:lineRule="exact"/>
              <w:rPr>
                <w:b/>
                <w:bCs/>
              </w:rPr>
            </w:pPr>
          </w:p>
          <w:p w:rsidRPr="009A36E6" w:rsidR="00CA79CE" w:rsidP="00CA79CE" w14:paraId="38C0B5A0" w14:textId="5B11BC0C">
            <w:pPr>
              <w:spacing w:line="240" w:lineRule="exact"/>
              <w:rPr>
                <w:b/>
                <w:bCs/>
                <w:i/>
                <w:iCs/>
              </w:rPr>
            </w:pPr>
            <w:r w:rsidRPr="009A36E6">
              <w:rPr>
                <w:b/>
                <w:bCs/>
                <w:i/>
                <w:iCs/>
              </w:rPr>
              <w:t>WoKT-afspraken Zuid-Nederland</w:t>
            </w:r>
          </w:p>
          <w:tbl>
            <w:tblPr>
              <w:tblStyle w:val="TableGrid"/>
              <w:tblW w:w="8656" w:type="dxa"/>
              <w:tblInd w:w="0" w:type="dxa"/>
              <w:tblLook w:val="04A0"/>
            </w:tblPr>
            <w:tblGrid>
              <w:gridCol w:w="1094"/>
              <w:gridCol w:w="1686"/>
              <w:gridCol w:w="892"/>
              <w:gridCol w:w="1230"/>
              <w:gridCol w:w="1160"/>
              <w:gridCol w:w="2594"/>
            </w:tblGrid>
            <w:tr w:rsidTr="009935CA" w14:paraId="18403947" w14:textId="77777777">
              <w:tblPrEx>
                <w:tblW w:w="8656" w:type="dxa"/>
                <w:tblInd w:w="0" w:type="dxa"/>
                <w:tblLook w:val="04A0"/>
              </w:tblPrEx>
              <w:tc>
                <w:tcPr>
                  <w:tcW w:w="1114" w:type="dxa"/>
                </w:tcPr>
                <w:p w:rsidRPr="00F74CE4" w:rsidR="009A36E6" w:rsidP="009A36E6" w14:paraId="419D31C7" w14:textId="77777777">
                  <w:pPr>
                    <w:rPr>
                      <w:b/>
                      <w:bCs/>
                      <w:sz w:val="16"/>
                      <w:szCs w:val="16"/>
                    </w:rPr>
                  </w:pPr>
                  <w:r w:rsidRPr="00F74CE4">
                    <w:rPr>
                      <w:b/>
                      <w:bCs/>
                      <w:sz w:val="16"/>
                      <w:szCs w:val="16"/>
                    </w:rPr>
                    <w:t>Naam indienende gemeente/</w:t>
                  </w:r>
                  <w:r>
                    <w:rPr>
                      <w:b/>
                      <w:bCs/>
                      <w:sz w:val="16"/>
                      <w:szCs w:val="16"/>
                    </w:rPr>
                    <w:t xml:space="preserve"> </w:t>
                  </w:r>
                  <w:r w:rsidRPr="00F74CE4">
                    <w:rPr>
                      <w:b/>
                      <w:bCs/>
                      <w:sz w:val="16"/>
                      <w:szCs w:val="16"/>
                    </w:rPr>
                    <w:t>penvoerder</w:t>
                  </w:r>
                </w:p>
              </w:tc>
              <w:tc>
                <w:tcPr>
                  <w:tcW w:w="1694" w:type="dxa"/>
                </w:tcPr>
                <w:p w:rsidRPr="00F74CE4" w:rsidR="009A36E6" w:rsidP="009A36E6" w14:paraId="468B729D" w14:textId="77777777">
                  <w:pPr>
                    <w:spacing w:line="276" w:lineRule="auto"/>
                    <w:rPr>
                      <w:highlight w:val="cyan"/>
                    </w:rPr>
                  </w:pPr>
                  <w:r w:rsidRPr="00F74CE4">
                    <w:rPr>
                      <w:b/>
                      <w:bCs/>
                      <w:sz w:val="16"/>
                      <w:szCs w:val="16"/>
                    </w:rPr>
                    <w:t>Naam voorstel</w:t>
                  </w:r>
                </w:p>
              </w:tc>
              <w:tc>
                <w:tcPr>
                  <w:tcW w:w="892" w:type="dxa"/>
                </w:tcPr>
                <w:p w:rsidRPr="00F74CE4" w:rsidR="009A36E6" w:rsidP="009A36E6" w14:paraId="6EB8CA46" w14:textId="77777777">
                  <w:pPr>
                    <w:spacing w:line="276" w:lineRule="auto"/>
                    <w:rPr>
                      <w:highlight w:val="cyan"/>
                    </w:rPr>
                  </w:pPr>
                  <w:r w:rsidRPr="00F74CE4">
                    <w:rPr>
                      <w:b/>
                      <w:bCs/>
                      <w:sz w:val="16"/>
                      <w:szCs w:val="16"/>
                    </w:rPr>
                    <w:t xml:space="preserve">Aantal woningen </w:t>
                  </w:r>
                </w:p>
              </w:tc>
              <w:tc>
                <w:tcPr>
                  <w:tcW w:w="1239" w:type="dxa"/>
                </w:tcPr>
                <w:p w:rsidRPr="00FE52A5" w:rsidR="009A36E6" w:rsidP="009A36E6" w14:paraId="4234C615" w14:textId="77777777">
                  <w:pPr>
                    <w:spacing w:line="276" w:lineRule="auto"/>
                  </w:pPr>
                  <w:r w:rsidRPr="00FE52A5">
                    <w:rPr>
                      <w:b/>
                      <w:bCs/>
                      <w:sz w:val="16"/>
                      <w:szCs w:val="16"/>
                    </w:rPr>
                    <w:t>Rijksbijdrage (incl. btw, prijspeil 2025)</w:t>
                  </w:r>
                </w:p>
              </w:tc>
              <w:tc>
                <w:tcPr>
                  <w:tcW w:w="1239" w:type="dxa"/>
                </w:tcPr>
                <w:p w:rsidRPr="00FE52A5" w:rsidR="009A36E6" w:rsidP="009A36E6" w14:paraId="7D9FE7C5" w14:textId="77777777">
                  <w:pPr>
                    <w:spacing w:line="276" w:lineRule="auto"/>
                  </w:pPr>
                  <w:r w:rsidRPr="00FE52A5">
                    <w:rPr>
                      <w:b/>
                      <w:bCs/>
                      <w:sz w:val="16"/>
                      <w:szCs w:val="16"/>
                    </w:rPr>
                    <w:t>Regionale bijdrage (incl. btw, prijspeil 2025)</w:t>
                  </w:r>
                </w:p>
              </w:tc>
              <w:tc>
                <w:tcPr>
                  <w:tcW w:w="2478" w:type="dxa"/>
                </w:tcPr>
                <w:p w:rsidRPr="00F74CE4" w:rsidR="009A36E6" w:rsidP="009A36E6" w14:paraId="7A8B7017" w14:textId="77777777">
                  <w:pPr>
                    <w:rPr>
                      <w:b/>
                      <w:bCs/>
                      <w:sz w:val="16"/>
                      <w:szCs w:val="16"/>
                    </w:rPr>
                  </w:pPr>
                  <w:r w:rsidRPr="00F74CE4">
                    <w:rPr>
                      <w:b/>
                      <w:bCs/>
                      <w:sz w:val="16"/>
                      <w:szCs w:val="16"/>
                    </w:rPr>
                    <w:t xml:space="preserve">Maatregelen </w:t>
                  </w:r>
                </w:p>
                <w:p w:rsidRPr="00F74CE4" w:rsidR="009A36E6" w:rsidP="009A36E6" w14:paraId="5258288D" w14:textId="77777777">
                  <w:pPr>
                    <w:rPr>
                      <w:b/>
                      <w:bCs/>
                      <w:sz w:val="16"/>
                      <w:szCs w:val="16"/>
                    </w:rPr>
                  </w:pPr>
                </w:p>
                <w:p w:rsidRPr="00F74CE4" w:rsidR="009A36E6" w:rsidP="009A36E6" w14:paraId="1B188F5A" w14:textId="77777777">
                  <w:pPr>
                    <w:spacing w:line="276" w:lineRule="auto"/>
                    <w:rPr>
                      <w:highlight w:val="cyan"/>
                    </w:rPr>
                  </w:pPr>
                </w:p>
              </w:tc>
            </w:tr>
            <w:tr w:rsidTr="009935CA" w14:paraId="4320C847" w14:textId="77777777">
              <w:tblPrEx>
                <w:tblW w:w="8656" w:type="dxa"/>
                <w:tblInd w:w="0" w:type="dxa"/>
                <w:tblLook w:val="04A0"/>
              </w:tblPrEx>
              <w:tc>
                <w:tcPr>
                  <w:tcW w:w="1114" w:type="dxa"/>
                </w:tcPr>
                <w:p w:rsidRPr="003D72E1" w:rsidR="009A36E6" w:rsidP="009A36E6" w14:paraId="72E21A81" w14:textId="77777777">
                  <w:pPr>
                    <w:spacing w:line="276" w:lineRule="auto"/>
                    <w:rPr>
                      <w:b/>
                      <w:bCs/>
                      <w:sz w:val="16"/>
                      <w:szCs w:val="16"/>
                    </w:rPr>
                  </w:pPr>
                  <w:r w:rsidRPr="003D72E1">
                    <w:rPr>
                      <w:rFonts w:cs="Calibri"/>
                      <w:sz w:val="16"/>
                      <w:szCs w:val="16"/>
                    </w:rPr>
                    <w:t>Asten</w:t>
                  </w:r>
                </w:p>
              </w:tc>
              <w:tc>
                <w:tcPr>
                  <w:tcW w:w="1694" w:type="dxa"/>
                </w:tcPr>
                <w:p w:rsidRPr="003D72E1" w:rsidR="009A36E6" w:rsidP="009A36E6" w14:paraId="671FAC2A" w14:textId="77777777">
                  <w:pPr>
                    <w:spacing w:line="276" w:lineRule="auto"/>
                    <w:rPr>
                      <w:b/>
                      <w:bCs/>
                      <w:sz w:val="16"/>
                      <w:szCs w:val="16"/>
                    </w:rPr>
                  </w:pPr>
                  <w:r w:rsidRPr="003D72E1">
                    <w:rPr>
                      <w:rFonts w:cs="Calibri"/>
                      <w:sz w:val="16"/>
                      <w:szCs w:val="16"/>
                    </w:rPr>
                    <w:t>Ontsluiting Asten Oost</w:t>
                  </w:r>
                </w:p>
              </w:tc>
              <w:tc>
                <w:tcPr>
                  <w:tcW w:w="892" w:type="dxa"/>
                </w:tcPr>
                <w:p w:rsidRPr="003D72E1" w:rsidR="009A36E6" w:rsidP="009A36E6" w14:paraId="451CB747" w14:textId="77777777">
                  <w:pPr>
                    <w:spacing w:line="276" w:lineRule="auto"/>
                    <w:rPr>
                      <w:b/>
                      <w:bCs/>
                      <w:sz w:val="16"/>
                      <w:szCs w:val="16"/>
                    </w:rPr>
                  </w:pPr>
                  <w:r w:rsidRPr="003D72E1">
                    <w:rPr>
                      <w:rFonts w:cs="Calibri"/>
                      <w:sz w:val="16"/>
                      <w:szCs w:val="16"/>
                    </w:rPr>
                    <w:t>670</w:t>
                  </w:r>
                </w:p>
              </w:tc>
              <w:tc>
                <w:tcPr>
                  <w:tcW w:w="1239" w:type="dxa"/>
                </w:tcPr>
                <w:p w:rsidRPr="003D72E1" w:rsidR="009A36E6" w:rsidP="009A36E6" w14:paraId="79AFE778" w14:textId="77777777">
                  <w:pPr>
                    <w:spacing w:line="276" w:lineRule="auto"/>
                    <w:rPr>
                      <w:b/>
                      <w:bCs/>
                      <w:sz w:val="16"/>
                      <w:szCs w:val="16"/>
                    </w:rPr>
                  </w:pPr>
                  <w:r w:rsidRPr="003D72E1">
                    <w:rPr>
                      <w:rFonts w:cs="Calibri"/>
                      <w:sz w:val="16"/>
                      <w:szCs w:val="16"/>
                    </w:rPr>
                    <w:t>€ 4.452.704</w:t>
                  </w:r>
                </w:p>
              </w:tc>
              <w:tc>
                <w:tcPr>
                  <w:tcW w:w="1239" w:type="dxa"/>
                </w:tcPr>
                <w:p w:rsidRPr="003D72E1" w:rsidR="009A36E6" w:rsidP="009A36E6" w14:paraId="6C4FEE23" w14:textId="77777777">
                  <w:pPr>
                    <w:spacing w:line="276" w:lineRule="auto"/>
                    <w:rPr>
                      <w:b/>
                      <w:bCs/>
                      <w:sz w:val="16"/>
                      <w:szCs w:val="16"/>
                    </w:rPr>
                  </w:pPr>
                  <w:r w:rsidRPr="003D72E1">
                    <w:rPr>
                      <w:rFonts w:cs="Calibri"/>
                      <w:sz w:val="16"/>
                      <w:szCs w:val="16"/>
                    </w:rPr>
                    <w:t>€ 2.500.000</w:t>
                  </w:r>
                </w:p>
              </w:tc>
              <w:tc>
                <w:tcPr>
                  <w:tcW w:w="2478" w:type="dxa"/>
                </w:tcPr>
                <w:p w:rsidRPr="003D72E1" w:rsidR="009A36E6" w:rsidP="009A36E6" w14:paraId="516FA52E" w14:textId="77777777">
                  <w:pPr>
                    <w:spacing w:line="276" w:lineRule="auto"/>
                    <w:rPr>
                      <w:b/>
                      <w:bCs/>
                      <w:sz w:val="16"/>
                      <w:szCs w:val="16"/>
                    </w:rPr>
                  </w:pPr>
                  <w:r w:rsidRPr="003D72E1">
                    <w:rPr>
                      <w:rFonts w:cs="Calibri"/>
                      <w:sz w:val="16"/>
                      <w:szCs w:val="16"/>
                    </w:rPr>
                    <w:t>Opwaarderen rotonde naar turborotonde</w:t>
                  </w:r>
                </w:p>
              </w:tc>
            </w:tr>
            <w:tr w:rsidTr="009935CA" w14:paraId="0F7FFFAD" w14:textId="77777777">
              <w:tblPrEx>
                <w:tblW w:w="8656" w:type="dxa"/>
                <w:tblInd w:w="0" w:type="dxa"/>
                <w:tblLook w:val="04A0"/>
              </w:tblPrEx>
              <w:tc>
                <w:tcPr>
                  <w:tcW w:w="1114" w:type="dxa"/>
                </w:tcPr>
                <w:p w:rsidRPr="003D72E1" w:rsidR="009A36E6" w:rsidP="009A36E6" w14:paraId="5BB01B37" w14:textId="77777777">
                  <w:pPr>
                    <w:spacing w:line="276" w:lineRule="auto"/>
                    <w:rPr>
                      <w:b/>
                      <w:bCs/>
                      <w:sz w:val="16"/>
                      <w:szCs w:val="16"/>
                    </w:rPr>
                  </w:pPr>
                  <w:r w:rsidRPr="003D72E1">
                    <w:rPr>
                      <w:rFonts w:cs="Calibri"/>
                      <w:sz w:val="16"/>
                      <w:szCs w:val="16"/>
                    </w:rPr>
                    <w:t>Bakel</w:t>
                  </w:r>
                </w:p>
              </w:tc>
              <w:tc>
                <w:tcPr>
                  <w:tcW w:w="1694" w:type="dxa"/>
                </w:tcPr>
                <w:p w:rsidRPr="003D72E1" w:rsidR="009A36E6" w:rsidP="009A36E6" w14:paraId="0E10FB81" w14:textId="77777777">
                  <w:pPr>
                    <w:spacing w:line="276" w:lineRule="auto"/>
                    <w:rPr>
                      <w:b/>
                      <w:bCs/>
                      <w:sz w:val="16"/>
                      <w:szCs w:val="16"/>
                    </w:rPr>
                  </w:pPr>
                  <w:r w:rsidRPr="003D72E1">
                    <w:rPr>
                      <w:rFonts w:cs="Calibri"/>
                      <w:sz w:val="16"/>
                      <w:szCs w:val="16"/>
                    </w:rPr>
                    <w:t>Noordelijke ontsluiting N605/N616 (Groenesteeg), mobiliteitshub Gemert-Noord</w:t>
                  </w:r>
                  <w:r w:rsidRPr="003D72E1">
                    <w:rPr>
                      <w:rFonts w:cs="Calibri"/>
                      <w:sz w:val="16"/>
                      <w:szCs w:val="16"/>
                    </w:rPr>
                    <w:br/>
                    <w:t>en aanpak Boekelseweg</w:t>
                  </w:r>
                </w:p>
              </w:tc>
              <w:tc>
                <w:tcPr>
                  <w:tcW w:w="892" w:type="dxa"/>
                </w:tcPr>
                <w:p w:rsidRPr="003D72E1" w:rsidR="009A36E6" w:rsidP="009A36E6" w14:paraId="3C8D3444" w14:textId="77777777">
                  <w:pPr>
                    <w:spacing w:line="276" w:lineRule="auto"/>
                    <w:rPr>
                      <w:b/>
                      <w:bCs/>
                      <w:sz w:val="16"/>
                      <w:szCs w:val="16"/>
                    </w:rPr>
                  </w:pPr>
                  <w:r w:rsidRPr="003D72E1">
                    <w:rPr>
                      <w:rFonts w:cs="Calibri"/>
                      <w:sz w:val="16"/>
                      <w:szCs w:val="16"/>
                    </w:rPr>
                    <w:t>624</w:t>
                  </w:r>
                </w:p>
              </w:tc>
              <w:tc>
                <w:tcPr>
                  <w:tcW w:w="1239" w:type="dxa"/>
                </w:tcPr>
                <w:p w:rsidRPr="003D72E1" w:rsidR="009A36E6" w:rsidP="009A36E6" w14:paraId="101AFB95" w14:textId="77777777">
                  <w:pPr>
                    <w:spacing w:line="276" w:lineRule="auto"/>
                    <w:rPr>
                      <w:b/>
                      <w:bCs/>
                      <w:sz w:val="16"/>
                      <w:szCs w:val="16"/>
                    </w:rPr>
                  </w:pPr>
                  <w:r w:rsidRPr="003D72E1">
                    <w:rPr>
                      <w:rFonts w:cs="Calibri"/>
                      <w:sz w:val="16"/>
                      <w:szCs w:val="16"/>
                    </w:rPr>
                    <w:t>€ 4.368.533</w:t>
                  </w:r>
                </w:p>
              </w:tc>
              <w:tc>
                <w:tcPr>
                  <w:tcW w:w="1239" w:type="dxa"/>
                </w:tcPr>
                <w:p w:rsidRPr="003D72E1" w:rsidR="009A36E6" w:rsidP="009A36E6" w14:paraId="763245AA" w14:textId="77777777">
                  <w:pPr>
                    <w:spacing w:line="276" w:lineRule="auto"/>
                    <w:rPr>
                      <w:b/>
                      <w:bCs/>
                      <w:sz w:val="16"/>
                      <w:szCs w:val="16"/>
                    </w:rPr>
                  </w:pPr>
                  <w:r w:rsidRPr="003D72E1">
                    <w:rPr>
                      <w:rFonts w:cs="Calibri"/>
                      <w:sz w:val="16"/>
                      <w:szCs w:val="16"/>
                    </w:rPr>
                    <w:t>€ 4.390.485</w:t>
                  </w:r>
                </w:p>
              </w:tc>
              <w:tc>
                <w:tcPr>
                  <w:tcW w:w="2478" w:type="dxa"/>
                </w:tcPr>
                <w:p w:rsidRPr="003D72E1" w:rsidR="009A36E6" w:rsidP="009A36E6" w14:paraId="01A76FFD" w14:textId="77777777">
                  <w:pPr>
                    <w:spacing w:line="276" w:lineRule="auto"/>
                    <w:rPr>
                      <w:b/>
                      <w:bCs/>
                      <w:sz w:val="16"/>
                      <w:szCs w:val="16"/>
                    </w:rPr>
                  </w:pPr>
                  <w:r w:rsidRPr="003D72E1">
                    <w:rPr>
                      <w:rFonts w:cs="Calibri"/>
                      <w:sz w:val="16"/>
                      <w:szCs w:val="16"/>
                    </w:rPr>
                    <w:t>Herinrichting erftoegangsweg tot ontsluitingsweg, aanleg mobiliteitshub, herinrichting ontsluitingsweg</w:t>
                  </w:r>
                </w:p>
              </w:tc>
            </w:tr>
            <w:tr w:rsidTr="009935CA" w14:paraId="5283328E" w14:textId="77777777">
              <w:tblPrEx>
                <w:tblW w:w="8656" w:type="dxa"/>
                <w:tblInd w:w="0" w:type="dxa"/>
                <w:tblLook w:val="04A0"/>
              </w:tblPrEx>
              <w:tc>
                <w:tcPr>
                  <w:tcW w:w="1114" w:type="dxa"/>
                </w:tcPr>
                <w:p w:rsidRPr="003D72E1" w:rsidR="009A36E6" w:rsidP="009A36E6" w14:paraId="3C803D42" w14:textId="77777777">
                  <w:pPr>
                    <w:spacing w:line="276" w:lineRule="auto"/>
                    <w:rPr>
                      <w:b/>
                      <w:bCs/>
                      <w:sz w:val="16"/>
                      <w:szCs w:val="16"/>
                    </w:rPr>
                  </w:pPr>
                  <w:r w:rsidRPr="003D72E1">
                    <w:rPr>
                      <w:rFonts w:cs="Calibri"/>
                      <w:sz w:val="16"/>
                      <w:szCs w:val="16"/>
                    </w:rPr>
                    <w:t>Bergen op Zoom</w:t>
                  </w:r>
                </w:p>
              </w:tc>
              <w:tc>
                <w:tcPr>
                  <w:tcW w:w="1694" w:type="dxa"/>
                </w:tcPr>
                <w:p w:rsidRPr="003D72E1" w:rsidR="009A36E6" w:rsidP="009A36E6" w14:paraId="1EBACECE" w14:textId="77777777">
                  <w:pPr>
                    <w:spacing w:line="276" w:lineRule="auto"/>
                    <w:rPr>
                      <w:b/>
                      <w:bCs/>
                      <w:sz w:val="16"/>
                      <w:szCs w:val="16"/>
                    </w:rPr>
                  </w:pPr>
                  <w:r w:rsidRPr="003D72E1">
                    <w:rPr>
                      <w:rFonts w:cs="Calibri"/>
                      <w:sz w:val="16"/>
                      <w:szCs w:val="16"/>
                    </w:rPr>
                    <w:t>CityPlan Bergen op Zoom</w:t>
                  </w:r>
                </w:p>
              </w:tc>
              <w:tc>
                <w:tcPr>
                  <w:tcW w:w="892" w:type="dxa"/>
                </w:tcPr>
                <w:p w:rsidRPr="003D72E1" w:rsidR="009A36E6" w:rsidP="009A36E6" w14:paraId="7F9C6B15" w14:textId="77777777">
                  <w:pPr>
                    <w:spacing w:line="276" w:lineRule="auto"/>
                    <w:rPr>
                      <w:b/>
                      <w:bCs/>
                      <w:sz w:val="16"/>
                      <w:szCs w:val="16"/>
                    </w:rPr>
                  </w:pPr>
                  <w:r w:rsidRPr="003D72E1">
                    <w:rPr>
                      <w:rFonts w:cs="Calibri"/>
                      <w:sz w:val="16"/>
                      <w:szCs w:val="16"/>
                    </w:rPr>
                    <w:t>2.745</w:t>
                  </w:r>
                </w:p>
              </w:tc>
              <w:tc>
                <w:tcPr>
                  <w:tcW w:w="1239" w:type="dxa"/>
                </w:tcPr>
                <w:p w:rsidRPr="003D72E1" w:rsidR="009A36E6" w:rsidP="009A36E6" w14:paraId="2EC4F1F3" w14:textId="77777777">
                  <w:pPr>
                    <w:spacing w:line="276" w:lineRule="auto"/>
                    <w:rPr>
                      <w:b/>
                      <w:bCs/>
                      <w:sz w:val="16"/>
                      <w:szCs w:val="16"/>
                    </w:rPr>
                  </w:pPr>
                  <w:r w:rsidRPr="003D72E1">
                    <w:rPr>
                      <w:rFonts w:cs="Calibri"/>
                      <w:sz w:val="16"/>
                      <w:szCs w:val="16"/>
                    </w:rPr>
                    <w:t>€ 9.409.624</w:t>
                  </w:r>
                </w:p>
              </w:tc>
              <w:tc>
                <w:tcPr>
                  <w:tcW w:w="1239" w:type="dxa"/>
                </w:tcPr>
                <w:p w:rsidRPr="003D72E1" w:rsidR="009A36E6" w:rsidP="009A36E6" w14:paraId="5482D1B7" w14:textId="77777777">
                  <w:pPr>
                    <w:spacing w:line="276" w:lineRule="auto"/>
                    <w:rPr>
                      <w:b/>
                      <w:bCs/>
                      <w:sz w:val="16"/>
                      <w:szCs w:val="16"/>
                    </w:rPr>
                  </w:pPr>
                  <w:r w:rsidRPr="003D72E1">
                    <w:rPr>
                      <w:rFonts w:cs="Calibri"/>
                      <w:sz w:val="16"/>
                      <w:szCs w:val="16"/>
                    </w:rPr>
                    <w:t>€ 5.092.182</w:t>
                  </w:r>
                </w:p>
              </w:tc>
              <w:tc>
                <w:tcPr>
                  <w:tcW w:w="2478" w:type="dxa"/>
                </w:tcPr>
                <w:p w:rsidRPr="003D72E1" w:rsidR="009A36E6" w:rsidP="009A36E6" w14:paraId="39B43C89" w14:textId="77777777">
                  <w:pPr>
                    <w:spacing w:line="276" w:lineRule="auto"/>
                    <w:rPr>
                      <w:b/>
                      <w:bCs/>
                      <w:sz w:val="16"/>
                      <w:szCs w:val="16"/>
                    </w:rPr>
                  </w:pPr>
                  <w:r w:rsidRPr="003D72E1">
                    <w:rPr>
                      <w:rFonts w:cs="Calibri"/>
                      <w:sz w:val="16"/>
                      <w:szCs w:val="16"/>
                    </w:rPr>
                    <w:t>Mobiliteitshub, aanpassing rotonde</w:t>
                  </w:r>
                </w:p>
              </w:tc>
            </w:tr>
            <w:tr w:rsidTr="009935CA" w14:paraId="44694488" w14:textId="77777777">
              <w:tblPrEx>
                <w:tblW w:w="8656" w:type="dxa"/>
                <w:tblInd w:w="0" w:type="dxa"/>
                <w:tblLook w:val="04A0"/>
              </w:tblPrEx>
              <w:tc>
                <w:tcPr>
                  <w:tcW w:w="1114" w:type="dxa"/>
                </w:tcPr>
                <w:p w:rsidRPr="003D72E1" w:rsidR="009A36E6" w:rsidP="009A36E6" w14:paraId="0E3742D0" w14:textId="77777777">
                  <w:pPr>
                    <w:spacing w:line="276" w:lineRule="auto"/>
                    <w:rPr>
                      <w:rFonts w:cs="Calibri"/>
                      <w:sz w:val="16"/>
                      <w:szCs w:val="16"/>
                    </w:rPr>
                  </w:pPr>
                  <w:r w:rsidRPr="003D72E1">
                    <w:rPr>
                      <w:rFonts w:cs="Calibri"/>
                      <w:sz w:val="16"/>
                      <w:szCs w:val="16"/>
                    </w:rPr>
                    <w:t>Bernheze</w:t>
                  </w:r>
                </w:p>
              </w:tc>
              <w:tc>
                <w:tcPr>
                  <w:tcW w:w="1694" w:type="dxa"/>
                </w:tcPr>
                <w:p w:rsidRPr="003D72E1" w:rsidR="009A36E6" w:rsidP="009A36E6" w14:paraId="790AD524" w14:textId="77777777">
                  <w:pPr>
                    <w:spacing w:line="276" w:lineRule="auto"/>
                    <w:rPr>
                      <w:rFonts w:cs="Calibri"/>
                      <w:sz w:val="16"/>
                      <w:szCs w:val="16"/>
                    </w:rPr>
                  </w:pPr>
                  <w:r w:rsidRPr="003D72E1">
                    <w:rPr>
                      <w:rFonts w:cs="Calibri"/>
                      <w:sz w:val="16"/>
                      <w:szCs w:val="16"/>
                    </w:rPr>
                    <w:t>Bus Rapid Transit - maatregelen A50 Meierij Noordoost-Brabant – upgrade</w:t>
                  </w:r>
                  <w:r w:rsidRPr="003D72E1">
                    <w:rPr>
                      <w:rFonts w:cs="Calibri"/>
                      <w:sz w:val="16"/>
                      <w:szCs w:val="16"/>
                    </w:rPr>
                    <w:br/>
                    <w:t>BRT/HOV-haltes Bernheze</w:t>
                  </w:r>
                </w:p>
              </w:tc>
              <w:tc>
                <w:tcPr>
                  <w:tcW w:w="892" w:type="dxa"/>
                </w:tcPr>
                <w:p w:rsidRPr="003D72E1" w:rsidR="009A36E6" w:rsidP="009A36E6" w14:paraId="2F9FAD08" w14:textId="77777777">
                  <w:pPr>
                    <w:spacing w:line="276" w:lineRule="auto"/>
                    <w:rPr>
                      <w:rFonts w:cs="Calibri"/>
                      <w:sz w:val="16"/>
                      <w:szCs w:val="16"/>
                    </w:rPr>
                  </w:pPr>
                  <w:r w:rsidRPr="003D72E1">
                    <w:rPr>
                      <w:rFonts w:cs="Calibri"/>
                      <w:sz w:val="16"/>
                      <w:szCs w:val="16"/>
                    </w:rPr>
                    <w:t>584</w:t>
                  </w:r>
                </w:p>
              </w:tc>
              <w:tc>
                <w:tcPr>
                  <w:tcW w:w="1239" w:type="dxa"/>
                </w:tcPr>
                <w:p w:rsidRPr="003D72E1" w:rsidR="009A36E6" w:rsidP="009A36E6" w14:paraId="1BBDD590" w14:textId="77777777">
                  <w:pPr>
                    <w:spacing w:line="276" w:lineRule="auto"/>
                    <w:rPr>
                      <w:rFonts w:cs="Calibri"/>
                      <w:sz w:val="16"/>
                      <w:szCs w:val="16"/>
                    </w:rPr>
                  </w:pPr>
                  <w:r w:rsidRPr="003D72E1">
                    <w:rPr>
                      <w:rFonts w:cs="Calibri"/>
                      <w:sz w:val="16"/>
                      <w:szCs w:val="16"/>
                    </w:rPr>
                    <w:t>€ 2.338.392</w:t>
                  </w:r>
                </w:p>
              </w:tc>
              <w:tc>
                <w:tcPr>
                  <w:tcW w:w="1239" w:type="dxa"/>
                </w:tcPr>
                <w:p w:rsidRPr="003D72E1" w:rsidR="009A36E6" w:rsidP="009A36E6" w14:paraId="5CB6BDFE" w14:textId="77777777">
                  <w:pPr>
                    <w:spacing w:line="276" w:lineRule="auto"/>
                    <w:rPr>
                      <w:rFonts w:cs="Calibri"/>
                      <w:sz w:val="16"/>
                      <w:szCs w:val="16"/>
                    </w:rPr>
                  </w:pPr>
                  <w:r w:rsidRPr="003D72E1">
                    <w:rPr>
                      <w:rFonts w:cs="Calibri"/>
                      <w:sz w:val="16"/>
                      <w:szCs w:val="16"/>
                    </w:rPr>
                    <w:t>€ 1.265.462</w:t>
                  </w:r>
                </w:p>
              </w:tc>
              <w:tc>
                <w:tcPr>
                  <w:tcW w:w="2478" w:type="dxa"/>
                </w:tcPr>
                <w:p w:rsidRPr="003D72E1" w:rsidR="009A36E6" w:rsidP="009A36E6" w14:paraId="69A39A74" w14:textId="77777777">
                  <w:pPr>
                    <w:spacing w:line="276" w:lineRule="auto"/>
                    <w:rPr>
                      <w:rFonts w:cs="Calibri"/>
                      <w:sz w:val="16"/>
                      <w:szCs w:val="16"/>
                    </w:rPr>
                  </w:pPr>
                  <w:r w:rsidRPr="003D72E1">
                    <w:rPr>
                      <w:rFonts w:cs="Calibri"/>
                      <w:sz w:val="16"/>
                      <w:szCs w:val="16"/>
                    </w:rPr>
                    <w:t>Aanleg HOV</w:t>
                  </w:r>
                </w:p>
              </w:tc>
            </w:tr>
            <w:tr w:rsidTr="009935CA" w14:paraId="5DAFB9D9" w14:textId="77777777">
              <w:tblPrEx>
                <w:tblW w:w="8656" w:type="dxa"/>
                <w:tblInd w:w="0" w:type="dxa"/>
                <w:tblLook w:val="04A0"/>
              </w:tblPrEx>
              <w:tc>
                <w:tcPr>
                  <w:tcW w:w="1114" w:type="dxa"/>
                </w:tcPr>
                <w:p w:rsidRPr="003D72E1" w:rsidR="009A36E6" w:rsidP="009A36E6" w14:paraId="157700EE" w14:textId="77777777">
                  <w:pPr>
                    <w:spacing w:line="276" w:lineRule="auto"/>
                    <w:rPr>
                      <w:rFonts w:cs="Calibri"/>
                      <w:sz w:val="16"/>
                      <w:szCs w:val="16"/>
                    </w:rPr>
                  </w:pPr>
                  <w:r w:rsidRPr="003D72E1">
                    <w:rPr>
                      <w:rFonts w:cs="Calibri"/>
                      <w:sz w:val="16"/>
                      <w:szCs w:val="16"/>
                    </w:rPr>
                    <w:t>Boekel</w:t>
                  </w:r>
                </w:p>
              </w:tc>
              <w:tc>
                <w:tcPr>
                  <w:tcW w:w="1694" w:type="dxa"/>
                </w:tcPr>
                <w:p w:rsidRPr="003D72E1" w:rsidR="009A36E6" w:rsidP="009A36E6" w14:paraId="116B770A" w14:textId="77777777">
                  <w:pPr>
                    <w:spacing w:line="276" w:lineRule="auto"/>
                    <w:rPr>
                      <w:rFonts w:cs="Calibri"/>
                      <w:sz w:val="16"/>
                      <w:szCs w:val="16"/>
                    </w:rPr>
                  </w:pPr>
                  <w:r w:rsidRPr="003D72E1">
                    <w:rPr>
                      <w:rFonts w:cs="Calibri"/>
                      <w:sz w:val="16"/>
                      <w:szCs w:val="16"/>
                    </w:rPr>
                    <w:t>Oostwestverbinding Boekel</w:t>
                  </w:r>
                </w:p>
              </w:tc>
              <w:tc>
                <w:tcPr>
                  <w:tcW w:w="892" w:type="dxa"/>
                </w:tcPr>
                <w:p w:rsidRPr="003D72E1" w:rsidR="009A36E6" w:rsidP="009A36E6" w14:paraId="62C28689" w14:textId="77777777">
                  <w:pPr>
                    <w:spacing w:line="276" w:lineRule="auto"/>
                    <w:rPr>
                      <w:rFonts w:cs="Calibri"/>
                      <w:sz w:val="16"/>
                      <w:szCs w:val="16"/>
                    </w:rPr>
                  </w:pPr>
                  <w:r w:rsidRPr="003D72E1">
                    <w:rPr>
                      <w:rFonts w:cs="Calibri"/>
                      <w:sz w:val="16"/>
                      <w:szCs w:val="16"/>
                    </w:rPr>
                    <w:t>286</w:t>
                  </w:r>
                </w:p>
              </w:tc>
              <w:tc>
                <w:tcPr>
                  <w:tcW w:w="1239" w:type="dxa"/>
                </w:tcPr>
                <w:p w:rsidRPr="003D72E1" w:rsidR="009A36E6" w:rsidP="009A36E6" w14:paraId="5BB00FAF" w14:textId="77777777">
                  <w:pPr>
                    <w:spacing w:line="276" w:lineRule="auto"/>
                    <w:rPr>
                      <w:rFonts w:cs="Calibri"/>
                      <w:sz w:val="16"/>
                      <w:szCs w:val="16"/>
                    </w:rPr>
                  </w:pPr>
                  <w:r w:rsidRPr="003D72E1">
                    <w:rPr>
                      <w:rFonts w:cs="Calibri"/>
                      <w:sz w:val="16"/>
                      <w:szCs w:val="16"/>
                    </w:rPr>
                    <w:t>€ 1.646.619</w:t>
                  </w:r>
                </w:p>
              </w:tc>
              <w:tc>
                <w:tcPr>
                  <w:tcW w:w="1239" w:type="dxa"/>
                </w:tcPr>
                <w:p w:rsidRPr="003D72E1" w:rsidR="009A36E6" w:rsidP="009A36E6" w14:paraId="0C568538" w14:textId="77777777">
                  <w:pPr>
                    <w:spacing w:line="276" w:lineRule="auto"/>
                    <w:rPr>
                      <w:rFonts w:cs="Calibri"/>
                      <w:sz w:val="16"/>
                      <w:szCs w:val="16"/>
                    </w:rPr>
                  </w:pPr>
                  <w:r w:rsidRPr="003D72E1">
                    <w:rPr>
                      <w:rFonts w:cs="Calibri"/>
                      <w:sz w:val="16"/>
                      <w:szCs w:val="16"/>
                    </w:rPr>
                    <w:t>€ 1.815.000</w:t>
                  </w:r>
                </w:p>
              </w:tc>
              <w:tc>
                <w:tcPr>
                  <w:tcW w:w="2478" w:type="dxa"/>
                </w:tcPr>
                <w:p w:rsidRPr="003D72E1" w:rsidR="009A36E6" w:rsidP="009A36E6" w14:paraId="6E41643F" w14:textId="77777777">
                  <w:pPr>
                    <w:spacing w:line="276" w:lineRule="auto"/>
                    <w:rPr>
                      <w:rFonts w:cs="Calibri"/>
                      <w:sz w:val="16"/>
                      <w:szCs w:val="16"/>
                    </w:rPr>
                  </w:pPr>
                  <w:r w:rsidRPr="003D72E1">
                    <w:rPr>
                      <w:rFonts w:cs="Calibri"/>
                      <w:sz w:val="16"/>
                      <w:szCs w:val="16"/>
                    </w:rPr>
                    <w:t>Aanleg ontsluitingsweg</w:t>
                  </w:r>
                </w:p>
              </w:tc>
            </w:tr>
            <w:tr w:rsidTr="009935CA" w14:paraId="05055748" w14:textId="77777777">
              <w:tblPrEx>
                <w:tblW w:w="8656" w:type="dxa"/>
                <w:tblInd w:w="0" w:type="dxa"/>
                <w:tblLook w:val="04A0"/>
              </w:tblPrEx>
              <w:tc>
                <w:tcPr>
                  <w:tcW w:w="1114" w:type="dxa"/>
                </w:tcPr>
                <w:p w:rsidRPr="003D72E1" w:rsidR="009A36E6" w:rsidP="009A36E6" w14:paraId="3979A880" w14:textId="77777777">
                  <w:pPr>
                    <w:spacing w:line="276" w:lineRule="auto"/>
                    <w:rPr>
                      <w:rFonts w:cs="Calibri"/>
                      <w:sz w:val="16"/>
                      <w:szCs w:val="16"/>
                    </w:rPr>
                  </w:pPr>
                  <w:r w:rsidRPr="003D72E1">
                    <w:rPr>
                      <w:rFonts w:cs="Calibri"/>
                      <w:sz w:val="16"/>
                      <w:szCs w:val="16"/>
                    </w:rPr>
                    <w:t>Boxtel</w:t>
                  </w:r>
                </w:p>
              </w:tc>
              <w:tc>
                <w:tcPr>
                  <w:tcW w:w="1694" w:type="dxa"/>
                </w:tcPr>
                <w:p w:rsidRPr="003D72E1" w:rsidR="009A36E6" w:rsidP="009A36E6" w14:paraId="0B421B35" w14:textId="77777777">
                  <w:pPr>
                    <w:spacing w:line="276" w:lineRule="auto"/>
                    <w:rPr>
                      <w:rFonts w:cs="Calibri"/>
                      <w:sz w:val="16"/>
                      <w:szCs w:val="16"/>
                    </w:rPr>
                  </w:pPr>
                  <w:r w:rsidRPr="003D72E1">
                    <w:rPr>
                      <w:rFonts w:cs="Calibri"/>
                      <w:sz w:val="16"/>
                      <w:szCs w:val="16"/>
                    </w:rPr>
                    <w:t>Woningbouw Boxtel Noordwest: Veilig verbonden</w:t>
                  </w:r>
                  <w:r w:rsidRPr="003D72E1">
                    <w:rPr>
                      <w:rFonts w:cs="Calibri"/>
                      <w:sz w:val="16"/>
                      <w:szCs w:val="16"/>
                    </w:rPr>
                    <w:br/>
                    <w:t>met station</w:t>
                  </w:r>
                </w:p>
              </w:tc>
              <w:tc>
                <w:tcPr>
                  <w:tcW w:w="892" w:type="dxa"/>
                </w:tcPr>
                <w:p w:rsidRPr="003D72E1" w:rsidR="009A36E6" w:rsidP="009A36E6" w14:paraId="021A7887" w14:textId="77777777">
                  <w:pPr>
                    <w:spacing w:line="276" w:lineRule="auto"/>
                    <w:rPr>
                      <w:rFonts w:cs="Calibri"/>
                      <w:sz w:val="16"/>
                      <w:szCs w:val="16"/>
                    </w:rPr>
                  </w:pPr>
                  <w:r w:rsidRPr="003D72E1">
                    <w:rPr>
                      <w:rFonts w:cs="Calibri"/>
                      <w:sz w:val="16"/>
                      <w:szCs w:val="16"/>
                    </w:rPr>
                    <w:t>400</w:t>
                  </w:r>
                </w:p>
              </w:tc>
              <w:tc>
                <w:tcPr>
                  <w:tcW w:w="1239" w:type="dxa"/>
                </w:tcPr>
                <w:p w:rsidRPr="003D72E1" w:rsidR="009A36E6" w:rsidP="009A36E6" w14:paraId="4C8E9654" w14:textId="77777777">
                  <w:pPr>
                    <w:spacing w:line="276" w:lineRule="auto"/>
                    <w:rPr>
                      <w:rFonts w:cs="Calibri"/>
                      <w:sz w:val="16"/>
                      <w:szCs w:val="16"/>
                    </w:rPr>
                  </w:pPr>
                  <w:r w:rsidRPr="003D72E1">
                    <w:rPr>
                      <w:rFonts w:cs="Calibri"/>
                      <w:sz w:val="16"/>
                      <w:szCs w:val="16"/>
                    </w:rPr>
                    <w:t>€ 1.746.225</w:t>
                  </w:r>
                </w:p>
              </w:tc>
              <w:tc>
                <w:tcPr>
                  <w:tcW w:w="1239" w:type="dxa"/>
                </w:tcPr>
                <w:p w:rsidRPr="003D72E1" w:rsidR="009A36E6" w:rsidP="009A36E6" w14:paraId="1529F2B5" w14:textId="77777777">
                  <w:pPr>
                    <w:spacing w:line="276" w:lineRule="auto"/>
                    <w:rPr>
                      <w:rFonts w:cs="Calibri"/>
                      <w:sz w:val="16"/>
                      <w:szCs w:val="16"/>
                    </w:rPr>
                  </w:pPr>
                  <w:r w:rsidRPr="003D72E1">
                    <w:rPr>
                      <w:rFonts w:cs="Calibri"/>
                      <w:sz w:val="16"/>
                      <w:szCs w:val="16"/>
                    </w:rPr>
                    <w:t>€ 945.000</w:t>
                  </w:r>
                </w:p>
              </w:tc>
              <w:tc>
                <w:tcPr>
                  <w:tcW w:w="2478" w:type="dxa"/>
                </w:tcPr>
                <w:p w:rsidRPr="003D72E1" w:rsidR="009A36E6" w:rsidP="009A36E6" w14:paraId="0550BA3D" w14:textId="77777777">
                  <w:pPr>
                    <w:spacing w:line="276" w:lineRule="auto"/>
                    <w:rPr>
                      <w:rFonts w:cs="Calibri"/>
                      <w:sz w:val="16"/>
                      <w:szCs w:val="16"/>
                    </w:rPr>
                  </w:pPr>
                  <w:r w:rsidRPr="003D72E1">
                    <w:rPr>
                      <w:rFonts w:cs="Calibri"/>
                      <w:sz w:val="16"/>
                      <w:szCs w:val="16"/>
                    </w:rPr>
                    <w:t>Aanleg fiets- en voetgangerstunnel (spoor)</w:t>
                  </w:r>
                </w:p>
              </w:tc>
            </w:tr>
            <w:tr w:rsidTr="009935CA" w14:paraId="057AA69F" w14:textId="77777777">
              <w:tblPrEx>
                <w:tblW w:w="8656" w:type="dxa"/>
                <w:tblInd w:w="0" w:type="dxa"/>
                <w:tblLook w:val="04A0"/>
              </w:tblPrEx>
              <w:tc>
                <w:tcPr>
                  <w:tcW w:w="1114" w:type="dxa"/>
                </w:tcPr>
                <w:p w:rsidRPr="003D72E1" w:rsidR="009A36E6" w:rsidP="009A36E6" w14:paraId="38F22393" w14:textId="77777777">
                  <w:pPr>
                    <w:spacing w:line="276" w:lineRule="auto"/>
                    <w:rPr>
                      <w:rFonts w:cs="Calibri"/>
                      <w:sz w:val="16"/>
                      <w:szCs w:val="16"/>
                    </w:rPr>
                  </w:pPr>
                  <w:r w:rsidRPr="003D72E1">
                    <w:rPr>
                      <w:rFonts w:cs="Calibri"/>
                      <w:sz w:val="16"/>
                      <w:szCs w:val="16"/>
                    </w:rPr>
                    <w:t>Dongen</w:t>
                  </w:r>
                </w:p>
              </w:tc>
              <w:tc>
                <w:tcPr>
                  <w:tcW w:w="1694" w:type="dxa"/>
                </w:tcPr>
                <w:p w:rsidRPr="003D72E1" w:rsidR="009A36E6" w:rsidP="009A36E6" w14:paraId="3C4B7DA4" w14:textId="77777777">
                  <w:pPr>
                    <w:spacing w:line="276" w:lineRule="auto"/>
                    <w:rPr>
                      <w:rFonts w:cs="Calibri"/>
                      <w:sz w:val="16"/>
                      <w:szCs w:val="16"/>
                    </w:rPr>
                  </w:pPr>
                  <w:r w:rsidRPr="003D72E1">
                    <w:rPr>
                      <w:rFonts w:cs="Calibri"/>
                      <w:sz w:val="16"/>
                      <w:szCs w:val="16"/>
                    </w:rPr>
                    <w:t>Noorderlaan / Noorderbunder</w:t>
                  </w:r>
                </w:p>
              </w:tc>
              <w:tc>
                <w:tcPr>
                  <w:tcW w:w="892" w:type="dxa"/>
                </w:tcPr>
                <w:p w:rsidRPr="003D72E1" w:rsidR="009A36E6" w:rsidP="009A36E6" w14:paraId="371FE21B" w14:textId="77777777">
                  <w:pPr>
                    <w:spacing w:line="276" w:lineRule="auto"/>
                    <w:rPr>
                      <w:rFonts w:cs="Calibri"/>
                      <w:sz w:val="16"/>
                      <w:szCs w:val="16"/>
                    </w:rPr>
                  </w:pPr>
                  <w:r w:rsidRPr="003D72E1">
                    <w:rPr>
                      <w:rFonts w:cs="Calibri"/>
                      <w:sz w:val="16"/>
                      <w:szCs w:val="16"/>
                    </w:rPr>
                    <w:t>291</w:t>
                  </w:r>
                </w:p>
              </w:tc>
              <w:tc>
                <w:tcPr>
                  <w:tcW w:w="1239" w:type="dxa"/>
                </w:tcPr>
                <w:p w:rsidRPr="003D72E1" w:rsidR="009A36E6" w:rsidP="009A36E6" w14:paraId="5D32045E" w14:textId="77777777">
                  <w:pPr>
                    <w:spacing w:line="276" w:lineRule="auto"/>
                    <w:rPr>
                      <w:rFonts w:cs="Calibri"/>
                      <w:sz w:val="16"/>
                      <w:szCs w:val="16"/>
                    </w:rPr>
                  </w:pPr>
                  <w:r w:rsidRPr="003D72E1">
                    <w:rPr>
                      <w:rFonts w:cs="Calibri"/>
                      <w:sz w:val="16"/>
                      <w:szCs w:val="16"/>
                    </w:rPr>
                    <w:t>€ 561.859</w:t>
                  </w:r>
                </w:p>
              </w:tc>
              <w:tc>
                <w:tcPr>
                  <w:tcW w:w="1239" w:type="dxa"/>
                </w:tcPr>
                <w:p w:rsidRPr="003D72E1" w:rsidR="009A36E6" w:rsidP="009A36E6" w14:paraId="62DE6CD4" w14:textId="77777777">
                  <w:pPr>
                    <w:spacing w:line="276" w:lineRule="auto"/>
                    <w:rPr>
                      <w:rFonts w:cs="Calibri"/>
                      <w:sz w:val="16"/>
                      <w:szCs w:val="16"/>
                    </w:rPr>
                  </w:pPr>
                  <w:r w:rsidRPr="003D72E1">
                    <w:rPr>
                      <w:rFonts w:cs="Calibri"/>
                      <w:sz w:val="16"/>
                      <w:szCs w:val="16"/>
                    </w:rPr>
                    <w:t>€ 1.262.205</w:t>
                  </w:r>
                </w:p>
              </w:tc>
              <w:tc>
                <w:tcPr>
                  <w:tcW w:w="2478" w:type="dxa"/>
                </w:tcPr>
                <w:p w:rsidRPr="003D72E1" w:rsidR="009A36E6" w:rsidP="009A36E6" w14:paraId="0A01E353" w14:textId="77777777">
                  <w:pPr>
                    <w:spacing w:line="276" w:lineRule="auto"/>
                    <w:rPr>
                      <w:rFonts w:cs="Calibri"/>
                      <w:sz w:val="16"/>
                      <w:szCs w:val="16"/>
                    </w:rPr>
                  </w:pPr>
                  <w:r w:rsidRPr="003D72E1">
                    <w:rPr>
                      <w:rFonts w:cs="Calibri"/>
                      <w:sz w:val="16"/>
                      <w:szCs w:val="16"/>
                    </w:rPr>
                    <w:t xml:space="preserve">Herinrichting ontsluitingsweg </w:t>
                  </w:r>
                </w:p>
              </w:tc>
            </w:tr>
            <w:tr w:rsidTr="009935CA" w14:paraId="26029F50" w14:textId="77777777">
              <w:tblPrEx>
                <w:tblW w:w="8656" w:type="dxa"/>
                <w:tblInd w:w="0" w:type="dxa"/>
                <w:tblLook w:val="04A0"/>
              </w:tblPrEx>
              <w:tc>
                <w:tcPr>
                  <w:tcW w:w="1114" w:type="dxa"/>
                </w:tcPr>
                <w:p w:rsidRPr="003D72E1" w:rsidR="009A36E6" w:rsidP="009A36E6" w14:paraId="4D56CF78" w14:textId="77777777">
                  <w:pPr>
                    <w:spacing w:line="276" w:lineRule="auto"/>
                    <w:rPr>
                      <w:rFonts w:cs="Calibri"/>
                      <w:sz w:val="16"/>
                      <w:szCs w:val="16"/>
                    </w:rPr>
                  </w:pPr>
                  <w:r w:rsidRPr="003D72E1">
                    <w:rPr>
                      <w:rFonts w:cs="Calibri"/>
                      <w:sz w:val="16"/>
                      <w:szCs w:val="16"/>
                    </w:rPr>
                    <w:t>Eindhoven</w:t>
                  </w:r>
                </w:p>
              </w:tc>
              <w:tc>
                <w:tcPr>
                  <w:tcW w:w="1694" w:type="dxa"/>
                </w:tcPr>
                <w:p w:rsidRPr="003D72E1" w:rsidR="009A36E6" w:rsidP="009A36E6" w14:paraId="166200CB" w14:textId="77777777">
                  <w:pPr>
                    <w:spacing w:line="276" w:lineRule="auto"/>
                    <w:rPr>
                      <w:rFonts w:cs="Calibri"/>
                      <w:sz w:val="16"/>
                      <w:szCs w:val="16"/>
                    </w:rPr>
                  </w:pPr>
                  <w:r w:rsidRPr="003D72E1">
                    <w:rPr>
                      <w:rFonts w:cs="Calibri"/>
                      <w:sz w:val="16"/>
                      <w:szCs w:val="16"/>
                    </w:rPr>
                    <w:t>Gebiedsontwikkeling Sectie –</w:t>
                  </w:r>
                  <w:r w:rsidRPr="003D72E1">
                    <w:rPr>
                      <w:rFonts w:cs="Calibri"/>
                      <w:sz w:val="16"/>
                      <w:szCs w:val="16"/>
                    </w:rPr>
                    <w:br/>
                    <w:t>C</w:t>
                  </w:r>
                </w:p>
              </w:tc>
              <w:tc>
                <w:tcPr>
                  <w:tcW w:w="892" w:type="dxa"/>
                </w:tcPr>
                <w:p w:rsidRPr="003D72E1" w:rsidR="009A36E6" w:rsidP="009A36E6" w14:paraId="48C52930" w14:textId="77777777">
                  <w:pPr>
                    <w:spacing w:line="276" w:lineRule="auto"/>
                    <w:rPr>
                      <w:rFonts w:cs="Calibri"/>
                      <w:sz w:val="16"/>
                      <w:szCs w:val="16"/>
                    </w:rPr>
                  </w:pPr>
                  <w:r w:rsidRPr="003D72E1">
                    <w:rPr>
                      <w:rFonts w:cs="Calibri"/>
                      <w:sz w:val="16"/>
                      <w:szCs w:val="16"/>
                    </w:rPr>
                    <w:t>1.300</w:t>
                  </w:r>
                </w:p>
              </w:tc>
              <w:tc>
                <w:tcPr>
                  <w:tcW w:w="1239" w:type="dxa"/>
                </w:tcPr>
                <w:p w:rsidRPr="003D72E1" w:rsidR="009A36E6" w:rsidP="009A36E6" w14:paraId="4EC9EE2E" w14:textId="77777777">
                  <w:pPr>
                    <w:spacing w:line="276" w:lineRule="auto"/>
                    <w:rPr>
                      <w:rFonts w:cs="Calibri"/>
                      <w:sz w:val="16"/>
                      <w:szCs w:val="16"/>
                    </w:rPr>
                  </w:pPr>
                  <w:r w:rsidRPr="003D72E1">
                    <w:rPr>
                      <w:rFonts w:cs="Calibri"/>
                      <w:sz w:val="16"/>
                      <w:szCs w:val="16"/>
                    </w:rPr>
                    <w:t>€ 15.725.897</w:t>
                  </w:r>
                </w:p>
              </w:tc>
              <w:tc>
                <w:tcPr>
                  <w:tcW w:w="1239" w:type="dxa"/>
                </w:tcPr>
                <w:p w:rsidRPr="003D72E1" w:rsidR="009A36E6" w:rsidP="009A36E6" w14:paraId="33C32916" w14:textId="77777777">
                  <w:pPr>
                    <w:spacing w:line="276" w:lineRule="auto"/>
                    <w:rPr>
                      <w:rFonts w:cs="Calibri"/>
                      <w:sz w:val="16"/>
                      <w:szCs w:val="16"/>
                    </w:rPr>
                  </w:pPr>
                  <w:r w:rsidRPr="003D72E1">
                    <w:rPr>
                      <w:rFonts w:cs="Calibri"/>
                      <w:sz w:val="16"/>
                      <w:szCs w:val="16"/>
                    </w:rPr>
                    <w:t>€ 8.510.343</w:t>
                  </w:r>
                </w:p>
              </w:tc>
              <w:tc>
                <w:tcPr>
                  <w:tcW w:w="2478" w:type="dxa"/>
                </w:tcPr>
                <w:p w:rsidRPr="003D72E1" w:rsidR="009A36E6" w:rsidP="009A36E6" w14:paraId="610C0AAE" w14:textId="77777777">
                  <w:pPr>
                    <w:spacing w:line="276" w:lineRule="auto"/>
                    <w:rPr>
                      <w:rFonts w:cs="Calibri"/>
                      <w:sz w:val="16"/>
                      <w:szCs w:val="16"/>
                    </w:rPr>
                  </w:pPr>
                  <w:r w:rsidRPr="003D72E1">
                    <w:rPr>
                      <w:rFonts w:cs="Calibri"/>
                      <w:sz w:val="16"/>
                      <w:szCs w:val="16"/>
                    </w:rPr>
                    <w:t>Herinrichting kruisingen, aanleg fietspaden, snelheidsverlagingsmaatregelen</w:t>
                  </w:r>
                </w:p>
              </w:tc>
            </w:tr>
            <w:tr w:rsidTr="009935CA" w14:paraId="7E1760A7" w14:textId="77777777">
              <w:tblPrEx>
                <w:tblW w:w="8656" w:type="dxa"/>
                <w:tblInd w:w="0" w:type="dxa"/>
                <w:tblLook w:val="04A0"/>
              </w:tblPrEx>
              <w:tc>
                <w:tcPr>
                  <w:tcW w:w="1114" w:type="dxa"/>
                </w:tcPr>
                <w:p w:rsidRPr="003D72E1" w:rsidR="009A36E6" w:rsidP="009A36E6" w14:paraId="4DA67B55" w14:textId="77777777">
                  <w:pPr>
                    <w:spacing w:line="276" w:lineRule="auto"/>
                    <w:rPr>
                      <w:rFonts w:cs="Calibri"/>
                      <w:sz w:val="16"/>
                      <w:szCs w:val="16"/>
                    </w:rPr>
                  </w:pPr>
                  <w:r w:rsidRPr="003D72E1">
                    <w:rPr>
                      <w:rFonts w:cs="Calibri"/>
                      <w:sz w:val="16"/>
                      <w:szCs w:val="16"/>
                    </w:rPr>
                    <w:t>Goirle</w:t>
                  </w:r>
                </w:p>
              </w:tc>
              <w:tc>
                <w:tcPr>
                  <w:tcW w:w="1694" w:type="dxa"/>
                </w:tcPr>
                <w:p w:rsidRPr="003D72E1" w:rsidR="009A36E6" w:rsidP="009A36E6" w14:paraId="06D6395C" w14:textId="77777777">
                  <w:pPr>
                    <w:spacing w:line="276" w:lineRule="auto"/>
                    <w:rPr>
                      <w:rFonts w:cs="Calibri"/>
                      <w:sz w:val="16"/>
                      <w:szCs w:val="16"/>
                    </w:rPr>
                  </w:pPr>
                  <w:r w:rsidRPr="003D72E1">
                    <w:rPr>
                      <w:rFonts w:cs="Calibri"/>
                      <w:sz w:val="16"/>
                      <w:szCs w:val="16"/>
                    </w:rPr>
                    <w:t>Tilburg Binnenstad (locatie</w:t>
                  </w:r>
                  <w:r w:rsidRPr="003D72E1">
                    <w:rPr>
                      <w:rFonts w:cs="Calibri"/>
                      <w:sz w:val="16"/>
                      <w:szCs w:val="16"/>
                    </w:rPr>
                    <w:br/>
                    <w:t>Bakertand Goirle)</w:t>
                  </w:r>
                </w:p>
              </w:tc>
              <w:tc>
                <w:tcPr>
                  <w:tcW w:w="892" w:type="dxa"/>
                </w:tcPr>
                <w:p w:rsidRPr="003D72E1" w:rsidR="009A36E6" w:rsidP="009A36E6" w14:paraId="63632ADA" w14:textId="77777777">
                  <w:pPr>
                    <w:spacing w:line="276" w:lineRule="auto"/>
                    <w:rPr>
                      <w:rFonts w:cs="Calibri"/>
                      <w:sz w:val="16"/>
                      <w:szCs w:val="16"/>
                    </w:rPr>
                  </w:pPr>
                  <w:r w:rsidRPr="003D72E1">
                    <w:rPr>
                      <w:rFonts w:cs="Calibri"/>
                      <w:sz w:val="16"/>
                      <w:szCs w:val="16"/>
                    </w:rPr>
                    <w:t>735</w:t>
                  </w:r>
                </w:p>
              </w:tc>
              <w:tc>
                <w:tcPr>
                  <w:tcW w:w="1239" w:type="dxa"/>
                </w:tcPr>
                <w:p w:rsidRPr="003D72E1" w:rsidR="009A36E6" w:rsidP="009A36E6" w14:paraId="6E6FE261" w14:textId="77777777">
                  <w:pPr>
                    <w:spacing w:line="276" w:lineRule="auto"/>
                    <w:rPr>
                      <w:rFonts w:cs="Calibri"/>
                      <w:sz w:val="16"/>
                      <w:szCs w:val="16"/>
                    </w:rPr>
                  </w:pPr>
                  <w:r w:rsidRPr="003D72E1">
                    <w:rPr>
                      <w:rFonts w:cs="Calibri"/>
                      <w:sz w:val="16"/>
                      <w:szCs w:val="16"/>
                    </w:rPr>
                    <w:t>€ 4.991.940</w:t>
                  </w:r>
                </w:p>
              </w:tc>
              <w:tc>
                <w:tcPr>
                  <w:tcW w:w="1239" w:type="dxa"/>
                </w:tcPr>
                <w:p w:rsidRPr="003D72E1" w:rsidR="009A36E6" w:rsidP="009A36E6" w14:paraId="554CA6BD" w14:textId="77777777">
                  <w:pPr>
                    <w:spacing w:line="276" w:lineRule="auto"/>
                    <w:rPr>
                      <w:rFonts w:cs="Calibri"/>
                      <w:sz w:val="16"/>
                      <w:szCs w:val="16"/>
                    </w:rPr>
                  </w:pPr>
                  <w:r w:rsidRPr="003D72E1">
                    <w:rPr>
                      <w:rFonts w:cs="Calibri"/>
                      <w:sz w:val="16"/>
                      <w:szCs w:val="16"/>
                    </w:rPr>
                    <w:t>€ 2.701.575</w:t>
                  </w:r>
                </w:p>
              </w:tc>
              <w:tc>
                <w:tcPr>
                  <w:tcW w:w="2478" w:type="dxa"/>
                </w:tcPr>
                <w:p w:rsidRPr="003D72E1" w:rsidR="009A36E6" w:rsidP="009A36E6" w14:paraId="78A5721B" w14:textId="77777777">
                  <w:pPr>
                    <w:spacing w:line="276" w:lineRule="auto"/>
                    <w:rPr>
                      <w:rFonts w:cs="Calibri"/>
                      <w:sz w:val="16"/>
                      <w:szCs w:val="16"/>
                    </w:rPr>
                  </w:pPr>
                  <w:r w:rsidRPr="003D72E1">
                    <w:rPr>
                      <w:rFonts w:cs="Calibri"/>
                      <w:sz w:val="16"/>
                      <w:szCs w:val="16"/>
                    </w:rPr>
                    <w:t>Aanleg rotondes, herinrichting ontsluitingswegen, realisaite bushalte</w:t>
                  </w:r>
                </w:p>
              </w:tc>
            </w:tr>
            <w:tr w:rsidTr="009935CA" w14:paraId="207CA931" w14:textId="77777777">
              <w:tblPrEx>
                <w:tblW w:w="8656" w:type="dxa"/>
                <w:tblInd w:w="0" w:type="dxa"/>
                <w:tblLook w:val="04A0"/>
              </w:tblPrEx>
              <w:tc>
                <w:tcPr>
                  <w:tcW w:w="1114" w:type="dxa"/>
                </w:tcPr>
                <w:p w:rsidRPr="003D72E1" w:rsidR="009A36E6" w:rsidP="009A36E6" w14:paraId="61E3E7C5" w14:textId="77777777">
                  <w:pPr>
                    <w:spacing w:line="276" w:lineRule="auto"/>
                    <w:rPr>
                      <w:rFonts w:cs="Calibri"/>
                      <w:sz w:val="16"/>
                      <w:szCs w:val="16"/>
                    </w:rPr>
                  </w:pPr>
                  <w:r w:rsidRPr="003D72E1">
                    <w:rPr>
                      <w:rFonts w:cs="Calibri"/>
                      <w:sz w:val="16"/>
                      <w:szCs w:val="16"/>
                    </w:rPr>
                    <w:t>Laarbeek</w:t>
                  </w:r>
                </w:p>
              </w:tc>
              <w:tc>
                <w:tcPr>
                  <w:tcW w:w="1694" w:type="dxa"/>
                </w:tcPr>
                <w:p w:rsidRPr="003D72E1" w:rsidR="009A36E6" w:rsidP="009A36E6" w14:paraId="7F3F4934" w14:textId="77777777">
                  <w:pPr>
                    <w:spacing w:line="276" w:lineRule="auto"/>
                    <w:rPr>
                      <w:rFonts w:cs="Calibri"/>
                      <w:sz w:val="16"/>
                      <w:szCs w:val="16"/>
                    </w:rPr>
                  </w:pPr>
                  <w:r w:rsidRPr="003D72E1">
                    <w:rPr>
                      <w:rFonts w:cs="Calibri"/>
                      <w:sz w:val="16"/>
                      <w:szCs w:val="16"/>
                    </w:rPr>
                    <w:t>Beekse Akkers N615</w:t>
                  </w:r>
                </w:p>
              </w:tc>
              <w:tc>
                <w:tcPr>
                  <w:tcW w:w="892" w:type="dxa"/>
                </w:tcPr>
                <w:p w:rsidRPr="003D72E1" w:rsidR="009A36E6" w:rsidP="009A36E6" w14:paraId="39E84B86" w14:textId="77777777">
                  <w:pPr>
                    <w:spacing w:line="276" w:lineRule="auto"/>
                    <w:rPr>
                      <w:rFonts w:cs="Calibri"/>
                      <w:sz w:val="16"/>
                      <w:szCs w:val="16"/>
                    </w:rPr>
                  </w:pPr>
                  <w:r w:rsidRPr="003D72E1">
                    <w:rPr>
                      <w:rFonts w:cs="Calibri"/>
                      <w:sz w:val="16"/>
                      <w:szCs w:val="16"/>
                    </w:rPr>
                    <w:t>593</w:t>
                  </w:r>
                </w:p>
              </w:tc>
              <w:tc>
                <w:tcPr>
                  <w:tcW w:w="1239" w:type="dxa"/>
                </w:tcPr>
                <w:p w:rsidRPr="003D72E1" w:rsidR="009A36E6" w:rsidP="009A36E6" w14:paraId="1FA6226E" w14:textId="77777777">
                  <w:pPr>
                    <w:spacing w:line="276" w:lineRule="auto"/>
                    <w:rPr>
                      <w:rFonts w:cs="Calibri"/>
                      <w:sz w:val="16"/>
                      <w:szCs w:val="16"/>
                    </w:rPr>
                  </w:pPr>
                  <w:r w:rsidRPr="003D72E1">
                    <w:rPr>
                      <w:rFonts w:cs="Calibri"/>
                      <w:sz w:val="16"/>
                      <w:szCs w:val="16"/>
                    </w:rPr>
                    <w:t>€ 5.899.170</w:t>
                  </w:r>
                </w:p>
              </w:tc>
              <w:tc>
                <w:tcPr>
                  <w:tcW w:w="1239" w:type="dxa"/>
                </w:tcPr>
                <w:p w:rsidRPr="003D72E1" w:rsidR="009A36E6" w:rsidP="009A36E6" w14:paraId="4383AC21" w14:textId="77777777">
                  <w:pPr>
                    <w:spacing w:line="276" w:lineRule="auto"/>
                    <w:rPr>
                      <w:rFonts w:cs="Calibri"/>
                      <w:sz w:val="16"/>
                      <w:szCs w:val="16"/>
                    </w:rPr>
                  </w:pPr>
                  <w:r w:rsidRPr="003D72E1">
                    <w:rPr>
                      <w:rFonts w:cs="Calibri"/>
                      <w:sz w:val="16"/>
                      <w:szCs w:val="16"/>
                    </w:rPr>
                    <w:t>€ 7.831.439</w:t>
                  </w:r>
                </w:p>
              </w:tc>
              <w:tc>
                <w:tcPr>
                  <w:tcW w:w="2478" w:type="dxa"/>
                </w:tcPr>
                <w:p w:rsidRPr="003D72E1" w:rsidR="009A36E6" w:rsidP="009A36E6" w14:paraId="2D6F437C" w14:textId="77777777">
                  <w:pPr>
                    <w:spacing w:line="276" w:lineRule="auto"/>
                    <w:rPr>
                      <w:rFonts w:cs="Calibri"/>
                      <w:sz w:val="16"/>
                      <w:szCs w:val="16"/>
                    </w:rPr>
                  </w:pPr>
                  <w:r w:rsidRPr="003D72E1">
                    <w:rPr>
                      <w:rFonts w:cs="Calibri"/>
                      <w:sz w:val="16"/>
                      <w:szCs w:val="16"/>
                    </w:rPr>
                    <w:t>Aanleg rotonde, aanleg fiets- en voetgangerstunnel, herinrichting ontsluitingsweg</w:t>
                  </w:r>
                </w:p>
              </w:tc>
            </w:tr>
            <w:tr w:rsidTr="009935CA" w14:paraId="0549C07B" w14:textId="77777777">
              <w:tblPrEx>
                <w:tblW w:w="8656" w:type="dxa"/>
                <w:tblInd w:w="0" w:type="dxa"/>
                <w:tblLook w:val="04A0"/>
              </w:tblPrEx>
              <w:tc>
                <w:tcPr>
                  <w:tcW w:w="1114" w:type="dxa"/>
                </w:tcPr>
                <w:p w:rsidRPr="003D72E1" w:rsidR="009A36E6" w:rsidP="009A36E6" w14:paraId="697378AB" w14:textId="77777777">
                  <w:pPr>
                    <w:spacing w:line="276" w:lineRule="auto"/>
                    <w:rPr>
                      <w:rFonts w:cs="Calibri"/>
                      <w:sz w:val="16"/>
                      <w:szCs w:val="16"/>
                    </w:rPr>
                  </w:pPr>
                  <w:r w:rsidRPr="003D72E1">
                    <w:rPr>
                      <w:rFonts w:cs="Calibri"/>
                      <w:sz w:val="16"/>
                      <w:szCs w:val="16"/>
                    </w:rPr>
                    <w:t>Maastricht</w:t>
                  </w:r>
                </w:p>
              </w:tc>
              <w:tc>
                <w:tcPr>
                  <w:tcW w:w="1694" w:type="dxa"/>
                </w:tcPr>
                <w:p w:rsidRPr="003D72E1" w:rsidR="009A36E6" w:rsidP="009A36E6" w14:paraId="0DE916FC" w14:textId="77777777">
                  <w:pPr>
                    <w:spacing w:line="276" w:lineRule="auto"/>
                    <w:rPr>
                      <w:rFonts w:cs="Calibri"/>
                      <w:sz w:val="16"/>
                      <w:szCs w:val="16"/>
                    </w:rPr>
                  </w:pPr>
                  <w:r w:rsidRPr="003D72E1">
                    <w:rPr>
                      <w:rFonts w:cs="Calibri"/>
                      <w:sz w:val="16"/>
                      <w:szCs w:val="16"/>
                    </w:rPr>
                    <w:t>Spoor Zuid</w:t>
                  </w:r>
                </w:p>
              </w:tc>
              <w:tc>
                <w:tcPr>
                  <w:tcW w:w="892" w:type="dxa"/>
                </w:tcPr>
                <w:p w:rsidRPr="003D72E1" w:rsidR="009A36E6" w:rsidP="009A36E6" w14:paraId="42237360" w14:textId="77777777">
                  <w:pPr>
                    <w:spacing w:line="276" w:lineRule="auto"/>
                    <w:rPr>
                      <w:rFonts w:cs="Calibri"/>
                      <w:sz w:val="16"/>
                      <w:szCs w:val="16"/>
                    </w:rPr>
                  </w:pPr>
                  <w:r w:rsidRPr="003D72E1">
                    <w:rPr>
                      <w:rFonts w:cs="Calibri"/>
                      <w:sz w:val="16"/>
                      <w:szCs w:val="16"/>
                    </w:rPr>
                    <w:t>1.108</w:t>
                  </w:r>
                </w:p>
              </w:tc>
              <w:tc>
                <w:tcPr>
                  <w:tcW w:w="1239" w:type="dxa"/>
                </w:tcPr>
                <w:p w:rsidRPr="003D72E1" w:rsidR="009A36E6" w:rsidP="009A36E6" w14:paraId="650DFBB2" w14:textId="77777777">
                  <w:pPr>
                    <w:spacing w:line="276" w:lineRule="auto"/>
                    <w:rPr>
                      <w:rFonts w:cs="Calibri"/>
                      <w:sz w:val="16"/>
                      <w:szCs w:val="16"/>
                    </w:rPr>
                  </w:pPr>
                  <w:r w:rsidRPr="003D72E1">
                    <w:rPr>
                      <w:rFonts w:cs="Calibri"/>
                      <w:sz w:val="16"/>
                      <w:szCs w:val="16"/>
                    </w:rPr>
                    <w:t>€ 9.466.616</w:t>
                  </w:r>
                </w:p>
              </w:tc>
              <w:tc>
                <w:tcPr>
                  <w:tcW w:w="1239" w:type="dxa"/>
                </w:tcPr>
                <w:p w:rsidRPr="003D72E1" w:rsidR="009A36E6" w:rsidP="009A36E6" w14:paraId="647DC2FD" w14:textId="77777777">
                  <w:pPr>
                    <w:spacing w:line="276" w:lineRule="auto"/>
                    <w:rPr>
                      <w:rFonts w:cs="Calibri"/>
                      <w:sz w:val="16"/>
                      <w:szCs w:val="16"/>
                    </w:rPr>
                  </w:pPr>
                  <w:r w:rsidRPr="003D72E1">
                    <w:rPr>
                      <w:rFonts w:cs="Calibri"/>
                      <w:sz w:val="16"/>
                      <w:szCs w:val="16"/>
                    </w:rPr>
                    <w:t>€ 8.800.000</w:t>
                  </w:r>
                </w:p>
              </w:tc>
              <w:tc>
                <w:tcPr>
                  <w:tcW w:w="2478" w:type="dxa"/>
                </w:tcPr>
                <w:p w:rsidRPr="003D72E1" w:rsidR="009A36E6" w:rsidP="009A36E6" w14:paraId="47AE5042" w14:textId="77777777">
                  <w:pPr>
                    <w:spacing w:line="276" w:lineRule="auto"/>
                    <w:rPr>
                      <w:rFonts w:cs="Calibri"/>
                      <w:sz w:val="16"/>
                      <w:szCs w:val="16"/>
                    </w:rPr>
                  </w:pPr>
                  <w:r w:rsidRPr="003D72E1">
                    <w:rPr>
                      <w:rFonts w:cs="Calibri"/>
                      <w:sz w:val="16"/>
                      <w:szCs w:val="16"/>
                    </w:rPr>
                    <w:t>Aanleg fiets- en voetgangerspaden</w:t>
                  </w:r>
                </w:p>
              </w:tc>
            </w:tr>
            <w:tr w:rsidTr="009935CA" w14:paraId="4A0879D0" w14:textId="77777777">
              <w:tblPrEx>
                <w:tblW w:w="8656" w:type="dxa"/>
                <w:tblInd w:w="0" w:type="dxa"/>
                <w:tblLook w:val="04A0"/>
              </w:tblPrEx>
              <w:tc>
                <w:tcPr>
                  <w:tcW w:w="1114" w:type="dxa"/>
                </w:tcPr>
                <w:p w:rsidRPr="003D72E1" w:rsidR="009A36E6" w:rsidP="009A36E6" w14:paraId="7969F39D" w14:textId="77777777">
                  <w:pPr>
                    <w:spacing w:line="276" w:lineRule="auto"/>
                    <w:rPr>
                      <w:rFonts w:cs="Calibri"/>
                      <w:sz w:val="16"/>
                      <w:szCs w:val="16"/>
                    </w:rPr>
                  </w:pPr>
                  <w:r w:rsidRPr="003D72E1">
                    <w:rPr>
                      <w:rFonts w:cs="Calibri"/>
                      <w:sz w:val="16"/>
                      <w:szCs w:val="16"/>
                    </w:rPr>
                    <w:t>Maastricht</w:t>
                  </w:r>
                </w:p>
              </w:tc>
              <w:tc>
                <w:tcPr>
                  <w:tcW w:w="1694" w:type="dxa"/>
                </w:tcPr>
                <w:p w:rsidRPr="003D72E1" w:rsidR="009A36E6" w:rsidP="009A36E6" w14:paraId="70B3D26E" w14:textId="77777777">
                  <w:pPr>
                    <w:spacing w:line="276" w:lineRule="auto"/>
                    <w:rPr>
                      <w:rFonts w:cs="Calibri"/>
                      <w:sz w:val="16"/>
                      <w:szCs w:val="16"/>
                    </w:rPr>
                  </w:pPr>
                  <w:r w:rsidRPr="003D72E1">
                    <w:rPr>
                      <w:rFonts w:cs="Calibri"/>
                      <w:sz w:val="16"/>
                      <w:szCs w:val="16"/>
                    </w:rPr>
                    <w:t>Traga-Zinkwit</w:t>
                  </w:r>
                </w:p>
              </w:tc>
              <w:tc>
                <w:tcPr>
                  <w:tcW w:w="892" w:type="dxa"/>
                </w:tcPr>
                <w:p w:rsidRPr="003D72E1" w:rsidR="009A36E6" w:rsidP="009A36E6" w14:paraId="3D9CC4AA" w14:textId="77777777">
                  <w:pPr>
                    <w:spacing w:line="276" w:lineRule="auto"/>
                    <w:rPr>
                      <w:rFonts w:cs="Calibri"/>
                      <w:sz w:val="16"/>
                      <w:szCs w:val="16"/>
                    </w:rPr>
                  </w:pPr>
                  <w:r w:rsidRPr="003D72E1">
                    <w:rPr>
                      <w:rFonts w:cs="Calibri"/>
                      <w:sz w:val="16"/>
                      <w:szCs w:val="16"/>
                    </w:rPr>
                    <w:t>1.127</w:t>
                  </w:r>
                </w:p>
              </w:tc>
              <w:tc>
                <w:tcPr>
                  <w:tcW w:w="1239" w:type="dxa"/>
                </w:tcPr>
                <w:p w:rsidRPr="003D72E1" w:rsidR="009A36E6" w:rsidP="009A36E6" w14:paraId="42318D97" w14:textId="77777777">
                  <w:pPr>
                    <w:spacing w:line="276" w:lineRule="auto"/>
                    <w:rPr>
                      <w:rFonts w:cs="Calibri"/>
                      <w:sz w:val="16"/>
                      <w:szCs w:val="16"/>
                    </w:rPr>
                  </w:pPr>
                  <w:r w:rsidRPr="003D72E1">
                    <w:rPr>
                      <w:rFonts w:cs="Calibri"/>
                      <w:sz w:val="16"/>
                      <w:szCs w:val="16"/>
                    </w:rPr>
                    <w:t>€ 11.144.000</w:t>
                  </w:r>
                </w:p>
              </w:tc>
              <w:tc>
                <w:tcPr>
                  <w:tcW w:w="1239" w:type="dxa"/>
                </w:tcPr>
                <w:p w:rsidRPr="003D72E1" w:rsidR="009A36E6" w:rsidP="009A36E6" w14:paraId="0211BFE9" w14:textId="77777777">
                  <w:pPr>
                    <w:spacing w:line="276" w:lineRule="auto"/>
                    <w:rPr>
                      <w:rFonts w:cs="Calibri"/>
                      <w:sz w:val="16"/>
                      <w:szCs w:val="16"/>
                    </w:rPr>
                  </w:pPr>
                  <w:r w:rsidRPr="003D72E1">
                    <w:rPr>
                      <w:rFonts w:cs="Calibri"/>
                      <w:sz w:val="16"/>
                      <w:szCs w:val="16"/>
                    </w:rPr>
                    <w:t>€ 21.575.000</w:t>
                  </w:r>
                </w:p>
              </w:tc>
              <w:tc>
                <w:tcPr>
                  <w:tcW w:w="2478" w:type="dxa"/>
                </w:tcPr>
                <w:p w:rsidRPr="003D72E1" w:rsidR="009A36E6" w:rsidP="009A36E6" w14:paraId="7DFC1041" w14:textId="77777777">
                  <w:pPr>
                    <w:spacing w:line="276" w:lineRule="auto"/>
                    <w:rPr>
                      <w:rFonts w:cs="Calibri"/>
                      <w:sz w:val="16"/>
                      <w:szCs w:val="16"/>
                    </w:rPr>
                  </w:pPr>
                  <w:r w:rsidRPr="003D72E1">
                    <w:rPr>
                      <w:rFonts w:cs="Calibri"/>
                      <w:sz w:val="16"/>
                      <w:szCs w:val="16"/>
                    </w:rPr>
                    <w:t>Aanleg fiets- en voetgangersbrug, aanleg ontsluitingsweg</w:t>
                  </w:r>
                </w:p>
              </w:tc>
            </w:tr>
            <w:tr w:rsidTr="009935CA" w14:paraId="3D8523A8" w14:textId="77777777">
              <w:tblPrEx>
                <w:tblW w:w="8656" w:type="dxa"/>
                <w:tblInd w:w="0" w:type="dxa"/>
                <w:tblLook w:val="04A0"/>
              </w:tblPrEx>
              <w:tc>
                <w:tcPr>
                  <w:tcW w:w="1114" w:type="dxa"/>
                </w:tcPr>
                <w:p w:rsidRPr="003D72E1" w:rsidR="009A36E6" w:rsidP="009A36E6" w14:paraId="4235F635" w14:textId="77777777">
                  <w:pPr>
                    <w:spacing w:line="276" w:lineRule="auto"/>
                    <w:rPr>
                      <w:rFonts w:cs="Calibri"/>
                      <w:sz w:val="16"/>
                      <w:szCs w:val="16"/>
                    </w:rPr>
                  </w:pPr>
                  <w:r w:rsidRPr="003D72E1">
                    <w:rPr>
                      <w:rFonts w:cs="Calibri"/>
                      <w:sz w:val="16"/>
                      <w:szCs w:val="16"/>
                    </w:rPr>
                    <w:t>Maastricht</w:t>
                  </w:r>
                </w:p>
              </w:tc>
              <w:tc>
                <w:tcPr>
                  <w:tcW w:w="1694" w:type="dxa"/>
                </w:tcPr>
                <w:p w:rsidRPr="003D72E1" w:rsidR="009A36E6" w:rsidP="009A36E6" w14:paraId="2B331A55" w14:textId="77777777">
                  <w:pPr>
                    <w:spacing w:line="276" w:lineRule="auto"/>
                    <w:rPr>
                      <w:rFonts w:cs="Calibri"/>
                      <w:sz w:val="16"/>
                      <w:szCs w:val="16"/>
                    </w:rPr>
                  </w:pPr>
                  <w:r w:rsidRPr="003D72E1">
                    <w:rPr>
                      <w:rFonts w:cs="Calibri"/>
                      <w:sz w:val="16"/>
                      <w:szCs w:val="16"/>
                    </w:rPr>
                    <w:t>Stationskwartier</w:t>
                  </w:r>
                </w:p>
              </w:tc>
              <w:tc>
                <w:tcPr>
                  <w:tcW w:w="892" w:type="dxa"/>
                </w:tcPr>
                <w:p w:rsidRPr="003D72E1" w:rsidR="009A36E6" w:rsidP="009A36E6" w14:paraId="628608DE" w14:textId="77777777">
                  <w:pPr>
                    <w:spacing w:line="276" w:lineRule="auto"/>
                    <w:rPr>
                      <w:rFonts w:cs="Calibri"/>
                      <w:sz w:val="16"/>
                      <w:szCs w:val="16"/>
                    </w:rPr>
                  </w:pPr>
                  <w:r w:rsidRPr="003D72E1">
                    <w:rPr>
                      <w:rFonts w:cs="Calibri"/>
                      <w:sz w:val="16"/>
                      <w:szCs w:val="16"/>
                    </w:rPr>
                    <w:t>549</w:t>
                  </w:r>
                </w:p>
              </w:tc>
              <w:tc>
                <w:tcPr>
                  <w:tcW w:w="1239" w:type="dxa"/>
                </w:tcPr>
                <w:p w:rsidRPr="003D72E1" w:rsidR="009A36E6" w:rsidP="009A36E6" w14:paraId="4B0F0C42" w14:textId="77777777">
                  <w:pPr>
                    <w:spacing w:line="276" w:lineRule="auto"/>
                    <w:rPr>
                      <w:rFonts w:cs="Calibri"/>
                      <w:sz w:val="16"/>
                      <w:szCs w:val="16"/>
                    </w:rPr>
                  </w:pPr>
                  <w:r w:rsidRPr="003D72E1">
                    <w:rPr>
                      <w:rFonts w:cs="Calibri"/>
                      <w:sz w:val="16"/>
                      <w:szCs w:val="16"/>
                    </w:rPr>
                    <w:t>€ 5.452.600</w:t>
                  </w:r>
                </w:p>
              </w:tc>
              <w:tc>
                <w:tcPr>
                  <w:tcW w:w="1239" w:type="dxa"/>
                </w:tcPr>
                <w:p w:rsidRPr="003D72E1" w:rsidR="009A36E6" w:rsidP="009A36E6" w14:paraId="1B561120" w14:textId="77777777">
                  <w:pPr>
                    <w:spacing w:line="276" w:lineRule="auto"/>
                    <w:rPr>
                      <w:rFonts w:cs="Calibri"/>
                      <w:sz w:val="16"/>
                      <w:szCs w:val="16"/>
                    </w:rPr>
                  </w:pPr>
                  <w:r w:rsidRPr="003D72E1">
                    <w:rPr>
                      <w:rFonts w:cs="Calibri"/>
                      <w:sz w:val="16"/>
                      <w:szCs w:val="16"/>
                    </w:rPr>
                    <w:t>€ 3.536.500</w:t>
                  </w:r>
                </w:p>
              </w:tc>
              <w:tc>
                <w:tcPr>
                  <w:tcW w:w="2478" w:type="dxa"/>
                </w:tcPr>
                <w:p w:rsidRPr="003D72E1" w:rsidR="009A36E6" w:rsidP="009A36E6" w14:paraId="4FDBC799" w14:textId="77777777">
                  <w:pPr>
                    <w:spacing w:line="276" w:lineRule="auto"/>
                    <w:rPr>
                      <w:rFonts w:cs="Calibri"/>
                      <w:sz w:val="16"/>
                      <w:szCs w:val="16"/>
                    </w:rPr>
                  </w:pPr>
                  <w:r w:rsidRPr="003D72E1">
                    <w:rPr>
                      <w:rFonts w:cs="Calibri"/>
                      <w:sz w:val="16"/>
                      <w:szCs w:val="16"/>
                    </w:rPr>
                    <w:t>Aanleg fiets- en voetgangerspaden</w:t>
                  </w:r>
                </w:p>
              </w:tc>
            </w:tr>
            <w:tr w:rsidTr="009935CA" w14:paraId="689F6094" w14:textId="77777777">
              <w:tblPrEx>
                <w:tblW w:w="8656" w:type="dxa"/>
                <w:tblInd w:w="0" w:type="dxa"/>
                <w:tblLook w:val="04A0"/>
              </w:tblPrEx>
              <w:tc>
                <w:tcPr>
                  <w:tcW w:w="1114" w:type="dxa"/>
                </w:tcPr>
                <w:p w:rsidRPr="003D72E1" w:rsidR="009A36E6" w:rsidP="009A36E6" w14:paraId="37B5AD29" w14:textId="77777777">
                  <w:pPr>
                    <w:spacing w:line="276" w:lineRule="auto"/>
                    <w:rPr>
                      <w:rFonts w:cs="Calibri"/>
                      <w:sz w:val="16"/>
                      <w:szCs w:val="16"/>
                    </w:rPr>
                  </w:pPr>
                  <w:r w:rsidRPr="003D72E1">
                    <w:rPr>
                      <w:rFonts w:cs="Calibri"/>
                      <w:sz w:val="16"/>
                      <w:szCs w:val="16"/>
                    </w:rPr>
                    <w:t>Meierijstad</w:t>
                  </w:r>
                </w:p>
              </w:tc>
              <w:tc>
                <w:tcPr>
                  <w:tcW w:w="1694" w:type="dxa"/>
                </w:tcPr>
                <w:p w:rsidRPr="003D72E1" w:rsidR="009A36E6" w:rsidP="009A36E6" w14:paraId="4FC0E286" w14:textId="77777777">
                  <w:pPr>
                    <w:spacing w:line="276" w:lineRule="auto"/>
                    <w:rPr>
                      <w:rFonts w:cs="Calibri"/>
                      <w:sz w:val="16"/>
                      <w:szCs w:val="16"/>
                    </w:rPr>
                  </w:pPr>
                  <w:r w:rsidRPr="003D72E1">
                    <w:rPr>
                      <w:rFonts w:cs="Calibri"/>
                      <w:sz w:val="16"/>
                      <w:szCs w:val="16"/>
                    </w:rPr>
                    <w:t>Ontwikkelas Veghel</w:t>
                  </w:r>
                </w:p>
              </w:tc>
              <w:tc>
                <w:tcPr>
                  <w:tcW w:w="892" w:type="dxa"/>
                </w:tcPr>
                <w:p w:rsidRPr="003D72E1" w:rsidR="009A36E6" w:rsidP="009A36E6" w14:paraId="35BF0659" w14:textId="77777777">
                  <w:pPr>
                    <w:spacing w:line="276" w:lineRule="auto"/>
                    <w:rPr>
                      <w:rFonts w:cs="Calibri"/>
                      <w:sz w:val="16"/>
                      <w:szCs w:val="16"/>
                    </w:rPr>
                  </w:pPr>
                  <w:r w:rsidRPr="003D72E1">
                    <w:rPr>
                      <w:rFonts w:cs="Calibri"/>
                      <w:sz w:val="16"/>
                      <w:szCs w:val="16"/>
                    </w:rPr>
                    <w:t>2.490</w:t>
                  </w:r>
                </w:p>
              </w:tc>
              <w:tc>
                <w:tcPr>
                  <w:tcW w:w="1239" w:type="dxa"/>
                </w:tcPr>
                <w:p w:rsidRPr="003D72E1" w:rsidR="009A36E6" w:rsidP="009A36E6" w14:paraId="7C634BBC" w14:textId="77777777">
                  <w:pPr>
                    <w:spacing w:line="276" w:lineRule="auto"/>
                    <w:rPr>
                      <w:rFonts w:cs="Calibri"/>
                      <w:sz w:val="16"/>
                      <w:szCs w:val="16"/>
                    </w:rPr>
                  </w:pPr>
                  <w:r w:rsidRPr="003D72E1">
                    <w:rPr>
                      <w:rFonts w:cs="Calibri"/>
                      <w:sz w:val="16"/>
                      <w:szCs w:val="16"/>
                    </w:rPr>
                    <w:t>€ 28.289.368</w:t>
                  </w:r>
                </w:p>
              </w:tc>
              <w:tc>
                <w:tcPr>
                  <w:tcW w:w="1239" w:type="dxa"/>
                </w:tcPr>
                <w:p w:rsidRPr="003D72E1" w:rsidR="009A36E6" w:rsidP="009A36E6" w14:paraId="085D6F79" w14:textId="77777777">
                  <w:pPr>
                    <w:spacing w:line="276" w:lineRule="auto"/>
                    <w:rPr>
                      <w:rFonts w:cs="Calibri"/>
                      <w:sz w:val="16"/>
                      <w:szCs w:val="16"/>
                    </w:rPr>
                  </w:pPr>
                  <w:r w:rsidRPr="003D72E1">
                    <w:rPr>
                      <w:rFonts w:cs="Calibri"/>
                      <w:sz w:val="16"/>
                      <w:szCs w:val="16"/>
                    </w:rPr>
                    <w:t>€ 15.309.283</w:t>
                  </w:r>
                </w:p>
              </w:tc>
              <w:tc>
                <w:tcPr>
                  <w:tcW w:w="2478" w:type="dxa"/>
                </w:tcPr>
                <w:p w:rsidRPr="003D72E1" w:rsidR="009A36E6" w:rsidP="009A36E6" w14:paraId="038A3852" w14:textId="77777777">
                  <w:pPr>
                    <w:spacing w:line="276" w:lineRule="auto"/>
                    <w:rPr>
                      <w:rFonts w:cs="Calibri"/>
                      <w:sz w:val="16"/>
                      <w:szCs w:val="16"/>
                    </w:rPr>
                  </w:pPr>
                  <w:r w:rsidRPr="003D72E1">
                    <w:rPr>
                      <w:rFonts w:cs="Calibri"/>
                      <w:sz w:val="16"/>
                      <w:szCs w:val="16"/>
                    </w:rPr>
                    <w:t>Herinrichting ontsluitingswegen, herinrichting kruisingen, aanleg HOV</w:t>
                  </w:r>
                </w:p>
              </w:tc>
            </w:tr>
            <w:tr w:rsidTr="009935CA" w14:paraId="6691275F" w14:textId="77777777">
              <w:tblPrEx>
                <w:tblW w:w="8656" w:type="dxa"/>
                <w:tblInd w:w="0" w:type="dxa"/>
                <w:tblLook w:val="04A0"/>
              </w:tblPrEx>
              <w:tc>
                <w:tcPr>
                  <w:tcW w:w="1114" w:type="dxa"/>
                </w:tcPr>
                <w:p w:rsidRPr="003D72E1" w:rsidR="009A36E6" w:rsidP="009A36E6" w14:paraId="4548EFD9" w14:textId="77777777">
                  <w:pPr>
                    <w:spacing w:line="276" w:lineRule="auto"/>
                    <w:rPr>
                      <w:rFonts w:cs="Calibri"/>
                      <w:sz w:val="16"/>
                      <w:szCs w:val="16"/>
                    </w:rPr>
                  </w:pPr>
                  <w:r w:rsidRPr="003D72E1">
                    <w:rPr>
                      <w:rFonts w:cs="Calibri"/>
                      <w:sz w:val="16"/>
                      <w:szCs w:val="16"/>
                    </w:rPr>
                    <w:t>Oisterwijk</w:t>
                  </w:r>
                </w:p>
              </w:tc>
              <w:tc>
                <w:tcPr>
                  <w:tcW w:w="1694" w:type="dxa"/>
                </w:tcPr>
                <w:p w:rsidRPr="003D72E1" w:rsidR="009A36E6" w:rsidP="009A36E6" w14:paraId="1A2628C2" w14:textId="77777777">
                  <w:pPr>
                    <w:spacing w:line="276" w:lineRule="auto"/>
                    <w:rPr>
                      <w:rFonts w:cs="Calibri"/>
                      <w:sz w:val="16"/>
                      <w:szCs w:val="16"/>
                    </w:rPr>
                  </w:pPr>
                  <w:r w:rsidRPr="003D72E1">
                    <w:rPr>
                      <w:rFonts w:cs="Calibri"/>
                      <w:sz w:val="16"/>
                      <w:szCs w:val="16"/>
                    </w:rPr>
                    <w:t>Haarendael</w:t>
                  </w:r>
                </w:p>
              </w:tc>
              <w:tc>
                <w:tcPr>
                  <w:tcW w:w="892" w:type="dxa"/>
                </w:tcPr>
                <w:p w:rsidRPr="003D72E1" w:rsidR="009A36E6" w:rsidP="009A36E6" w14:paraId="44F6548C" w14:textId="77777777">
                  <w:pPr>
                    <w:spacing w:line="276" w:lineRule="auto"/>
                    <w:rPr>
                      <w:rFonts w:cs="Calibri"/>
                      <w:sz w:val="16"/>
                      <w:szCs w:val="16"/>
                    </w:rPr>
                  </w:pPr>
                  <w:r w:rsidRPr="003D72E1">
                    <w:rPr>
                      <w:rFonts w:cs="Calibri"/>
                      <w:sz w:val="16"/>
                      <w:szCs w:val="16"/>
                    </w:rPr>
                    <w:t>243</w:t>
                  </w:r>
                </w:p>
              </w:tc>
              <w:tc>
                <w:tcPr>
                  <w:tcW w:w="1239" w:type="dxa"/>
                </w:tcPr>
                <w:p w:rsidRPr="003D72E1" w:rsidR="009A36E6" w:rsidP="009A36E6" w14:paraId="39164FEF" w14:textId="77777777">
                  <w:pPr>
                    <w:spacing w:line="276" w:lineRule="auto"/>
                    <w:rPr>
                      <w:rFonts w:cs="Calibri"/>
                      <w:sz w:val="16"/>
                      <w:szCs w:val="16"/>
                    </w:rPr>
                  </w:pPr>
                  <w:r w:rsidRPr="003D72E1">
                    <w:rPr>
                      <w:rFonts w:cs="Calibri"/>
                      <w:sz w:val="16"/>
                      <w:szCs w:val="16"/>
                    </w:rPr>
                    <w:t>€ 711.425</w:t>
                  </w:r>
                </w:p>
              </w:tc>
              <w:tc>
                <w:tcPr>
                  <w:tcW w:w="1239" w:type="dxa"/>
                </w:tcPr>
                <w:p w:rsidRPr="003D72E1" w:rsidR="009A36E6" w:rsidP="009A36E6" w14:paraId="28054BD5" w14:textId="77777777">
                  <w:pPr>
                    <w:spacing w:line="276" w:lineRule="auto"/>
                    <w:rPr>
                      <w:rFonts w:cs="Calibri"/>
                      <w:sz w:val="16"/>
                      <w:szCs w:val="16"/>
                    </w:rPr>
                  </w:pPr>
                  <w:r w:rsidRPr="003D72E1">
                    <w:rPr>
                      <w:rFonts w:cs="Calibri"/>
                      <w:sz w:val="16"/>
                      <w:szCs w:val="16"/>
                    </w:rPr>
                    <w:t>€ 616.000</w:t>
                  </w:r>
                </w:p>
              </w:tc>
              <w:tc>
                <w:tcPr>
                  <w:tcW w:w="2478" w:type="dxa"/>
                </w:tcPr>
                <w:p w:rsidRPr="003D72E1" w:rsidR="009A36E6" w:rsidP="009A36E6" w14:paraId="6E3AF335" w14:textId="77777777">
                  <w:pPr>
                    <w:spacing w:line="276" w:lineRule="auto"/>
                    <w:rPr>
                      <w:rFonts w:cs="Calibri"/>
                      <w:sz w:val="16"/>
                      <w:szCs w:val="16"/>
                    </w:rPr>
                  </w:pPr>
                  <w:r w:rsidRPr="003D72E1">
                    <w:rPr>
                      <w:rFonts w:cs="Calibri"/>
                      <w:sz w:val="16"/>
                      <w:szCs w:val="16"/>
                    </w:rPr>
                    <w:t>Verbreding ontsluitingsweg; ruimte creëren voor langzaam verkeer</w:t>
                  </w:r>
                </w:p>
              </w:tc>
            </w:tr>
            <w:tr w:rsidTr="009935CA" w14:paraId="2CE4A7B1" w14:textId="77777777">
              <w:tblPrEx>
                <w:tblW w:w="8656" w:type="dxa"/>
                <w:tblInd w:w="0" w:type="dxa"/>
                <w:tblLook w:val="04A0"/>
              </w:tblPrEx>
              <w:tc>
                <w:tcPr>
                  <w:tcW w:w="1114" w:type="dxa"/>
                </w:tcPr>
                <w:p w:rsidRPr="003D72E1" w:rsidR="009A36E6" w:rsidP="009A36E6" w14:paraId="69A04FBC" w14:textId="77777777">
                  <w:pPr>
                    <w:spacing w:line="276" w:lineRule="auto"/>
                    <w:rPr>
                      <w:rFonts w:cs="Calibri"/>
                      <w:sz w:val="16"/>
                      <w:szCs w:val="16"/>
                    </w:rPr>
                  </w:pPr>
                  <w:r w:rsidRPr="003D72E1">
                    <w:rPr>
                      <w:rFonts w:cs="Calibri"/>
                      <w:sz w:val="16"/>
                      <w:szCs w:val="16"/>
                    </w:rPr>
                    <w:t>Oisterwijk</w:t>
                  </w:r>
                </w:p>
              </w:tc>
              <w:tc>
                <w:tcPr>
                  <w:tcW w:w="1694" w:type="dxa"/>
                </w:tcPr>
                <w:p w:rsidRPr="003D72E1" w:rsidR="009A36E6" w:rsidP="009A36E6" w14:paraId="461FD289" w14:textId="77777777">
                  <w:pPr>
                    <w:spacing w:line="276" w:lineRule="auto"/>
                    <w:rPr>
                      <w:rFonts w:cs="Calibri"/>
                      <w:sz w:val="16"/>
                      <w:szCs w:val="16"/>
                    </w:rPr>
                  </w:pPr>
                  <w:r w:rsidRPr="003D72E1">
                    <w:rPr>
                      <w:rFonts w:cs="Calibri"/>
                      <w:sz w:val="16"/>
                      <w:szCs w:val="16"/>
                    </w:rPr>
                    <w:t>Pannenschuur VI</w:t>
                  </w:r>
                </w:p>
              </w:tc>
              <w:tc>
                <w:tcPr>
                  <w:tcW w:w="892" w:type="dxa"/>
                </w:tcPr>
                <w:p w:rsidRPr="003D72E1" w:rsidR="009A36E6" w:rsidP="009A36E6" w14:paraId="4DDCB98B" w14:textId="77777777">
                  <w:pPr>
                    <w:spacing w:line="276" w:lineRule="auto"/>
                    <w:rPr>
                      <w:rFonts w:cs="Calibri"/>
                      <w:sz w:val="16"/>
                      <w:szCs w:val="16"/>
                    </w:rPr>
                  </w:pPr>
                  <w:r w:rsidRPr="003D72E1">
                    <w:rPr>
                      <w:rFonts w:cs="Calibri"/>
                      <w:sz w:val="16"/>
                      <w:szCs w:val="16"/>
                    </w:rPr>
                    <w:t>280</w:t>
                  </w:r>
                </w:p>
              </w:tc>
              <w:tc>
                <w:tcPr>
                  <w:tcW w:w="1239" w:type="dxa"/>
                </w:tcPr>
                <w:p w:rsidRPr="003D72E1" w:rsidR="009A36E6" w:rsidP="009A36E6" w14:paraId="27C6F94A" w14:textId="77777777">
                  <w:pPr>
                    <w:spacing w:line="276" w:lineRule="auto"/>
                    <w:rPr>
                      <w:rFonts w:cs="Calibri"/>
                      <w:sz w:val="16"/>
                      <w:szCs w:val="16"/>
                    </w:rPr>
                  </w:pPr>
                  <w:r w:rsidRPr="003D72E1">
                    <w:rPr>
                      <w:rFonts w:cs="Calibri"/>
                      <w:sz w:val="16"/>
                      <w:szCs w:val="16"/>
                    </w:rPr>
                    <w:t>€ 873.113</w:t>
                  </w:r>
                </w:p>
              </w:tc>
              <w:tc>
                <w:tcPr>
                  <w:tcW w:w="1239" w:type="dxa"/>
                </w:tcPr>
                <w:p w:rsidRPr="003D72E1" w:rsidR="009A36E6" w:rsidP="009A36E6" w14:paraId="17566606" w14:textId="77777777">
                  <w:pPr>
                    <w:spacing w:line="276" w:lineRule="auto"/>
                    <w:rPr>
                      <w:rFonts w:cs="Calibri"/>
                      <w:sz w:val="16"/>
                      <w:szCs w:val="16"/>
                    </w:rPr>
                  </w:pPr>
                  <w:r w:rsidRPr="003D72E1">
                    <w:rPr>
                      <w:rFonts w:cs="Calibri"/>
                      <w:sz w:val="16"/>
                      <w:szCs w:val="16"/>
                    </w:rPr>
                    <w:t>€ 756.000</w:t>
                  </w:r>
                </w:p>
              </w:tc>
              <w:tc>
                <w:tcPr>
                  <w:tcW w:w="2478" w:type="dxa"/>
                </w:tcPr>
                <w:p w:rsidRPr="003D72E1" w:rsidR="009A36E6" w:rsidP="009A36E6" w14:paraId="6894BB5C" w14:textId="77777777">
                  <w:pPr>
                    <w:spacing w:line="276" w:lineRule="auto"/>
                    <w:rPr>
                      <w:rFonts w:cs="Calibri"/>
                      <w:sz w:val="16"/>
                      <w:szCs w:val="16"/>
                    </w:rPr>
                  </w:pPr>
                  <w:r w:rsidRPr="003D72E1">
                    <w:rPr>
                      <w:rFonts w:cs="Calibri"/>
                      <w:sz w:val="16"/>
                      <w:szCs w:val="16"/>
                    </w:rPr>
                    <w:t>Herinrichting kruispunt, aanleg fietsstraat</w:t>
                  </w:r>
                </w:p>
              </w:tc>
            </w:tr>
            <w:tr w:rsidTr="009935CA" w14:paraId="506EAA50" w14:textId="77777777">
              <w:tblPrEx>
                <w:tblW w:w="8656" w:type="dxa"/>
                <w:tblInd w:w="0" w:type="dxa"/>
                <w:tblLook w:val="04A0"/>
              </w:tblPrEx>
              <w:tc>
                <w:tcPr>
                  <w:tcW w:w="1114" w:type="dxa"/>
                </w:tcPr>
                <w:p w:rsidRPr="003D72E1" w:rsidR="009A36E6" w:rsidP="009A36E6" w14:paraId="5B020106" w14:textId="77777777">
                  <w:pPr>
                    <w:spacing w:line="276" w:lineRule="auto"/>
                    <w:rPr>
                      <w:rFonts w:cs="Calibri"/>
                      <w:sz w:val="16"/>
                      <w:szCs w:val="16"/>
                    </w:rPr>
                  </w:pPr>
                  <w:r w:rsidRPr="003D72E1">
                    <w:rPr>
                      <w:rFonts w:cs="Calibri"/>
                      <w:sz w:val="16"/>
                      <w:szCs w:val="16"/>
                    </w:rPr>
                    <w:t>Oisterwijk</w:t>
                  </w:r>
                </w:p>
              </w:tc>
              <w:tc>
                <w:tcPr>
                  <w:tcW w:w="1694" w:type="dxa"/>
                </w:tcPr>
                <w:p w:rsidRPr="003D72E1" w:rsidR="009A36E6" w:rsidP="009A36E6" w14:paraId="76EE2735" w14:textId="77777777">
                  <w:pPr>
                    <w:spacing w:line="276" w:lineRule="auto"/>
                    <w:rPr>
                      <w:rFonts w:cs="Calibri"/>
                      <w:sz w:val="16"/>
                      <w:szCs w:val="16"/>
                    </w:rPr>
                  </w:pPr>
                  <w:r w:rsidRPr="003D72E1">
                    <w:rPr>
                      <w:rFonts w:cs="Calibri"/>
                      <w:sz w:val="16"/>
                      <w:szCs w:val="16"/>
                    </w:rPr>
                    <w:t>Moergestel Noord</w:t>
                  </w:r>
                </w:p>
              </w:tc>
              <w:tc>
                <w:tcPr>
                  <w:tcW w:w="892" w:type="dxa"/>
                </w:tcPr>
                <w:p w:rsidRPr="003D72E1" w:rsidR="009A36E6" w:rsidP="009A36E6" w14:paraId="296308E7" w14:textId="77777777">
                  <w:pPr>
                    <w:spacing w:line="276" w:lineRule="auto"/>
                    <w:rPr>
                      <w:rFonts w:cs="Calibri"/>
                      <w:sz w:val="16"/>
                      <w:szCs w:val="16"/>
                    </w:rPr>
                  </w:pPr>
                  <w:r w:rsidRPr="003D72E1">
                    <w:rPr>
                      <w:rFonts w:cs="Calibri"/>
                      <w:sz w:val="16"/>
                      <w:szCs w:val="16"/>
                    </w:rPr>
                    <w:t>330</w:t>
                  </w:r>
                </w:p>
              </w:tc>
              <w:tc>
                <w:tcPr>
                  <w:tcW w:w="1239" w:type="dxa"/>
                </w:tcPr>
                <w:p w:rsidRPr="003D72E1" w:rsidR="009A36E6" w:rsidP="009A36E6" w14:paraId="57594814" w14:textId="77777777">
                  <w:pPr>
                    <w:spacing w:line="276" w:lineRule="auto"/>
                    <w:rPr>
                      <w:rFonts w:cs="Calibri"/>
                      <w:sz w:val="16"/>
                      <w:szCs w:val="16"/>
                    </w:rPr>
                  </w:pPr>
                  <w:r w:rsidRPr="003D72E1">
                    <w:rPr>
                      <w:rFonts w:cs="Calibri"/>
                      <w:sz w:val="16"/>
                      <w:szCs w:val="16"/>
                    </w:rPr>
                    <w:t>€ 1.358.175</w:t>
                  </w:r>
                </w:p>
              </w:tc>
              <w:tc>
                <w:tcPr>
                  <w:tcW w:w="1239" w:type="dxa"/>
                </w:tcPr>
                <w:p w:rsidRPr="003D72E1" w:rsidR="009A36E6" w:rsidP="009A36E6" w14:paraId="172F1005" w14:textId="77777777">
                  <w:pPr>
                    <w:spacing w:line="276" w:lineRule="auto"/>
                    <w:rPr>
                      <w:rFonts w:cs="Calibri"/>
                      <w:sz w:val="16"/>
                      <w:szCs w:val="16"/>
                    </w:rPr>
                  </w:pPr>
                  <w:r w:rsidRPr="003D72E1">
                    <w:rPr>
                      <w:rFonts w:cs="Calibri"/>
                      <w:sz w:val="16"/>
                      <w:szCs w:val="16"/>
                    </w:rPr>
                    <w:t>€ 1.176.000</w:t>
                  </w:r>
                </w:p>
              </w:tc>
              <w:tc>
                <w:tcPr>
                  <w:tcW w:w="2478" w:type="dxa"/>
                </w:tcPr>
                <w:p w:rsidRPr="003D72E1" w:rsidR="009A36E6" w:rsidP="009A36E6" w14:paraId="038640C0" w14:textId="77777777">
                  <w:pPr>
                    <w:spacing w:line="276" w:lineRule="auto"/>
                    <w:rPr>
                      <w:rFonts w:cs="Calibri"/>
                      <w:sz w:val="16"/>
                      <w:szCs w:val="16"/>
                    </w:rPr>
                  </w:pPr>
                  <w:r w:rsidRPr="003D72E1">
                    <w:rPr>
                      <w:rFonts w:cs="Calibri"/>
                      <w:sz w:val="16"/>
                      <w:szCs w:val="16"/>
                    </w:rPr>
                    <w:t>Herinrichting straat voor aanleg auto en fiets- en voetgangers</w:t>
                  </w:r>
                </w:p>
              </w:tc>
            </w:tr>
            <w:tr w:rsidTr="009935CA" w14:paraId="2BFED99E" w14:textId="77777777">
              <w:tblPrEx>
                <w:tblW w:w="8656" w:type="dxa"/>
                <w:tblInd w:w="0" w:type="dxa"/>
                <w:tblLook w:val="04A0"/>
              </w:tblPrEx>
              <w:tc>
                <w:tcPr>
                  <w:tcW w:w="1114" w:type="dxa"/>
                </w:tcPr>
                <w:p w:rsidRPr="003D72E1" w:rsidR="009A36E6" w:rsidP="009A36E6" w14:paraId="4088B17A" w14:textId="77777777">
                  <w:pPr>
                    <w:spacing w:line="276" w:lineRule="auto"/>
                    <w:rPr>
                      <w:rFonts w:cs="Calibri"/>
                      <w:sz w:val="16"/>
                      <w:szCs w:val="16"/>
                    </w:rPr>
                  </w:pPr>
                  <w:r w:rsidRPr="003D72E1">
                    <w:rPr>
                      <w:rFonts w:cs="Calibri"/>
                      <w:sz w:val="16"/>
                      <w:szCs w:val="16"/>
                    </w:rPr>
                    <w:t>Oosterhout</w:t>
                  </w:r>
                </w:p>
              </w:tc>
              <w:tc>
                <w:tcPr>
                  <w:tcW w:w="1694" w:type="dxa"/>
                </w:tcPr>
                <w:p w:rsidRPr="003D72E1" w:rsidR="009A36E6" w:rsidP="009A36E6" w14:paraId="570D7D2B" w14:textId="77777777">
                  <w:pPr>
                    <w:spacing w:line="276" w:lineRule="auto"/>
                    <w:rPr>
                      <w:rFonts w:cs="Calibri"/>
                      <w:sz w:val="16"/>
                      <w:szCs w:val="16"/>
                    </w:rPr>
                  </w:pPr>
                  <w:r w:rsidRPr="003D72E1">
                    <w:rPr>
                      <w:rFonts w:cs="Calibri"/>
                      <w:sz w:val="16"/>
                      <w:szCs w:val="16"/>
                    </w:rPr>
                    <w:t>Oosterhout - Wilhelminakan</w:t>
                  </w:r>
                  <w:r>
                    <w:rPr>
                      <w:rFonts w:cs="Calibri"/>
                      <w:sz w:val="16"/>
                      <w:szCs w:val="16"/>
                    </w:rPr>
                    <w:t>a</w:t>
                  </w:r>
                  <w:r w:rsidRPr="003D72E1">
                    <w:rPr>
                      <w:rFonts w:cs="Calibri"/>
                      <w:sz w:val="16"/>
                      <w:szCs w:val="16"/>
                    </w:rPr>
                    <w:t>al Zuid e.o.</w:t>
                  </w:r>
                </w:p>
              </w:tc>
              <w:tc>
                <w:tcPr>
                  <w:tcW w:w="892" w:type="dxa"/>
                </w:tcPr>
                <w:p w:rsidRPr="003D72E1" w:rsidR="009A36E6" w:rsidP="009A36E6" w14:paraId="3B87D162" w14:textId="77777777">
                  <w:pPr>
                    <w:spacing w:line="276" w:lineRule="auto"/>
                    <w:rPr>
                      <w:rFonts w:cs="Calibri"/>
                      <w:sz w:val="16"/>
                      <w:szCs w:val="16"/>
                    </w:rPr>
                  </w:pPr>
                  <w:r w:rsidRPr="003D72E1">
                    <w:rPr>
                      <w:rFonts w:cs="Calibri"/>
                      <w:sz w:val="16"/>
                      <w:szCs w:val="16"/>
                    </w:rPr>
                    <w:t>565</w:t>
                  </w:r>
                </w:p>
              </w:tc>
              <w:tc>
                <w:tcPr>
                  <w:tcW w:w="1239" w:type="dxa"/>
                </w:tcPr>
                <w:p w:rsidRPr="003D72E1" w:rsidR="009A36E6" w:rsidP="009A36E6" w14:paraId="6478729E" w14:textId="77777777">
                  <w:pPr>
                    <w:spacing w:line="276" w:lineRule="auto"/>
                    <w:rPr>
                      <w:rFonts w:cs="Calibri"/>
                      <w:sz w:val="16"/>
                      <w:szCs w:val="16"/>
                    </w:rPr>
                  </w:pPr>
                  <w:r w:rsidRPr="003D72E1">
                    <w:rPr>
                      <w:rFonts w:cs="Calibri"/>
                      <w:sz w:val="16"/>
                      <w:szCs w:val="16"/>
                    </w:rPr>
                    <w:t>€ 3.744.683</w:t>
                  </w:r>
                </w:p>
              </w:tc>
              <w:tc>
                <w:tcPr>
                  <w:tcW w:w="1239" w:type="dxa"/>
                </w:tcPr>
                <w:p w:rsidRPr="003D72E1" w:rsidR="009A36E6" w:rsidP="009A36E6" w14:paraId="7BD20551" w14:textId="77777777">
                  <w:pPr>
                    <w:spacing w:line="276" w:lineRule="auto"/>
                    <w:rPr>
                      <w:rFonts w:cs="Calibri"/>
                      <w:sz w:val="16"/>
                      <w:szCs w:val="16"/>
                    </w:rPr>
                  </w:pPr>
                  <w:r w:rsidRPr="003D72E1">
                    <w:rPr>
                      <w:rFonts w:cs="Calibri"/>
                      <w:sz w:val="16"/>
                      <w:szCs w:val="16"/>
                    </w:rPr>
                    <w:t>€ 3.763.500</w:t>
                  </w:r>
                </w:p>
              </w:tc>
              <w:tc>
                <w:tcPr>
                  <w:tcW w:w="2478" w:type="dxa"/>
                </w:tcPr>
                <w:p w:rsidRPr="003D72E1" w:rsidR="009A36E6" w:rsidP="009A36E6" w14:paraId="4322E02C" w14:textId="77777777">
                  <w:pPr>
                    <w:spacing w:line="276" w:lineRule="auto"/>
                    <w:rPr>
                      <w:rFonts w:cs="Calibri"/>
                      <w:sz w:val="16"/>
                      <w:szCs w:val="16"/>
                    </w:rPr>
                  </w:pPr>
                  <w:r w:rsidRPr="003D72E1">
                    <w:rPr>
                      <w:rFonts w:cs="Calibri"/>
                      <w:sz w:val="16"/>
                      <w:szCs w:val="16"/>
                    </w:rPr>
                    <w:t>Aanleg ontsluitingswegen, aanleg rotondes, herinrichting ontsluitingswegen, herinrichting erftoegangswegen, aanleg voetgangersvoorzieningen</w:t>
                  </w:r>
                </w:p>
              </w:tc>
            </w:tr>
            <w:tr w:rsidTr="009935CA" w14:paraId="43A9522E" w14:textId="77777777">
              <w:tblPrEx>
                <w:tblW w:w="8656" w:type="dxa"/>
                <w:tblInd w:w="0" w:type="dxa"/>
                <w:tblLook w:val="04A0"/>
              </w:tblPrEx>
              <w:tc>
                <w:tcPr>
                  <w:tcW w:w="1114" w:type="dxa"/>
                </w:tcPr>
                <w:p w:rsidRPr="003D72E1" w:rsidR="009A36E6" w:rsidP="009A36E6" w14:paraId="6AEF4FDF" w14:textId="77777777">
                  <w:pPr>
                    <w:spacing w:line="276" w:lineRule="auto"/>
                    <w:rPr>
                      <w:rFonts w:cs="Calibri"/>
                      <w:sz w:val="16"/>
                      <w:szCs w:val="16"/>
                    </w:rPr>
                  </w:pPr>
                  <w:r w:rsidRPr="003D72E1">
                    <w:rPr>
                      <w:rFonts w:cs="Calibri"/>
                      <w:sz w:val="16"/>
                      <w:szCs w:val="16"/>
                    </w:rPr>
                    <w:t>Roermond</w:t>
                  </w:r>
                </w:p>
              </w:tc>
              <w:tc>
                <w:tcPr>
                  <w:tcW w:w="1694" w:type="dxa"/>
                </w:tcPr>
                <w:p w:rsidRPr="003D72E1" w:rsidR="009A36E6" w:rsidP="009A36E6" w14:paraId="79D8172B" w14:textId="77777777">
                  <w:pPr>
                    <w:spacing w:line="276" w:lineRule="auto"/>
                    <w:rPr>
                      <w:rFonts w:cs="Calibri"/>
                      <w:sz w:val="16"/>
                      <w:szCs w:val="16"/>
                    </w:rPr>
                  </w:pPr>
                  <w:r w:rsidRPr="003D72E1">
                    <w:rPr>
                      <w:rFonts w:cs="Calibri"/>
                      <w:sz w:val="16"/>
                      <w:szCs w:val="16"/>
                    </w:rPr>
                    <w:t>Weerstand Roermond</w:t>
                  </w:r>
                </w:p>
              </w:tc>
              <w:tc>
                <w:tcPr>
                  <w:tcW w:w="892" w:type="dxa"/>
                </w:tcPr>
                <w:p w:rsidRPr="003D72E1" w:rsidR="009A36E6" w:rsidP="009A36E6" w14:paraId="71FDC1E2" w14:textId="77777777">
                  <w:pPr>
                    <w:spacing w:line="276" w:lineRule="auto"/>
                    <w:rPr>
                      <w:rFonts w:cs="Calibri"/>
                      <w:sz w:val="16"/>
                      <w:szCs w:val="16"/>
                    </w:rPr>
                  </w:pPr>
                  <w:r w:rsidRPr="003D72E1">
                    <w:rPr>
                      <w:rFonts w:cs="Calibri"/>
                      <w:sz w:val="16"/>
                      <w:szCs w:val="16"/>
                    </w:rPr>
                    <w:t>400</w:t>
                  </w:r>
                </w:p>
              </w:tc>
              <w:tc>
                <w:tcPr>
                  <w:tcW w:w="1239" w:type="dxa"/>
                </w:tcPr>
                <w:p w:rsidRPr="003D72E1" w:rsidR="009A36E6" w:rsidP="009A36E6" w14:paraId="2F03DF48" w14:textId="77777777">
                  <w:pPr>
                    <w:spacing w:line="276" w:lineRule="auto"/>
                    <w:rPr>
                      <w:rFonts w:cs="Calibri"/>
                      <w:sz w:val="16"/>
                      <w:szCs w:val="16"/>
                    </w:rPr>
                  </w:pPr>
                  <w:r w:rsidRPr="003D72E1">
                    <w:rPr>
                      <w:rFonts w:cs="Calibri"/>
                      <w:sz w:val="16"/>
                      <w:szCs w:val="16"/>
                    </w:rPr>
                    <w:t>€ 2.670.445</w:t>
                  </w:r>
                </w:p>
              </w:tc>
              <w:tc>
                <w:tcPr>
                  <w:tcW w:w="1239" w:type="dxa"/>
                </w:tcPr>
                <w:p w:rsidRPr="003D72E1" w:rsidR="009A36E6" w:rsidP="009A36E6" w14:paraId="4299A173" w14:textId="77777777">
                  <w:pPr>
                    <w:spacing w:line="276" w:lineRule="auto"/>
                    <w:rPr>
                      <w:rFonts w:cs="Calibri"/>
                      <w:sz w:val="16"/>
                      <w:szCs w:val="16"/>
                    </w:rPr>
                  </w:pPr>
                  <w:r w:rsidRPr="003D72E1">
                    <w:rPr>
                      <w:rFonts w:cs="Calibri"/>
                      <w:sz w:val="16"/>
                      <w:szCs w:val="16"/>
                    </w:rPr>
                    <w:t>€ 1.445.156</w:t>
                  </w:r>
                </w:p>
              </w:tc>
              <w:tc>
                <w:tcPr>
                  <w:tcW w:w="2478" w:type="dxa"/>
                </w:tcPr>
                <w:p w:rsidRPr="003D72E1" w:rsidR="009A36E6" w:rsidP="009A36E6" w14:paraId="1AD39FE2" w14:textId="77777777">
                  <w:pPr>
                    <w:spacing w:line="276" w:lineRule="auto"/>
                    <w:rPr>
                      <w:rFonts w:cs="Calibri"/>
                      <w:sz w:val="16"/>
                      <w:szCs w:val="16"/>
                    </w:rPr>
                  </w:pPr>
                  <w:r w:rsidRPr="003D72E1">
                    <w:rPr>
                      <w:rFonts w:cs="Calibri"/>
                      <w:sz w:val="16"/>
                      <w:szCs w:val="16"/>
                    </w:rPr>
                    <w:t>Aanleg ontsluitingsweg, aanleg fiets- en voetgangerspaden</w:t>
                  </w:r>
                </w:p>
              </w:tc>
            </w:tr>
            <w:tr w:rsidTr="009935CA" w14:paraId="43F82C02" w14:textId="77777777">
              <w:tblPrEx>
                <w:tblW w:w="8656" w:type="dxa"/>
                <w:tblInd w:w="0" w:type="dxa"/>
                <w:tblLook w:val="04A0"/>
              </w:tblPrEx>
              <w:tc>
                <w:tcPr>
                  <w:tcW w:w="1114" w:type="dxa"/>
                </w:tcPr>
                <w:p w:rsidRPr="003D72E1" w:rsidR="009A36E6" w:rsidP="009A36E6" w14:paraId="51C28793" w14:textId="77777777">
                  <w:pPr>
                    <w:spacing w:line="276" w:lineRule="auto"/>
                    <w:rPr>
                      <w:rFonts w:cs="Calibri"/>
                      <w:sz w:val="16"/>
                      <w:szCs w:val="16"/>
                    </w:rPr>
                  </w:pPr>
                  <w:r w:rsidRPr="003D72E1">
                    <w:rPr>
                      <w:rFonts w:cs="Calibri"/>
                      <w:sz w:val="16"/>
                      <w:szCs w:val="16"/>
                    </w:rPr>
                    <w:t>Roermond</w:t>
                  </w:r>
                </w:p>
              </w:tc>
              <w:tc>
                <w:tcPr>
                  <w:tcW w:w="1694" w:type="dxa"/>
                </w:tcPr>
                <w:p w:rsidRPr="003D72E1" w:rsidR="009A36E6" w:rsidP="009A36E6" w14:paraId="2ED7FC94" w14:textId="77777777">
                  <w:pPr>
                    <w:spacing w:line="276" w:lineRule="auto"/>
                    <w:rPr>
                      <w:rFonts w:cs="Calibri"/>
                      <w:sz w:val="16"/>
                      <w:szCs w:val="16"/>
                    </w:rPr>
                  </w:pPr>
                  <w:r w:rsidRPr="003D72E1">
                    <w:rPr>
                      <w:rFonts w:cs="Calibri"/>
                      <w:sz w:val="16"/>
                      <w:szCs w:val="16"/>
                    </w:rPr>
                    <w:t>Roerdelta Roermond</w:t>
                  </w:r>
                </w:p>
              </w:tc>
              <w:tc>
                <w:tcPr>
                  <w:tcW w:w="892" w:type="dxa"/>
                </w:tcPr>
                <w:p w:rsidRPr="003D72E1" w:rsidR="009A36E6" w:rsidP="009A36E6" w14:paraId="2F017C01" w14:textId="77777777">
                  <w:pPr>
                    <w:spacing w:line="276" w:lineRule="auto"/>
                    <w:rPr>
                      <w:rFonts w:cs="Calibri"/>
                      <w:sz w:val="16"/>
                      <w:szCs w:val="16"/>
                    </w:rPr>
                  </w:pPr>
                  <w:r w:rsidRPr="003D72E1">
                    <w:rPr>
                      <w:rFonts w:cs="Calibri"/>
                      <w:sz w:val="16"/>
                      <w:szCs w:val="16"/>
                    </w:rPr>
                    <w:t>400</w:t>
                  </w:r>
                </w:p>
              </w:tc>
              <w:tc>
                <w:tcPr>
                  <w:tcW w:w="1239" w:type="dxa"/>
                </w:tcPr>
                <w:p w:rsidRPr="003D72E1" w:rsidR="009A36E6" w:rsidP="009A36E6" w14:paraId="66FEFBB7" w14:textId="77777777">
                  <w:pPr>
                    <w:spacing w:line="276" w:lineRule="auto"/>
                    <w:rPr>
                      <w:rFonts w:cs="Calibri"/>
                      <w:sz w:val="16"/>
                      <w:szCs w:val="16"/>
                    </w:rPr>
                  </w:pPr>
                  <w:r w:rsidRPr="003D72E1">
                    <w:rPr>
                      <w:rFonts w:cs="Calibri"/>
                      <w:sz w:val="16"/>
                      <w:szCs w:val="16"/>
                    </w:rPr>
                    <w:t>€ 3.505.088</w:t>
                  </w:r>
                </w:p>
              </w:tc>
              <w:tc>
                <w:tcPr>
                  <w:tcW w:w="1239" w:type="dxa"/>
                </w:tcPr>
                <w:p w:rsidRPr="003D72E1" w:rsidR="009A36E6" w:rsidP="009A36E6" w14:paraId="5F0B9503" w14:textId="77777777">
                  <w:pPr>
                    <w:spacing w:line="276" w:lineRule="auto"/>
                    <w:rPr>
                      <w:rFonts w:cs="Calibri"/>
                      <w:sz w:val="16"/>
                      <w:szCs w:val="16"/>
                    </w:rPr>
                  </w:pPr>
                  <w:r w:rsidRPr="003D72E1">
                    <w:rPr>
                      <w:rFonts w:cs="Calibri"/>
                      <w:sz w:val="16"/>
                      <w:szCs w:val="16"/>
                    </w:rPr>
                    <w:t>€ 1.912.989</w:t>
                  </w:r>
                </w:p>
              </w:tc>
              <w:tc>
                <w:tcPr>
                  <w:tcW w:w="2478" w:type="dxa"/>
                </w:tcPr>
                <w:p w:rsidRPr="003D72E1" w:rsidR="009A36E6" w:rsidP="009A36E6" w14:paraId="5A6085C1" w14:textId="77777777">
                  <w:pPr>
                    <w:spacing w:line="276" w:lineRule="auto"/>
                    <w:rPr>
                      <w:rFonts w:cs="Calibri"/>
                      <w:sz w:val="16"/>
                      <w:szCs w:val="16"/>
                    </w:rPr>
                  </w:pPr>
                  <w:r w:rsidRPr="003D72E1">
                    <w:rPr>
                      <w:rFonts w:cs="Calibri"/>
                      <w:sz w:val="16"/>
                      <w:szCs w:val="16"/>
                    </w:rPr>
                    <w:t>Herinrichting erftoegangswegen naar fietsstraat, herinrichting ontsluitingsweg, aanleg fietspad</w:t>
                  </w:r>
                </w:p>
              </w:tc>
            </w:tr>
            <w:tr w:rsidTr="009935CA" w14:paraId="6E970AAF" w14:textId="77777777">
              <w:tblPrEx>
                <w:tblW w:w="8656" w:type="dxa"/>
                <w:tblInd w:w="0" w:type="dxa"/>
                <w:tblLook w:val="04A0"/>
              </w:tblPrEx>
              <w:tc>
                <w:tcPr>
                  <w:tcW w:w="1114" w:type="dxa"/>
                </w:tcPr>
                <w:p w:rsidRPr="003D72E1" w:rsidR="009A36E6" w:rsidP="009A36E6" w14:paraId="22BD1BF9" w14:textId="77777777">
                  <w:pPr>
                    <w:spacing w:line="276" w:lineRule="auto"/>
                    <w:rPr>
                      <w:rFonts w:cs="Calibri"/>
                      <w:sz w:val="16"/>
                      <w:szCs w:val="16"/>
                    </w:rPr>
                  </w:pPr>
                  <w:r w:rsidRPr="003D72E1">
                    <w:rPr>
                      <w:rFonts w:cs="Calibri"/>
                      <w:sz w:val="16"/>
                      <w:szCs w:val="16"/>
                    </w:rPr>
                    <w:t>Roosendaal</w:t>
                  </w:r>
                </w:p>
              </w:tc>
              <w:tc>
                <w:tcPr>
                  <w:tcW w:w="1694" w:type="dxa"/>
                </w:tcPr>
                <w:p w:rsidRPr="003D72E1" w:rsidR="009A36E6" w:rsidP="009A36E6" w14:paraId="4BE6F1BA" w14:textId="77777777">
                  <w:pPr>
                    <w:spacing w:line="276" w:lineRule="auto"/>
                    <w:rPr>
                      <w:rFonts w:cs="Calibri"/>
                      <w:sz w:val="16"/>
                      <w:szCs w:val="16"/>
                    </w:rPr>
                  </w:pPr>
                  <w:r w:rsidRPr="003D72E1">
                    <w:rPr>
                      <w:rFonts w:cs="Calibri"/>
                      <w:sz w:val="16"/>
                      <w:szCs w:val="16"/>
                    </w:rPr>
                    <w:t>Spoorzone Roosendaal</w:t>
                  </w:r>
                </w:p>
              </w:tc>
              <w:tc>
                <w:tcPr>
                  <w:tcW w:w="892" w:type="dxa"/>
                </w:tcPr>
                <w:p w:rsidRPr="003D72E1" w:rsidR="009A36E6" w:rsidP="009A36E6" w14:paraId="75D45757" w14:textId="77777777">
                  <w:pPr>
                    <w:spacing w:line="276" w:lineRule="auto"/>
                    <w:rPr>
                      <w:rFonts w:cs="Calibri"/>
                      <w:sz w:val="16"/>
                      <w:szCs w:val="16"/>
                    </w:rPr>
                  </w:pPr>
                  <w:r w:rsidRPr="003D72E1">
                    <w:rPr>
                      <w:rFonts w:cs="Calibri"/>
                      <w:sz w:val="16"/>
                      <w:szCs w:val="16"/>
                    </w:rPr>
                    <w:t>2.353</w:t>
                  </w:r>
                </w:p>
              </w:tc>
              <w:tc>
                <w:tcPr>
                  <w:tcW w:w="1239" w:type="dxa"/>
                </w:tcPr>
                <w:p w:rsidRPr="003D72E1" w:rsidR="009A36E6" w:rsidP="009A36E6" w14:paraId="6E279E96" w14:textId="77777777">
                  <w:pPr>
                    <w:spacing w:line="276" w:lineRule="auto"/>
                    <w:rPr>
                      <w:rFonts w:cs="Calibri"/>
                      <w:sz w:val="16"/>
                      <w:szCs w:val="16"/>
                    </w:rPr>
                  </w:pPr>
                  <w:r w:rsidRPr="003D72E1">
                    <w:rPr>
                      <w:rFonts w:cs="Calibri"/>
                      <w:sz w:val="16"/>
                      <w:szCs w:val="16"/>
                    </w:rPr>
                    <w:t>€ 45.255.879</w:t>
                  </w:r>
                </w:p>
              </w:tc>
              <w:tc>
                <w:tcPr>
                  <w:tcW w:w="1239" w:type="dxa"/>
                </w:tcPr>
                <w:p w:rsidRPr="003D72E1" w:rsidR="009A36E6" w:rsidP="009A36E6" w14:paraId="00FBD59C" w14:textId="77777777">
                  <w:pPr>
                    <w:spacing w:line="276" w:lineRule="auto"/>
                    <w:rPr>
                      <w:rFonts w:cs="Calibri"/>
                      <w:sz w:val="16"/>
                      <w:szCs w:val="16"/>
                    </w:rPr>
                  </w:pPr>
                  <w:r w:rsidRPr="003D72E1">
                    <w:rPr>
                      <w:rFonts w:cs="Calibri"/>
                      <w:sz w:val="16"/>
                      <w:szCs w:val="16"/>
                    </w:rPr>
                    <w:t>€ 24.491.005</w:t>
                  </w:r>
                </w:p>
              </w:tc>
              <w:tc>
                <w:tcPr>
                  <w:tcW w:w="2478" w:type="dxa"/>
                </w:tcPr>
                <w:p w:rsidRPr="003D72E1" w:rsidR="009A36E6" w:rsidP="009A36E6" w14:paraId="583E718D" w14:textId="77777777">
                  <w:pPr>
                    <w:spacing w:line="276" w:lineRule="auto"/>
                    <w:rPr>
                      <w:rFonts w:cs="Calibri"/>
                      <w:sz w:val="16"/>
                      <w:szCs w:val="16"/>
                    </w:rPr>
                  </w:pPr>
                  <w:r w:rsidRPr="003D72E1">
                    <w:rPr>
                      <w:rFonts w:cs="Calibri"/>
                      <w:sz w:val="16"/>
                      <w:szCs w:val="16"/>
                    </w:rPr>
                    <w:t>Aanleg fietstunnel, mobiliteitshub, verplaatsen P&amp;R, herinrichting voetgangerspaden, herinrichting spoorwegovergang</w:t>
                  </w:r>
                </w:p>
              </w:tc>
            </w:tr>
            <w:tr w:rsidTr="009935CA" w14:paraId="0328C87A" w14:textId="77777777">
              <w:tblPrEx>
                <w:tblW w:w="8656" w:type="dxa"/>
                <w:tblInd w:w="0" w:type="dxa"/>
                <w:tblLook w:val="04A0"/>
              </w:tblPrEx>
              <w:tc>
                <w:tcPr>
                  <w:tcW w:w="1114" w:type="dxa"/>
                </w:tcPr>
                <w:p w:rsidRPr="003D72E1" w:rsidR="009A36E6" w:rsidP="009A36E6" w14:paraId="3381C66C" w14:textId="77777777">
                  <w:pPr>
                    <w:spacing w:line="276" w:lineRule="auto"/>
                    <w:rPr>
                      <w:rFonts w:cs="Calibri"/>
                      <w:sz w:val="16"/>
                      <w:szCs w:val="16"/>
                    </w:rPr>
                  </w:pPr>
                  <w:r w:rsidRPr="003D72E1">
                    <w:rPr>
                      <w:rFonts w:cs="Calibri"/>
                      <w:sz w:val="16"/>
                      <w:szCs w:val="16"/>
                    </w:rPr>
                    <w:t>Stadsregio Parkstad Limburg</w:t>
                  </w:r>
                </w:p>
              </w:tc>
              <w:tc>
                <w:tcPr>
                  <w:tcW w:w="1694" w:type="dxa"/>
                </w:tcPr>
                <w:p w:rsidRPr="003D72E1" w:rsidR="009A36E6" w:rsidP="009A36E6" w14:paraId="14A5F7FA" w14:textId="77777777">
                  <w:pPr>
                    <w:spacing w:line="276" w:lineRule="auto"/>
                    <w:rPr>
                      <w:rFonts w:cs="Calibri"/>
                      <w:sz w:val="16"/>
                      <w:szCs w:val="16"/>
                    </w:rPr>
                  </w:pPr>
                  <w:r w:rsidRPr="003D72E1">
                    <w:rPr>
                      <w:rFonts w:cs="Calibri"/>
                      <w:sz w:val="16"/>
                      <w:szCs w:val="16"/>
                    </w:rPr>
                    <w:t>Stadsregio Parkstad Limburg</w:t>
                  </w:r>
                </w:p>
              </w:tc>
              <w:tc>
                <w:tcPr>
                  <w:tcW w:w="892" w:type="dxa"/>
                </w:tcPr>
                <w:p w:rsidRPr="003D72E1" w:rsidR="009A36E6" w:rsidP="009A36E6" w14:paraId="3E26E406" w14:textId="77777777">
                  <w:pPr>
                    <w:spacing w:line="276" w:lineRule="auto"/>
                    <w:rPr>
                      <w:rFonts w:cs="Calibri"/>
                      <w:sz w:val="16"/>
                      <w:szCs w:val="16"/>
                    </w:rPr>
                  </w:pPr>
                  <w:r w:rsidRPr="003D72E1">
                    <w:rPr>
                      <w:rFonts w:cs="Calibri"/>
                      <w:sz w:val="16"/>
                      <w:szCs w:val="16"/>
                    </w:rPr>
                    <w:t>2.904</w:t>
                  </w:r>
                </w:p>
              </w:tc>
              <w:tc>
                <w:tcPr>
                  <w:tcW w:w="1239" w:type="dxa"/>
                </w:tcPr>
                <w:p w:rsidRPr="003D72E1" w:rsidR="009A36E6" w:rsidP="009A36E6" w14:paraId="7506887A" w14:textId="77777777">
                  <w:pPr>
                    <w:spacing w:line="276" w:lineRule="auto"/>
                    <w:rPr>
                      <w:rFonts w:cs="Calibri"/>
                      <w:sz w:val="16"/>
                      <w:szCs w:val="16"/>
                    </w:rPr>
                  </w:pPr>
                  <w:r w:rsidRPr="003D72E1">
                    <w:rPr>
                      <w:rFonts w:cs="Calibri"/>
                      <w:sz w:val="16"/>
                      <w:szCs w:val="16"/>
                    </w:rPr>
                    <w:t>€ 27.896.019</w:t>
                  </w:r>
                </w:p>
              </w:tc>
              <w:tc>
                <w:tcPr>
                  <w:tcW w:w="1239" w:type="dxa"/>
                </w:tcPr>
                <w:p w:rsidRPr="003D72E1" w:rsidR="009A36E6" w:rsidP="009A36E6" w14:paraId="16AEA968" w14:textId="77777777">
                  <w:pPr>
                    <w:spacing w:line="276" w:lineRule="auto"/>
                    <w:rPr>
                      <w:rFonts w:cs="Calibri"/>
                      <w:sz w:val="16"/>
                      <w:szCs w:val="16"/>
                    </w:rPr>
                  </w:pPr>
                  <w:r w:rsidRPr="003D72E1">
                    <w:rPr>
                      <w:rFonts w:cs="Calibri"/>
                      <w:sz w:val="16"/>
                      <w:szCs w:val="16"/>
                    </w:rPr>
                    <w:t>€ 15.096.415</w:t>
                  </w:r>
                </w:p>
              </w:tc>
              <w:tc>
                <w:tcPr>
                  <w:tcW w:w="2478" w:type="dxa"/>
                </w:tcPr>
                <w:p w:rsidRPr="003D72E1" w:rsidR="009A36E6" w:rsidP="009A36E6" w14:paraId="45A5C2A3" w14:textId="77777777">
                  <w:pPr>
                    <w:spacing w:line="276" w:lineRule="auto"/>
                    <w:rPr>
                      <w:rFonts w:cs="Calibri"/>
                      <w:sz w:val="16"/>
                      <w:szCs w:val="16"/>
                    </w:rPr>
                  </w:pPr>
                  <w:r w:rsidRPr="003D72E1">
                    <w:rPr>
                      <w:rFonts w:cs="Calibri"/>
                      <w:sz w:val="16"/>
                      <w:szCs w:val="16"/>
                    </w:rPr>
                    <w:t>Verplaatsen bushalte, aanleg ontsluitingsweg, herinrichting ontsluitingswegen, herinrichting erftoegangswegen, aanleg rotonde, herinrichting kruisingen</w:t>
                  </w:r>
                </w:p>
              </w:tc>
            </w:tr>
            <w:tr w:rsidTr="009935CA" w14:paraId="6ECD7B38" w14:textId="77777777">
              <w:tblPrEx>
                <w:tblW w:w="8656" w:type="dxa"/>
                <w:tblInd w:w="0" w:type="dxa"/>
                <w:tblLook w:val="04A0"/>
              </w:tblPrEx>
              <w:tc>
                <w:tcPr>
                  <w:tcW w:w="1114" w:type="dxa"/>
                </w:tcPr>
                <w:p w:rsidRPr="003D72E1" w:rsidR="009A36E6" w:rsidP="009A36E6" w14:paraId="4E9F9AF4" w14:textId="77777777">
                  <w:pPr>
                    <w:spacing w:line="276" w:lineRule="auto"/>
                    <w:rPr>
                      <w:rFonts w:cs="Calibri"/>
                      <w:sz w:val="16"/>
                      <w:szCs w:val="16"/>
                    </w:rPr>
                  </w:pPr>
                  <w:r w:rsidRPr="003D72E1">
                    <w:rPr>
                      <w:rFonts w:cs="Calibri"/>
                      <w:sz w:val="16"/>
                      <w:szCs w:val="16"/>
                    </w:rPr>
                    <w:t>Tilburg</w:t>
                  </w:r>
                </w:p>
              </w:tc>
              <w:tc>
                <w:tcPr>
                  <w:tcW w:w="1694" w:type="dxa"/>
                </w:tcPr>
                <w:p w:rsidRPr="003D72E1" w:rsidR="009A36E6" w:rsidP="009A36E6" w14:paraId="5C086A0B" w14:textId="77777777">
                  <w:pPr>
                    <w:spacing w:line="276" w:lineRule="auto"/>
                    <w:rPr>
                      <w:rFonts w:cs="Calibri"/>
                      <w:sz w:val="16"/>
                      <w:szCs w:val="16"/>
                    </w:rPr>
                  </w:pPr>
                  <w:r w:rsidRPr="003D72E1">
                    <w:rPr>
                      <w:rFonts w:cs="Calibri"/>
                      <w:sz w:val="16"/>
                      <w:szCs w:val="16"/>
                    </w:rPr>
                    <w:t>Oostﬂank SRBT - Tilburg</w:t>
                  </w:r>
                </w:p>
              </w:tc>
              <w:tc>
                <w:tcPr>
                  <w:tcW w:w="892" w:type="dxa"/>
                </w:tcPr>
                <w:p w:rsidRPr="003D72E1" w:rsidR="009A36E6" w:rsidP="009A36E6" w14:paraId="49D90BF3" w14:textId="77777777">
                  <w:pPr>
                    <w:spacing w:line="276" w:lineRule="auto"/>
                    <w:rPr>
                      <w:rFonts w:cs="Calibri"/>
                      <w:sz w:val="16"/>
                      <w:szCs w:val="16"/>
                    </w:rPr>
                  </w:pPr>
                  <w:r w:rsidRPr="003D72E1">
                    <w:rPr>
                      <w:rFonts w:cs="Calibri"/>
                      <w:sz w:val="16"/>
                      <w:szCs w:val="16"/>
                    </w:rPr>
                    <w:t>2.000</w:t>
                  </w:r>
                </w:p>
              </w:tc>
              <w:tc>
                <w:tcPr>
                  <w:tcW w:w="1239" w:type="dxa"/>
                </w:tcPr>
                <w:p w:rsidRPr="003D72E1" w:rsidR="009A36E6" w:rsidP="009A36E6" w14:paraId="26AC4EF5" w14:textId="77777777">
                  <w:pPr>
                    <w:spacing w:line="276" w:lineRule="auto"/>
                    <w:rPr>
                      <w:rFonts w:cs="Calibri"/>
                      <w:sz w:val="16"/>
                      <w:szCs w:val="16"/>
                    </w:rPr>
                  </w:pPr>
                  <w:r w:rsidRPr="003D72E1">
                    <w:rPr>
                      <w:rFonts w:cs="Calibri"/>
                      <w:sz w:val="16"/>
                      <w:szCs w:val="16"/>
                    </w:rPr>
                    <w:t>€ 18.488.427</w:t>
                  </w:r>
                </w:p>
              </w:tc>
              <w:tc>
                <w:tcPr>
                  <w:tcW w:w="1239" w:type="dxa"/>
                </w:tcPr>
                <w:p w:rsidRPr="003D72E1" w:rsidR="009A36E6" w:rsidP="009A36E6" w14:paraId="3B5DD323" w14:textId="77777777">
                  <w:pPr>
                    <w:spacing w:line="276" w:lineRule="auto"/>
                    <w:rPr>
                      <w:rFonts w:cs="Calibri"/>
                      <w:sz w:val="16"/>
                      <w:szCs w:val="16"/>
                    </w:rPr>
                  </w:pPr>
                  <w:r w:rsidRPr="003D72E1">
                    <w:rPr>
                      <w:rFonts w:cs="Calibri"/>
                      <w:sz w:val="16"/>
                      <w:szCs w:val="16"/>
                    </w:rPr>
                    <w:t>€ 10.005.333</w:t>
                  </w:r>
                </w:p>
              </w:tc>
              <w:tc>
                <w:tcPr>
                  <w:tcW w:w="2478" w:type="dxa"/>
                </w:tcPr>
                <w:p w:rsidRPr="003D72E1" w:rsidR="009A36E6" w:rsidP="009A36E6" w14:paraId="1979C028" w14:textId="77777777">
                  <w:pPr>
                    <w:spacing w:line="276" w:lineRule="auto"/>
                    <w:rPr>
                      <w:rFonts w:cs="Calibri"/>
                      <w:sz w:val="16"/>
                      <w:szCs w:val="16"/>
                    </w:rPr>
                  </w:pPr>
                  <w:r w:rsidRPr="003D72E1">
                    <w:rPr>
                      <w:rFonts w:cs="Calibri"/>
                      <w:sz w:val="16"/>
                      <w:szCs w:val="16"/>
                    </w:rPr>
                    <w:t>Aanleg ontsluitingsweg, aanleg fietspaden</w:t>
                  </w:r>
                </w:p>
              </w:tc>
            </w:tr>
            <w:tr w:rsidTr="009935CA" w14:paraId="02E77E06" w14:textId="77777777">
              <w:tblPrEx>
                <w:tblW w:w="8656" w:type="dxa"/>
                <w:tblInd w:w="0" w:type="dxa"/>
                <w:tblLook w:val="04A0"/>
              </w:tblPrEx>
              <w:tc>
                <w:tcPr>
                  <w:tcW w:w="1114" w:type="dxa"/>
                </w:tcPr>
                <w:p w:rsidRPr="003D72E1" w:rsidR="009A36E6" w:rsidP="009A36E6" w14:paraId="5BFD187D" w14:textId="77777777">
                  <w:pPr>
                    <w:spacing w:line="276" w:lineRule="auto"/>
                    <w:rPr>
                      <w:rFonts w:cs="Calibri"/>
                      <w:sz w:val="16"/>
                      <w:szCs w:val="16"/>
                    </w:rPr>
                  </w:pPr>
                  <w:r w:rsidRPr="003D72E1">
                    <w:rPr>
                      <w:rFonts w:cs="Calibri"/>
                      <w:sz w:val="16"/>
                      <w:szCs w:val="16"/>
                    </w:rPr>
                    <w:t>Tilburg</w:t>
                  </w:r>
                </w:p>
              </w:tc>
              <w:tc>
                <w:tcPr>
                  <w:tcW w:w="1694" w:type="dxa"/>
                </w:tcPr>
                <w:p w:rsidRPr="003D72E1" w:rsidR="009A36E6" w:rsidP="009A36E6" w14:paraId="17A16B13" w14:textId="77777777">
                  <w:pPr>
                    <w:spacing w:line="276" w:lineRule="auto"/>
                    <w:rPr>
                      <w:rFonts w:cs="Calibri"/>
                      <w:sz w:val="16"/>
                      <w:szCs w:val="16"/>
                    </w:rPr>
                  </w:pPr>
                  <w:r w:rsidRPr="003D72E1">
                    <w:rPr>
                      <w:rFonts w:cs="Calibri"/>
                      <w:sz w:val="16"/>
                      <w:szCs w:val="16"/>
                    </w:rPr>
                    <w:t>Noord</w:t>
                  </w:r>
                </w:p>
              </w:tc>
              <w:tc>
                <w:tcPr>
                  <w:tcW w:w="892" w:type="dxa"/>
                </w:tcPr>
                <w:p w:rsidRPr="003D72E1" w:rsidR="009A36E6" w:rsidP="009A36E6" w14:paraId="26956E74" w14:textId="77777777">
                  <w:pPr>
                    <w:spacing w:line="276" w:lineRule="auto"/>
                    <w:rPr>
                      <w:rFonts w:cs="Calibri"/>
                      <w:sz w:val="16"/>
                      <w:szCs w:val="16"/>
                    </w:rPr>
                  </w:pPr>
                  <w:r w:rsidRPr="003D72E1">
                    <w:rPr>
                      <w:rFonts w:cs="Calibri"/>
                      <w:sz w:val="16"/>
                      <w:szCs w:val="16"/>
                    </w:rPr>
                    <w:t>2.313</w:t>
                  </w:r>
                </w:p>
              </w:tc>
              <w:tc>
                <w:tcPr>
                  <w:tcW w:w="1239" w:type="dxa"/>
                </w:tcPr>
                <w:p w:rsidRPr="003D72E1" w:rsidR="009A36E6" w:rsidP="009A36E6" w14:paraId="4DBB149B" w14:textId="77777777">
                  <w:pPr>
                    <w:spacing w:line="276" w:lineRule="auto"/>
                    <w:rPr>
                      <w:rFonts w:cs="Calibri"/>
                      <w:sz w:val="16"/>
                      <w:szCs w:val="16"/>
                    </w:rPr>
                  </w:pPr>
                  <w:r w:rsidRPr="003D72E1">
                    <w:rPr>
                      <w:rFonts w:cs="Calibri"/>
                      <w:sz w:val="16"/>
                      <w:szCs w:val="16"/>
                    </w:rPr>
                    <w:t>€ 27.317.143</w:t>
                  </w:r>
                </w:p>
              </w:tc>
              <w:tc>
                <w:tcPr>
                  <w:tcW w:w="1239" w:type="dxa"/>
                </w:tcPr>
                <w:p w:rsidRPr="003D72E1" w:rsidR="009A36E6" w:rsidP="009A36E6" w14:paraId="1D126E8E" w14:textId="77777777">
                  <w:pPr>
                    <w:spacing w:line="276" w:lineRule="auto"/>
                    <w:rPr>
                      <w:rFonts w:cs="Calibri"/>
                      <w:sz w:val="16"/>
                      <w:szCs w:val="16"/>
                    </w:rPr>
                  </w:pPr>
                  <w:r w:rsidRPr="003D72E1">
                    <w:rPr>
                      <w:rFonts w:cs="Calibri"/>
                      <w:sz w:val="16"/>
                      <w:szCs w:val="16"/>
                    </w:rPr>
                    <w:t>€ 14.783.146</w:t>
                  </w:r>
                </w:p>
              </w:tc>
              <w:tc>
                <w:tcPr>
                  <w:tcW w:w="2478" w:type="dxa"/>
                </w:tcPr>
                <w:p w:rsidRPr="003D72E1" w:rsidR="009A36E6" w:rsidP="009A36E6" w14:paraId="6727F4CE" w14:textId="77777777">
                  <w:pPr>
                    <w:spacing w:line="276" w:lineRule="auto"/>
                    <w:rPr>
                      <w:rFonts w:cs="Calibri"/>
                      <w:sz w:val="16"/>
                      <w:szCs w:val="16"/>
                    </w:rPr>
                  </w:pPr>
                  <w:r w:rsidRPr="003D72E1">
                    <w:rPr>
                      <w:rFonts w:cs="Calibri"/>
                      <w:sz w:val="16"/>
                      <w:szCs w:val="16"/>
                    </w:rPr>
                    <w:t>Aanleg HOV-as, aanleg fietspaden, aanleg fietsbrug</w:t>
                  </w:r>
                </w:p>
              </w:tc>
            </w:tr>
            <w:tr w:rsidTr="009935CA" w14:paraId="2D9841D2" w14:textId="77777777">
              <w:tblPrEx>
                <w:tblW w:w="8656" w:type="dxa"/>
                <w:tblInd w:w="0" w:type="dxa"/>
                <w:tblLook w:val="04A0"/>
              </w:tblPrEx>
              <w:tc>
                <w:tcPr>
                  <w:tcW w:w="1114" w:type="dxa"/>
                </w:tcPr>
                <w:p w:rsidRPr="003D72E1" w:rsidR="009A36E6" w:rsidP="009A36E6" w14:paraId="05DA50F9" w14:textId="77777777">
                  <w:pPr>
                    <w:spacing w:line="276" w:lineRule="auto"/>
                    <w:rPr>
                      <w:rFonts w:cs="Calibri"/>
                      <w:sz w:val="16"/>
                      <w:szCs w:val="16"/>
                    </w:rPr>
                  </w:pPr>
                  <w:r w:rsidRPr="003D72E1">
                    <w:rPr>
                      <w:rFonts w:cs="Calibri"/>
                      <w:sz w:val="16"/>
                      <w:szCs w:val="16"/>
                    </w:rPr>
                    <w:t>Venlo</w:t>
                  </w:r>
                </w:p>
              </w:tc>
              <w:tc>
                <w:tcPr>
                  <w:tcW w:w="1694" w:type="dxa"/>
                </w:tcPr>
                <w:p w:rsidRPr="003D72E1" w:rsidR="009A36E6" w:rsidP="009A36E6" w14:paraId="23611B0E" w14:textId="77777777">
                  <w:pPr>
                    <w:spacing w:line="276" w:lineRule="auto"/>
                    <w:rPr>
                      <w:rFonts w:cs="Calibri"/>
                      <w:sz w:val="16"/>
                      <w:szCs w:val="16"/>
                    </w:rPr>
                  </w:pPr>
                  <w:r w:rsidRPr="003D72E1">
                    <w:rPr>
                      <w:rFonts w:cs="Calibri"/>
                      <w:sz w:val="16"/>
                      <w:szCs w:val="16"/>
                    </w:rPr>
                    <w:t>Venlo Noord</w:t>
                  </w:r>
                </w:p>
              </w:tc>
              <w:tc>
                <w:tcPr>
                  <w:tcW w:w="892" w:type="dxa"/>
                </w:tcPr>
                <w:p w:rsidRPr="003D72E1" w:rsidR="009A36E6" w:rsidP="009A36E6" w14:paraId="5F57B434" w14:textId="77777777">
                  <w:pPr>
                    <w:spacing w:line="276" w:lineRule="auto"/>
                    <w:rPr>
                      <w:rFonts w:cs="Calibri"/>
                      <w:sz w:val="16"/>
                      <w:szCs w:val="16"/>
                    </w:rPr>
                  </w:pPr>
                  <w:r w:rsidRPr="003D72E1">
                    <w:rPr>
                      <w:rFonts w:cs="Calibri"/>
                      <w:sz w:val="16"/>
                      <w:szCs w:val="16"/>
                    </w:rPr>
                    <w:t>500</w:t>
                  </w:r>
                </w:p>
              </w:tc>
              <w:tc>
                <w:tcPr>
                  <w:tcW w:w="1239" w:type="dxa"/>
                </w:tcPr>
                <w:p w:rsidRPr="003D72E1" w:rsidR="009A36E6" w:rsidP="009A36E6" w14:paraId="42A90E76" w14:textId="77777777">
                  <w:pPr>
                    <w:spacing w:line="276" w:lineRule="auto"/>
                    <w:rPr>
                      <w:rFonts w:cs="Calibri"/>
                      <w:sz w:val="16"/>
                      <w:szCs w:val="16"/>
                    </w:rPr>
                  </w:pPr>
                  <w:r w:rsidRPr="003D72E1">
                    <w:rPr>
                      <w:rFonts w:cs="Calibri"/>
                      <w:sz w:val="16"/>
                      <w:szCs w:val="16"/>
                    </w:rPr>
                    <w:t>€ 3.533.115</w:t>
                  </w:r>
                </w:p>
              </w:tc>
              <w:tc>
                <w:tcPr>
                  <w:tcW w:w="1239" w:type="dxa"/>
                </w:tcPr>
                <w:p w:rsidRPr="003D72E1" w:rsidR="009A36E6" w:rsidP="009A36E6" w14:paraId="6A9CA5AC" w14:textId="77777777">
                  <w:pPr>
                    <w:spacing w:line="276" w:lineRule="auto"/>
                    <w:rPr>
                      <w:rFonts w:cs="Calibri"/>
                      <w:sz w:val="16"/>
                      <w:szCs w:val="16"/>
                    </w:rPr>
                  </w:pPr>
                  <w:r w:rsidRPr="003D72E1">
                    <w:rPr>
                      <w:rFonts w:cs="Calibri"/>
                      <w:sz w:val="16"/>
                      <w:szCs w:val="16"/>
                    </w:rPr>
                    <w:t>€ 1.912.006</w:t>
                  </w:r>
                </w:p>
              </w:tc>
              <w:tc>
                <w:tcPr>
                  <w:tcW w:w="2478" w:type="dxa"/>
                </w:tcPr>
                <w:p w:rsidRPr="003D72E1" w:rsidR="009A36E6" w:rsidP="009A36E6" w14:paraId="168CAB67" w14:textId="77777777">
                  <w:pPr>
                    <w:spacing w:line="276" w:lineRule="auto"/>
                    <w:rPr>
                      <w:rFonts w:cs="Calibri"/>
                      <w:sz w:val="16"/>
                      <w:szCs w:val="16"/>
                    </w:rPr>
                  </w:pPr>
                  <w:r w:rsidRPr="003D72E1">
                    <w:rPr>
                      <w:rFonts w:cs="Calibri"/>
                      <w:sz w:val="16"/>
                      <w:szCs w:val="16"/>
                    </w:rPr>
                    <w:t xml:space="preserve">Aanleg ontsluitingswegweg, aanleg vrijliggend fietspad, aanleg voetpad. </w:t>
                  </w:r>
                </w:p>
              </w:tc>
            </w:tr>
            <w:tr w:rsidTr="009935CA" w14:paraId="68339344" w14:textId="77777777">
              <w:tblPrEx>
                <w:tblW w:w="8656" w:type="dxa"/>
                <w:tblInd w:w="0" w:type="dxa"/>
                <w:tblLook w:val="04A0"/>
              </w:tblPrEx>
              <w:tc>
                <w:tcPr>
                  <w:tcW w:w="1114" w:type="dxa"/>
                </w:tcPr>
                <w:p w:rsidRPr="003D72E1" w:rsidR="009A36E6" w:rsidP="009A36E6" w14:paraId="4521DFFE" w14:textId="77777777">
                  <w:pPr>
                    <w:spacing w:line="276" w:lineRule="auto"/>
                    <w:rPr>
                      <w:rFonts w:cs="Calibri"/>
                      <w:sz w:val="16"/>
                      <w:szCs w:val="16"/>
                    </w:rPr>
                  </w:pPr>
                  <w:r w:rsidRPr="003D72E1">
                    <w:rPr>
                      <w:rFonts w:cs="Calibri"/>
                      <w:sz w:val="16"/>
                      <w:szCs w:val="16"/>
                    </w:rPr>
                    <w:t>Venlo</w:t>
                  </w:r>
                </w:p>
              </w:tc>
              <w:tc>
                <w:tcPr>
                  <w:tcW w:w="1694" w:type="dxa"/>
                </w:tcPr>
                <w:p w:rsidRPr="003D72E1" w:rsidR="009A36E6" w:rsidP="009A36E6" w14:paraId="3F9AF0C9" w14:textId="77777777">
                  <w:pPr>
                    <w:spacing w:line="276" w:lineRule="auto"/>
                    <w:rPr>
                      <w:rFonts w:cs="Calibri"/>
                      <w:sz w:val="16"/>
                      <w:szCs w:val="16"/>
                    </w:rPr>
                  </w:pPr>
                  <w:r w:rsidRPr="003D72E1">
                    <w:rPr>
                      <w:rFonts w:cs="Calibri"/>
                      <w:sz w:val="16"/>
                      <w:szCs w:val="16"/>
                    </w:rPr>
                    <w:t>Middengebied-Veilingterrein</w:t>
                  </w:r>
                </w:p>
              </w:tc>
              <w:tc>
                <w:tcPr>
                  <w:tcW w:w="892" w:type="dxa"/>
                </w:tcPr>
                <w:p w:rsidRPr="003D72E1" w:rsidR="009A36E6" w:rsidP="009A36E6" w14:paraId="36141CDF" w14:textId="77777777">
                  <w:pPr>
                    <w:spacing w:line="276" w:lineRule="auto"/>
                    <w:rPr>
                      <w:rFonts w:cs="Calibri"/>
                      <w:sz w:val="16"/>
                      <w:szCs w:val="16"/>
                    </w:rPr>
                  </w:pPr>
                  <w:r w:rsidRPr="003D72E1">
                    <w:rPr>
                      <w:rFonts w:cs="Calibri"/>
                      <w:sz w:val="16"/>
                      <w:szCs w:val="16"/>
                    </w:rPr>
                    <w:t>940</w:t>
                  </w:r>
                </w:p>
              </w:tc>
              <w:tc>
                <w:tcPr>
                  <w:tcW w:w="1239" w:type="dxa"/>
                </w:tcPr>
                <w:p w:rsidRPr="003D72E1" w:rsidR="009A36E6" w:rsidP="009A36E6" w14:paraId="3CA46649" w14:textId="77777777">
                  <w:pPr>
                    <w:spacing w:line="276" w:lineRule="auto"/>
                    <w:rPr>
                      <w:rFonts w:cs="Calibri"/>
                      <w:sz w:val="16"/>
                      <w:szCs w:val="16"/>
                    </w:rPr>
                  </w:pPr>
                  <w:r w:rsidRPr="003D72E1">
                    <w:rPr>
                      <w:rFonts w:cs="Calibri"/>
                      <w:sz w:val="16"/>
                      <w:szCs w:val="16"/>
                    </w:rPr>
                    <w:t>€ 6.697.373</w:t>
                  </w:r>
                </w:p>
              </w:tc>
              <w:tc>
                <w:tcPr>
                  <w:tcW w:w="1239" w:type="dxa"/>
                </w:tcPr>
                <w:p w:rsidRPr="003D72E1" w:rsidR="009A36E6" w:rsidP="009A36E6" w14:paraId="09F4DF1B" w14:textId="77777777">
                  <w:pPr>
                    <w:spacing w:line="276" w:lineRule="auto"/>
                    <w:rPr>
                      <w:rFonts w:cs="Calibri"/>
                      <w:sz w:val="16"/>
                      <w:szCs w:val="16"/>
                    </w:rPr>
                  </w:pPr>
                  <w:r w:rsidRPr="003D72E1">
                    <w:rPr>
                      <w:rFonts w:cs="Calibri"/>
                      <w:sz w:val="16"/>
                      <w:szCs w:val="16"/>
                    </w:rPr>
                    <w:t>€ 3.624.401</w:t>
                  </w:r>
                </w:p>
              </w:tc>
              <w:tc>
                <w:tcPr>
                  <w:tcW w:w="2478" w:type="dxa"/>
                </w:tcPr>
                <w:p w:rsidRPr="003D72E1" w:rsidR="009A36E6" w:rsidP="009A36E6" w14:paraId="121FC775" w14:textId="77777777">
                  <w:pPr>
                    <w:spacing w:line="276" w:lineRule="auto"/>
                    <w:rPr>
                      <w:rFonts w:cs="Calibri"/>
                      <w:sz w:val="16"/>
                      <w:szCs w:val="16"/>
                    </w:rPr>
                  </w:pPr>
                  <w:r w:rsidRPr="003D72E1">
                    <w:rPr>
                      <w:rFonts w:cs="Calibri"/>
                      <w:sz w:val="16"/>
                      <w:szCs w:val="16"/>
                    </w:rPr>
                    <w:t>Herinrichting kruising, herinrichting ontsluitingsweg, aanleg fietsroute</w:t>
                  </w:r>
                </w:p>
              </w:tc>
            </w:tr>
            <w:tr w:rsidTr="009935CA" w14:paraId="135C7C63" w14:textId="77777777">
              <w:tblPrEx>
                <w:tblW w:w="8656" w:type="dxa"/>
                <w:tblInd w:w="0" w:type="dxa"/>
                <w:tblLook w:val="04A0"/>
              </w:tblPrEx>
              <w:tc>
                <w:tcPr>
                  <w:tcW w:w="1114" w:type="dxa"/>
                </w:tcPr>
                <w:p w:rsidRPr="003D72E1" w:rsidR="009A36E6" w:rsidP="009A36E6" w14:paraId="1DA587A6" w14:textId="77777777">
                  <w:pPr>
                    <w:spacing w:line="276" w:lineRule="auto"/>
                    <w:rPr>
                      <w:rFonts w:cs="Calibri"/>
                      <w:sz w:val="16"/>
                      <w:szCs w:val="16"/>
                    </w:rPr>
                  </w:pPr>
                  <w:r w:rsidRPr="003D72E1">
                    <w:rPr>
                      <w:rFonts w:cs="Calibri"/>
                      <w:sz w:val="16"/>
                      <w:szCs w:val="16"/>
                    </w:rPr>
                    <w:t>Venlo</w:t>
                  </w:r>
                </w:p>
              </w:tc>
              <w:tc>
                <w:tcPr>
                  <w:tcW w:w="1694" w:type="dxa"/>
                </w:tcPr>
                <w:p w:rsidRPr="003D72E1" w:rsidR="009A36E6" w:rsidP="009A36E6" w14:paraId="7251AD04" w14:textId="77777777">
                  <w:pPr>
                    <w:spacing w:line="276" w:lineRule="auto"/>
                    <w:rPr>
                      <w:rFonts w:cs="Calibri"/>
                      <w:sz w:val="16"/>
                      <w:szCs w:val="16"/>
                    </w:rPr>
                  </w:pPr>
                  <w:r w:rsidRPr="003D72E1">
                    <w:rPr>
                      <w:rFonts w:cs="Calibri"/>
                      <w:sz w:val="16"/>
                      <w:szCs w:val="16"/>
                    </w:rPr>
                    <w:t>Kazernekwartier</w:t>
                  </w:r>
                </w:p>
              </w:tc>
              <w:tc>
                <w:tcPr>
                  <w:tcW w:w="892" w:type="dxa"/>
                </w:tcPr>
                <w:p w:rsidRPr="003D72E1" w:rsidR="009A36E6" w:rsidP="009A36E6" w14:paraId="426757C2" w14:textId="77777777">
                  <w:pPr>
                    <w:spacing w:line="276" w:lineRule="auto"/>
                    <w:rPr>
                      <w:rFonts w:cs="Calibri"/>
                      <w:sz w:val="16"/>
                      <w:szCs w:val="16"/>
                    </w:rPr>
                  </w:pPr>
                  <w:r w:rsidRPr="003D72E1">
                    <w:rPr>
                      <w:rFonts w:cs="Calibri"/>
                      <w:sz w:val="16"/>
                      <w:szCs w:val="16"/>
                    </w:rPr>
                    <w:t>1.352</w:t>
                  </w:r>
                </w:p>
              </w:tc>
              <w:tc>
                <w:tcPr>
                  <w:tcW w:w="1239" w:type="dxa"/>
                </w:tcPr>
                <w:p w:rsidRPr="003D72E1" w:rsidR="009A36E6" w:rsidP="009A36E6" w14:paraId="119E7722" w14:textId="77777777">
                  <w:pPr>
                    <w:spacing w:line="276" w:lineRule="auto"/>
                    <w:rPr>
                      <w:rFonts w:cs="Calibri"/>
                      <w:sz w:val="16"/>
                      <w:szCs w:val="16"/>
                    </w:rPr>
                  </w:pPr>
                  <w:r w:rsidRPr="003D72E1">
                    <w:rPr>
                      <w:rFonts w:cs="Calibri"/>
                      <w:sz w:val="16"/>
                      <w:szCs w:val="16"/>
                    </w:rPr>
                    <w:t>€ 10.478.704</w:t>
                  </w:r>
                </w:p>
              </w:tc>
              <w:tc>
                <w:tcPr>
                  <w:tcW w:w="1239" w:type="dxa"/>
                </w:tcPr>
                <w:p w:rsidRPr="003D72E1" w:rsidR="009A36E6" w:rsidP="009A36E6" w14:paraId="074D1C09" w14:textId="77777777">
                  <w:pPr>
                    <w:spacing w:line="276" w:lineRule="auto"/>
                    <w:rPr>
                      <w:rFonts w:cs="Calibri"/>
                      <w:sz w:val="16"/>
                      <w:szCs w:val="16"/>
                    </w:rPr>
                  </w:pPr>
                  <w:r w:rsidRPr="003D72E1">
                    <w:rPr>
                      <w:rFonts w:cs="Calibri"/>
                      <w:sz w:val="16"/>
                      <w:szCs w:val="16"/>
                    </w:rPr>
                    <w:t>€ 5.670.733</w:t>
                  </w:r>
                </w:p>
              </w:tc>
              <w:tc>
                <w:tcPr>
                  <w:tcW w:w="2478" w:type="dxa"/>
                </w:tcPr>
                <w:p w:rsidRPr="003D72E1" w:rsidR="009A36E6" w:rsidP="009A36E6" w14:paraId="34394017" w14:textId="77777777">
                  <w:pPr>
                    <w:spacing w:line="276" w:lineRule="auto"/>
                    <w:rPr>
                      <w:rFonts w:cs="Calibri"/>
                      <w:sz w:val="16"/>
                      <w:szCs w:val="16"/>
                    </w:rPr>
                  </w:pPr>
                  <w:r w:rsidRPr="003D72E1">
                    <w:rPr>
                      <w:rFonts w:cs="Calibri"/>
                      <w:sz w:val="16"/>
                      <w:szCs w:val="16"/>
                    </w:rPr>
                    <w:t>Aanleg ontsluitingsweg, aanleg erftoegangsweg, aanleg fietspaden</w:t>
                  </w:r>
                </w:p>
              </w:tc>
            </w:tr>
            <w:tr w:rsidTr="009935CA" w14:paraId="3CDF94BC" w14:textId="77777777">
              <w:tblPrEx>
                <w:tblW w:w="8656" w:type="dxa"/>
                <w:tblInd w:w="0" w:type="dxa"/>
                <w:tblLook w:val="04A0"/>
              </w:tblPrEx>
              <w:tc>
                <w:tcPr>
                  <w:tcW w:w="1114" w:type="dxa"/>
                </w:tcPr>
                <w:p w:rsidRPr="003D72E1" w:rsidR="009A36E6" w:rsidP="009A36E6" w14:paraId="5E1CA71F" w14:textId="77777777">
                  <w:pPr>
                    <w:spacing w:line="276" w:lineRule="auto"/>
                    <w:rPr>
                      <w:rFonts w:cs="Calibri"/>
                      <w:sz w:val="16"/>
                      <w:szCs w:val="16"/>
                    </w:rPr>
                  </w:pPr>
                  <w:r w:rsidRPr="003D72E1">
                    <w:rPr>
                      <w:rFonts w:cs="Calibri"/>
                      <w:sz w:val="16"/>
                      <w:szCs w:val="16"/>
                    </w:rPr>
                    <w:t>Waalwijk</w:t>
                  </w:r>
                </w:p>
              </w:tc>
              <w:tc>
                <w:tcPr>
                  <w:tcW w:w="1694" w:type="dxa"/>
                </w:tcPr>
                <w:p w:rsidRPr="003D72E1" w:rsidR="009A36E6" w:rsidP="009A36E6" w14:paraId="0C444335" w14:textId="77777777">
                  <w:pPr>
                    <w:spacing w:line="276" w:lineRule="auto"/>
                    <w:rPr>
                      <w:rFonts w:cs="Calibri"/>
                      <w:sz w:val="16"/>
                      <w:szCs w:val="16"/>
                    </w:rPr>
                  </w:pPr>
                  <w:r w:rsidRPr="003D72E1">
                    <w:rPr>
                      <w:rFonts w:cs="Calibri"/>
                      <w:sz w:val="16"/>
                      <w:szCs w:val="16"/>
                    </w:rPr>
                    <w:t>Waalwijk Centrum en Landgoed Driessen</w:t>
                  </w:r>
                </w:p>
              </w:tc>
              <w:tc>
                <w:tcPr>
                  <w:tcW w:w="892" w:type="dxa"/>
                </w:tcPr>
                <w:p w:rsidRPr="003D72E1" w:rsidR="009A36E6" w:rsidP="009A36E6" w14:paraId="31D2EDCB" w14:textId="77777777">
                  <w:pPr>
                    <w:spacing w:line="276" w:lineRule="auto"/>
                    <w:rPr>
                      <w:rFonts w:cs="Calibri"/>
                      <w:sz w:val="16"/>
                      <w:szCs w:val="16"/>
                    </w:rPr>
                  </w:pPr>
                  <w:r w:rsidRPr="003D72E1">
                    <w:rPr>
                      <w:rFonts w:cs="Calibri"/>
                      <w:sz w:val="16"/>
                      <w:szCs w:val="16"/>
                    </w:rPr>
                    <w:t>2.450</w:t>
                  </w:r>
                </w:p>
              </w:tc>
              <w:tc>
                <w:tcPr>
                  <w:tcW w:w="1239" w:type="dxa"/>
                </w:tcPr>
                <w:p w:rsidRPr="003D72E1" w:rsidR="009A36E6" w:rsidP="009A36E6" w14:paraId="03F95EAA" w14:textId="77777777">
                  <w:pPr>
                    <w:spacing w:line="276" w:lineRule="auto"/>
                    <w:rPr>
                      <w:rFonts w:cs="Calibri"/>
                      <w:sz w:val="16"/>
                      <w:szCs w:val="16"/>
                    </w:rPr>
                  </w:pPr>
                  <w:r w:rsidRPr="003D72E1">
                    <w:rPr>
                      <w:rFonts w:cs="Calibri"/>
                      <w:sz w:val="16"/>
                      <w:szCs w:val="16"/>
                    </w:rPr>
                    <w:t>€ 29.335.575</w:t>
                  </w:r>
                </w:p>
              </w:tc>
              <w:tc>
                <w:tcPr>
                  <w:tcW w:w="1239" w:type="dxa"/>
                </w:tcPr>
                <w:p w:rsidRPr="003D72E1" w:rsidR="009A36E6" w:rsidP="009A36E6" w14:paraId="10B1520A" w14:textId="77777777">
                  <w:pPr>
                    <w:spacing w:line="276" w:lineRule="auto"/>
                    <w:rPr>
                      <w:rFonts w:cs="Calibri"/>
                      <w:sz w:val="16"/>
                      <w:szCs w:val="16"/>
                    </w:rPr>
                  </w:pPr>
                  <w:r w:rsidRPr="003D72E1">
                    <w:rPr>
                      <w:rFonts w:cs="Calibri"/>
                      <w:sz w:val="16"/>
                      <w:szCs w:val="16"/>
                    </w:rPr>
                    <w:t>€ 15.875.456</w:t>
                  </w:r>
                </w:p>
              </w:tc>
              <w:tc>
                <w:tcPr>
                  <w:tcW w:w="2478" w:type="dxa"/>
                </w:tcPr>
                <w:p w:rsidRPr="003D72E1" w:rsidR="009A36E6" w:rsidP="009A36E6" w14:paraId="7DA4F889" w14:textId="77777777">
                  <w:pPr>
                    <w:spacing w:line="276" w:lineRule="auto"/>
                    <w:rPr>
                      <w:rFonts w:cs="Calibri"/>
                      <w:sz w:val="16"/>
                      <w:szCs w:val="16"/>
                    </w:rPr>
                  </w:pPr>
                  <w:r w:rsidRPr="003D72E1">
                    <w:rPr>
                      <w:rFonts w:cs="Calibri"/>
                      <w:sz w:val="16"/>
                      <w:szCs w:val="16"/>
                    </w:rPr>
                    <w:t>Mobiliteitshub, gebiedsontsluitingsweg, aanleg fietsstraat</w:t>
                  </w:r>
                </w:p>
              </w:tc>
            </w:tr>
            <w:tr w:rsidTr="009935CA" w14:paraId="380B9186" w14:textId="77777777">
              <w:tblPrEx>
                <w:tblW w:w="8656" w:type="dxa"/>
                <w:tblInd w:w="0" w:type="dxa"/>
                <w:tblLook w:val="04A0"/>
              </w:tblPrEx>
              <w:tc>
                <w:tcPr>
                  <w:tcW w:w="1114" w:type="dxa"/>
                </w:tcPr>
                <w:p w:rsidRPr="003D72E1" w:rsidR="009A36E6" w:rsidP="009A36E6" w14:paraId="6859B89A" w14:textId="77777777">
                  <w:pPr>
                    <w:spacing w:line="276" w:lineRule="auto"/>
                    <w:rPr>
                      <w:rFonts w:cs="Calibri"/>
                      <w:sz w:val="16"/>
                      <w:szCs w:val="16"/>
                    </w:rPr>
                  </w:pPr>
                  <w:r w:rsidRPr="003D72E1">
                    <w:rPr>
                      <w:rFonts w:cs="Calibri"/>
                      <w:sz w:val="16"/>
                      <w:szCs w:val="16"/>
                    </w:rPr>
                    <w:t>Weert</w:t>
                  </w:r>
                </w:p>
              </w:tc>
              <w:tc>
                <w:tcPr>
                  <w:tcW w:w="1694" w:type="dxa"/>
                </w:tcPr>
                <w:p w:rsidRPr="003D72E1" w:rsidR="009A36E6" w:rsidP="009A36E6" w14:paraId="550BD0A6" w14:textId="77777777">
                  <w:pPr>
                    <w:spacing w:line="276" w:lineRule="auto"/>
                    <w:rPr>
                      <w:rFonts w:cs="Calibri"/>
                      <w:sz w:val="16"/>
                      <w:szCs w:val="16"/>
                    </w:rPr>
                  </w:pPr>
                  <w:r w:rsidRPr="003D72E1">
                    <w:rPr>
                      <w:rFonts w:cs="Calibri"/>
                      <w:sz w:val="16"/>
                      <w:szCs w:val="16"/>
                    </w:rPr>
                    <w:t>Drakensteyn</w:t>
                  </w:r>
                </w:p>
              </w:tc>
              <w:tc>
                <w:tcPr>
                  <w:tcW w:w="892" w:type="dxa"/>
                </w:tcPr>
                <w:p w:rsidRPr="003D72E1" w:rsidR="009A36E6" w:rsidP="009A36E6" w14:paraId="41504EF0" w14:textId="77777777">
                  <w:pPr>
                    <w:spacing w:line="276" w:lineRule="auto"/>
                    <w:rPr>
                      <w:rFonts w:cs="Calibri"/>
                      <w:sz w:val="16"/>
                      <w:szCs w:val="16"/>
                    </w:rPr>
                  </w:pPr>
                  <w:r w:rsidRPr="003D72E1">
                    <w:rPr>
                      <w:rFonts w:cs="Calibri"/>
                      <w:sz w:val="16"/>
                      <w:szCs w:val="16"/>
                    </w:rPr>
                    <w:t>350</w:t>
                  </w:r>
                </w:p>
              </w:tc>
              <w:tc>
                <w:tcPr>
                  <w:tcW w:w="1239" w:type="dxa"/>
                </w:tcPr>
                <w:p w:rsidRPr="003D72E1" w:rsidR="009A36E6" w:rsidP="009A36E6" w14:paraId="40F136D6" w14:textId="77777777">
                  <w:pPr>
                    <w:spacing w:line="276" w:lineRule="auto"/>
                    <w:rPr>
                      <w:rFonts w:cs="Calibri"/>
                      <w:sz w:val="16"/>
                      <w:szCs w:val="16"/>
                    </w:rPr>
                  </w:pPr>
                  <w:r w:rsidRPr="003D72E1">
                    <w:rPr>
                      <w:rFonts w:cs="Calibri"/>
                      <w:sz w:val="16"/>
                      <w:szCs w:val="16"/>
                    </w:rPr>
                    <w:t>€ 2.701.847</w:t>
                  </w:r>
                </w:p>
              </w:tc>
              <w:tc>
                <w:tcPr>
                  <w:tcW w:w="1239" w:type="dxa"/>
                </w:tcPr>
                <w:p w:rsidRPr="003D72E1" w:rsidR="009A36E6" w:rsidP="009A36E6" w14:paraId="00D18DEE" w14:textId="77777777">
                  <w:pPr>
                    <w:spacing w:line="276" w:lineRule="auto"/>
                    <w:rPr>
                      <w:rFonts w:cs="Calibri"/>
                      <w:sz w:val="16"/>
                      <w:szCs w:val="16"/>
                    </w:rPr>
                  </w:pPr>
                  <w:r w:rsidRPr="003D72E1">
                    <w:rPr>
                      <w:rFonts w:cs="Calibri"/>
                      <w:sz w:val="16"/>
                      <w:szCs w:val="16"/>
                    </w:rPr>
                    <w:t>€ 1.462.152</w:t>
                  </w:r>
                </w:p>
              </w:tc>
              <w:tc>
                <w:tcPr>
                  <w:tcW w:w="2478" w:type="dxa"/>
                </w:tcPr>
                <w:p w:rsidRPr="003D72E1" w:rsidR="009A36E6" w:rsidP="009A36E6" w14:paraId="023EA34E" w14:textId="77777777">
                  <w:pPr>
                    <w:spacing w:line="276" w:lineRule="auto"/>
                    <w:rPr>
                      <w:rFonts w:cs="Calibri"/>
                      <w:sz w:val="16"/>
                      <w:szCs w:val="16"/>
                    </w:rPr>
                  </w:pPr>
                  <w:r w:rsidRPr="003D72E1">
                    <w:rPr>
                      <w:rFonts w:cs="Calibri"/>
                      <w:sz w:val="16"/>
                      <w:szCs w:val="16"/>
                    </w:rPr>
                    <w:t>Aanleg fiets- en voetgangerspaden</w:t>
                  </w:r>
                </w:p>
              </w:tc>
            </w:tr>
            <w:tr w:rsidTr="009935CA" w14:paraId="02946AE5" w14:textId="77777777">
              <w:tblPrEx>
                <w:tblW w:w="8656" w:type="dxa"/>
                <w:tblInd w:w="0" w:type="dxa"/>
                <w:tblLook w:val="04A0"/>
              </w:tblPrEx>
              <w:tc>
                <w:tcPr>
                  <w:tcW w:w="1114" w:type="dxa"/>
                </w:tcPr>
                <w:p w:rsidRPr="003D72E1" w:rsidR="009A36E6" w:rsidP="009A36E6" w14:paraId="2EDA8AC5" w14:textId="77777777">
                  <w:pPr>
                    <w:spacing w:line="276" w:lineRule="auto"/>
                    <w:rPr>
                      <w:rFonts w:cs="Calibri"/>
                      <w:sz w:val="16"/>
                      <w:szCs w:val="16"/>
                    </w:rPr>
                  </w:pPr>
                  <w:r w:rsidRPr="003D72E1">
                    <w:rPr>
                      <w:rFonts w:cs="Calibri"/>
                      <w:sz w:val="16"/>
                      <w:szCs w:val="16"/>
                    </w:rPr>
                    <w:t>Weert</w:t>
                  </w:r>
                </w:p>
              </w:tc>
              <w:tc>
                <w:tcPr>
                  <w:tcW w:w="1694" w:type="dxa"/>
                </w:tcPr>
                <w:p w:rsidRPr="003D72E1" w:rsidR="009A36E6" w:rsidP="009A36E6" w14:paraId="110A84EE" w14:textId="77777777">
                  <w:pPr>
                    <w:spacing w:line="276" w:lineRule="auto"/>
                    <w:rPr>
                      <w:rFonts w:cs="Calibri"/>
                      <w:sz w:val="16"/>
                      <w:szCs w:val="16"/>
                    </w:rPr>
                  </w:pPr>
                  <w:r w:rsidRPr="003D72E1">
                    <w:rPr>
                      <w:rFonts w:cs="Calibri"/>
                      <w:sz w:val="16"/>
                      <w:szCs w:val="16"/>
                    </w:rPr>
                    <w:t>Hornekwartier en Spoorzone</w:t>
                  </w:r>
                  <w:r w:rsidRPr="003D72E1">
                    <w:rPr>
                      <w:rFonts w:cs="Calibri"/>
                      <w:sz w:val="16"/>
                      <w:szCs w:val="16"/>
                    </w:rPr>
                    <w:br/>
                    <w:t>Weert</w:t>
                  </w:r>
                </w:p>
              </w:tc>
              <w:tc>
                <w:tcPr>
                  <w:tcW w:w="892" w:type="dxa"/>
                </w:tcPr>
                <w:p w:rsidRPr="003D72E1" w:rsidR="009A36E6" w:rsidP="009A36E6" w14:paraId="5B9A5E60" w14:textId="77777777">
                  <w:pPr>
                    <w:spacing w:line="276" w:lineRule="auto"/>
                    <w:rPr>
                      <w:rFonts w:cs="Calibri"/>
                      <w:sz w:val="16"/>
                      <w:szCs w:val="16"/>
                    </w:rPr>
                  </w:pPr>
                  <w:r w:rsidRPr="003D72E1">
                    <w:rPr>
                      <w:rFonts w:cs="Calibri"/>
                      <w:sz w:val="16"/>
                      <w:szCs w:val="16"/>
                    </w:rPr>
                    <w:t>1.527</w:t>
                  </w:r>
                </w:p>
              </w:tc>
              <w:tc>
                <w:tcPr>
                  <w:tcW w:w="1239" w:type="dxa"/>
                </w:tcPr>
                <w:p w:rsidRPr="003D72E1" w:rsidR="009A36E6" w:rsidP="009A36E6" w14:paraId="4C236064" w14:textId="77777777">
                  <w:pPr>
                    <w:spacing w:line="276" w:lineRule="auto"/>
                    <w:rPr>
                      <w:rFonts w:cs="Calibri"/>
                      <w:sz w:val="16"/>
                      <w:szCs w:val="16"/>
                    </w:rPr>
                  </w:pPr>
                  <w:r w:rsidRPr="003D72E1">
                    <w:rPr>
                      <w:rFonts w:cs="Calibri"/>
                      <w:sz w:val="16"/>
                      <w:szCs w:val="16"/>
                    </w:rPr>
                    <w:t>€ 17.315.205</w:t>
                  </w:r>
                </w:p>
              </w:tc>
              <w:tc>
                <w:tcPr>
                  <w:tcW w:w="1239" w:type="dxa"/>
                </w:tcPr>
                <w:p w:rsidRPr="003D72E1" w:rsidR="009A36E6" w:rsidP="009A36E6" w14:paraId="0435BC2A" w14:textId="77777777">
                  <w:pPr>
                    <w:spacing w:line="276" w:lineRule="auto"/>
                    <w:rPr>
                      <w:rFonts w:cs="Calibri"/>
                      <w:sz w:val="16"/>
                      <w:szCs w:val="16"/>
                    </w:rPr>
                  </w:pPr>
                  <w:r w:rsidRPr="003D72E1">
                    <w:rPr>
                      <w:rFonts w:cs="Calibri"/>
                      <w:sz w:val="16"/>
                      <w:szCs w:val="16"/>
                    </w:rPr>
                    <w:t>€ 9.370.424</w:t>
                  </w:r>
                </w:p>
              </w:tc>
              <w:tc>
                <w:tcPr>
                  <w:tcW w:w="2478" w:type="dxa"/>
                </w:tcPr>
                <w:p w:rsidRPr="003D72E1" w:rsidR="009A36E6" w:rsidP="009A36E6" w14:paraId="1C8056F3" w14:textId="77777777">
                  <w:pPr>
                    <w:spacing w:line="276" w:lineRule="auto"/>
                    <w:rPr>
                      <w:rFonts w:cs="Calibri"/>
                      <w:sz w:val="16"/>
                      <w:szCs w:val="16"/>
                    </w:rPr>
                  </w:pPr>
                  <w:r w:rsidRPr="003D72E1">
                    <w:rPr>
                      <w:rFonts w:cs="Calibri"/>
                      <w:sz w:val="16"/>
                      <w:szCs w:val="16"/>
                    </w:rPr>
                    <w:t>Aanleg fiets- en voetgangerstunnel, aanpassen kruisingen, verbreding ontsluitingsweg, aanleg rotondes, verbeteren fiets- en voetgangerspaden</w:t>
                  </w:r>
                </w:p>
              </w:tc>
            </w:tr>
          </w:tbl>
          <w:p w:rsidR="00CA79CE" w:rsidP="00CA79CE" w14:paraId="540495DD" w14:textId="34ADDA6E">
            <w:pPr>
              <w:spacing w:line="240" w:lineRule="exact"/>
            </w:pPr>
          </w:p>
          <w:p w:rsidR="009A36E6" w:rsidP="00CA79CE" w14:paraId="219CA254" w14:textId="797E8BCE">
            <w:pPr>
              <w:spacing w:line="240" w:lineRule="exact"/>
              <w:rPr>
                <w:b/>
                <w:bCs/>
                <w:i/>
                <w:iCs/>
              </w:rPr>
            </w:pPr>
            <w:r>
              <w:rPr>
                <w:b/>
                <w:bCs/>
                <w:i/>
                <w:iCs/>
              </w:rPr>
              <w:t>Grootschalige woningbouw Zuid-Nederland</w:t>
            </w:r>
          </w:p>
          <w:p w:rsidRPr="009A36E6" w:rsidR="009A36E6" w:rsidP="009A36E6" w14:paraId="0B6F46B2" w14:textId="77777777">
            <w:pPr>
              <w:spacing w:line="276" w:lineRule="auto"/>
              <w:rPr>
                <w:u w:val="single"/>
              </w:rPr>
            </w:pPr>
            <w:r w:rsidRPr="009A36E6">
              <w:rPr>
                <w:u w:val="single"/>
              </w:rPr>
              <w:t>Eindhoven Internationale Knoop XL en HOV4</w:t>
            </w:r>
          </w:p>
          <w:p w:rsidRPr="00ED6214" w:rsidR="009A36E6" w:rsidP="00EF0DC4" w14:paraId="46F7C96B" w14:textId="77777777">
            <w:pPr>
              <w:pStyle w:val="ListParagraph"/>
              <w:numPr>
                <w:ilvl w:val="0"/>
                <w:numId w:val="24"/>
              </w:numPr>
              <w:spacing w:line="276" w:lineRule="auto"/>
            </w:pPr>
            <w:r w:rsidRPr="00ED6214">
              <w:t>In het nationaal grootschalige woningbouwgebied Eindhoven Internationale Knoop XL (gemeenten Eindhoven en Veldhoven) worden tot en met 2030 11.500 woningen gebouwd, zoals afgesproken in het BO MIRT 2022.</w:t>
            </w:r>
          </w:p>
          <w:p w:rsidRPr="00ED6214" w:rsidR="009A36E6" w:rsidP="00EF0DC4" w14:paraId="2AF6F4E6" w14:textId="77777777">
            <w:pPr>
              <w:pStyle w:val="ListParagraph"/>
              <w:numPr>
                <w:ilvl w:val="0"/>
                <w:numId w:val="24"/>
              </w:numPr>
              <w:spacing w:line="276" w:lineRule="auto"/>
            </w:pPr>
            <w:r w:rsidRPr="00ED6214">
              <w:t xml:space="preserve">Aanvullend wordt er in de Eindhoven Internationale Knoop XL tot en met 2034 gestart met de bouw van circa 4.000 extra nieuwe woningen. </w:t>
            </w:r>
            <w:r w:rsidRPr="00710C7A">
              <w:t>Circa 3000 woningen worden gebouwd in de gemeente Eindhoven en circa 1000 woningen worden gebouwd in de gemeente Veldhoven.</w:t>
            </w:r>
            <w:r w:rsidRPr="00ED6214">
              <w:t xml:space="preserve"> Voor de ontsluiting en bereikbaarheid van deze woningen reserveert het Rijk een bijdrage van circa € 32,5 miljoen voor de gemeente Eindhoven en circa € 28 miljoen voor de gemeente Veldhoven. De middelen zijn bedoeld voor maatregelen ten behoeve van de HOV4, verkeerscirculatieplan binnenstad Eindhoven, interwijkverbindingen, wegaanpassingen, en infra rond stationsgebied Zuid onder voorwaarde dat de regio minimaal eenzelfde bijdrage reserveert.</w:t>
            </w:r>
          </w:p>
          <w:p w:rsidR="009A36E6" w:rsidP="00EF0DC4" w14:paraId="689FB41C" w14:textId="77777777">
            <w:pPr>
              <w:pStyle w:val="ListParagraph"/>
              <w:numPr>
                <w:ilvl w:val="0"/>
                <w:numId w:val="24"/>
              </w:numPr>
              <w:spacing w:line="276" w:lineRule="auto"/>
            </w:pPr>
            <w:r w:rsidRPr="00ED6214">
              <w:t>Het Rijk reserveert voor dit gebied een bijdrage van circa € 6,3 miljoen voor Eindhoven vanuit het gebiedsbudget voor maatregelen ten behoeve van (her)inrichting openbare ruimte en verwervingen/(bedrijfs)verplaatsingen onder voorwaarde dat de regio minimaal eenzelfde bijdrage reserveert.</w:t>
            </w:r>
          </w:p>
          <w:p w:rsidRPr="009A36E6" w:rsidR="009A36E6" w:rsidP="00EF0DC4" w14:paraId="0431EA73" w14:textId="0F37BECF">
            <w:pPr>
              <w:pStyle w:val="ListParagraph"/>
              <w:numPr>
                <w:ilvl w:val="0"/>
                <w:numId w:val="24"/>
              </w:numPr>
              <w:spacing w:line="276" w:lineRule="auto"/>
            </w:pPr>
            <w:r w:rsidRPr="009A36E6">
              <w:t>Het Rijk reserveert voor dit gebied een bijdrage van circa € 9,6 miljoen voor Veldhoven vanuit het gebiedsbudget voor maatregelen ten behoeve van (her)inrichting openbare ruimte en verwervingen/(bedrijfs)verplaatsingen onder voorwaarde dat de regio minimaal eenzelfde bijdrage reserveert.</w:t>
            </w:r>
          </w:p>
          <w:p w:rsidR="00CA79CE" w:rsidP="009A36E6" w14:paraId="1D828F5C" w14:textId="77777777">
            <w:pPr>
              <w:spacing w:line="240" w:lineRule="exact"/>
            </w:pPr>
          </w:p>
          <w:p w:rsidRPr="009A36E6" w:rsidR="009A36E6" w:rsidP="009A36E6" w14:paraId="6EBFF670" w14:textId="77777777">
            <w:pPr>
              <w:spacing w:line="276" w:lineRule="auto"/>
              <w:rPr>
                <w:u w:val="single"/>
              </w:rPr>
            </w:pPr>
            <w:r w:rsidRPr="009A36E6">
              <w:rPr>
                <w:u w:val="single"/>
              </w:rPr>
              <w:t>Brabantse Stedenrij – Breda CrossMark ’t Zoet</w:t>
            </w:r>
          </w:p>
          <w:p w:rsidR="009A36E6" w:rsidP="00EF0DC4" w14:paraId="0FF57C45" w14:textId="77777777">
            <w:pPr>
              <w:pStyle w:val="ListParagraph"/>
              <w:numPr>
                <w:ilvl w:val="0"/>
                <w:numId w:val="24"/>
              </w:numPr>
              <w:spacing w:line="276" w:lineRule="auto"/>
            </w:pPr>
            <w:r w:rsidRPr="003D72E1">
              <w:t xml:space="preserve">In het nationaal grootschalige woningbouwgebied Breda CrossMark ‘t Zoet, onderdeel van de Brabantse Stedenrij, worden tot en met 2030 2.900 woningen gebouwd, zoals afgesproken in het BO MIRT 2022. </w:t>
            </w:r>
          </w:p>
          <w:p w:rsidRPr="009A36E6" w:rsidR="009A36E6" w:rsidP="00EF0DC4" w14:paraId="23990D3A" w14:textId="7F62E4EE">
            <w:pPr>
              <w:pStyle w:val="ListParagraph"/>
              <w:numPr>
                <w:ilvl w:val="0"/>
                <w:numId w:val="24"/>
              </w:numPr>
              <w:spacing w:line="276" w:lineRule="auto"/>
            </w:pPr>
            <w:r w:rsidRPr="009A36E6">
              <w:t>Het Rijk reserveert voor dit gebied een aanvullende bijdrage van circa € 24,5 miljoen vanuit het gebiedsbudget voor maatregelen ten behoeve van toekomstbestendigheid, (her)inrichting openbare ruimte en verwervingen/(bedrijfs)verplaatsingen onder voorwaarde dat de regio minimaal eenzelfde bijdrage reserveert.</w:t>
            </w:r>
          </w:p>
          <w:p w:rsidR="009A36E6" w:rsidP="009A36E6" w14:paraId="6D26A21E" w14:textId="77777777">
            <w:pPr>
              <w:spacing w:line="276" w:lineRule="auto"/>
              <w:rPr>
                <w:b/>
                <w:bCs/>
              </w:rPr>
            </w:pPr>
          </w:p>
          <w:p w:rsidRPr="009A36E6" w:rsidR="009A36E6" w:rsidP="009A36E6" w14:paraId="5A2C5D10" w14:textId="1BE64D0D">
            <w:pPr>
              <w:spacing w:line="276" w:lineRule="auto"/>
              <w:rPr>
                <w:u w:val="single"/>
              </w:rPr>
            </w:pPr>
            <w:r w:rsidRPr="009A36E6">
              <w:rPr>
                <w:u w:val="single"/>
              </w:rPr>
              <w:t>Brabantse Stedenrij – Spoorzone Den Bosch</w:t>
            </w:r>
          </w:p>
          <w:p w:rsidR="00485561" w:rsidP="00EF0DC4" w14:paraId="58E91B01" w14:textId="77777777">
            <w:pPr>
              <w:pStyle w:val="ListParagraph"/>
              <w:numPr>
                <w:ilvl w:val="0"/>
                <w:numId w:val="24"/>
              </w:numPr>
              <w:spacing w:line="276" w:lineRule="auto"/>
            </w:pPr>
            <w:r>
              <w:t xml:space="preserve">In het nationaal grootschalige woningbouwgebied Spoorzone Den Bosch, onderdeel van de Brabantse Stedenrij, worden tot en met 2030 4.800 woningen gebouwd, zoals afgesproken in het BO MIRT 2022. </w:t>
            </w:r>
          </w:p>
          <w:p w:rsidR="00485561" w:rsidP="00EF0DC4" w14:paraId="01BDE0E4" w14:textId="77777777">
            <w:pPr>
              <w:pStyle w:val="ListParagraph"/>
              <w:numPr>
                <w:ilvl w:val="0"/>
                <w:numId w:val="24"/>
              </w:numPr>
              <w:spacing w:line="276" w:lineRule="auto"/>
            </w:pPr>
            <w:r>
              <w:t xml:space="preserve">Aanvullend wordt er in de nabijheid van het station tot en met 2034 gestart met de bouw van circa 1.000 extra nieuwe woningen. Voor de ontsluiting en bereikbaarheid van deze woningen reserveert IenW aanvullend een bijdrage van circa € 61,4 miljoen vanuit de inframiddelen voor Woningbouw en Mobiliteit voor Bosch Centraal.  </w:t>
            </w:r>
          </w:p>
          <w:p w:rsidR="00485561" w:rsidP="00EF0DC4" w14:paraId="1760D7A5" w14:textId="77777777">
            <w:pPr>
              <w:pStyle w:val="ListParagraph"/>
              <w:numPr>
                <w:ilvl w:val="0"/>
                <w:numId w:val="24"/>
              </w:numPr>
              <w:spacing w:line="276" w:lineRule="auto"/>
            </w:pPr>
            <w:r>
              <w:t>Om tot een sluitende financiering voor het project Bosch Centraal te komen, spreken partijen af:</w:t>
            </w:r>
          </w:p>
          <w:p w:rsidR="00485561" w:rsidP="00EF0DC4" w14:paraId="205D83AC" w14:textId="77777777">
            <w:pPr>
              <w:pStyle w:val="ListParagraph"/>
              <w:numPr>
                <w:ilvl w:val="1"/>
                <w:numId w:val="40"/>
              </w:numPr>
              <w:spacing w:line="276" w:lineRule="auto"/>
            </w:pPr>
            <w:r>
              <w:t>De scope van het beoogde voorkeursalternatief wordt via optimalisaties zodanig aangepast dat de financieringsopgave op ramingsniveau € 393 miljoen omvat. Het betreft dan de bestaande scope, uitgebreid met de aanleg van een nieuw busstation (inclusief ontsluiting) en verbreding van perron 6/7.</w:t>
            </w:r>
          </w:p>
          <w:p w:rsidR="00485561" w:rsidP="00EF0DC4" w14:paraId="3E91233E" w14:textId="77777777">
            <w:pPr>
              <w:pStyle w:val="ListParagraph"/>
              <w:numPr>
                <w:ilvl w:val="1"/>
                <w:numId w:val="40"/>
              </w:numPr>
              <w:spacing w:line="276" w:lineRule="auto"/>
            </w:pPr>
            <w:r>
              <w:t xml:space="preserve">IenW reserveert € 44,5 miljoen uit het Mobiliteitsfonds. </w:t>
            </w:r>
          </w:p>
          <w:p w:rsidR="00485561" w:rsidP="00EF0DC4" w14:paraId="4A0C53EB" w14:textId="77777777">
            <w:pPr>
              <w:pStyle w:val="ListParagraph"/>
              <w:numPr>
                <w:ilvl w:val="1"/>
                <w:numId w:val="40"/>
              </w:numPr>
              <w:spacing w:line="276" w:lineRule="auto"/>
            </w:pPr>
            <w:r>
              <w:t>Voor dekking van het voorkeursalternatief is voorzien in een bijdrage van € 20 miljoen van NS en ProRail, waarover deze partijen hebben aangegeven dat zij op basis van een positieve businesscase en toch al noodzakelijke vervangingen mogelijkheden zien.</w:t>
            </w:r>
          </w:p>
          <w:p w:rsidR="00485561" w:rsidP="00EF0DC4" w14:paraId="55FC35A9" w14:textId="77777777">
            <w:pPr>
              <w:pStyle w:val="ListParagraph"/>
              <w:numPr>
                <w:ilvl w:val="1"/>
                <w:numId w:val="40"/>
              </w:numPr>
              <w:spacing w:line="276" w:lineRule="auto"/>
            </w:pPr>
            <w:r>
              <w:t xml:space="preserve">De regio reserveert aanvullend en verhoogd € 40,5 miljoen voor Bosch Centraal. </w:t>
            </w:r>
          </w:p>
          <w:p w:rsidR="00485561" w:rsidP="00EF0DC4" w14:paraId="70503C73" w14:textId="77777777">
            <w:pPr>
              <w:pStyle w:val="ListParagraph"/>
              <w:numPr>
                <w:ilvl w:val="1"/>
                <w:numId w:val="40"/>
              </w:numPr>
              <w:spacing w:line="276" w:lineRule="auto"/>
            </w:pPr>
            <w:r>
              <w:t>Met deze bijdragen is er een sluitende financiering ontstaan voor in totaal € 393 miljoen.</w:t>
            </w:r>
          </w:p>
          <w:p w:rsidR="00485561" w:rsidP="00EF0DC4" w14:paraId="0107AA20" w14:textId="77777777">
            <w:pPr>
              <w:pStyle w:val="ListParagraph"/>
              <w:numPr>
                <w:ilvl w:val="1"/>
                <w:numId w:val="40"/>
              </w:numPr>
              <w:spacing w:line="276" w:lineRule="auto"/>
            </w:pPr>
            <w:r w:rsidRPr="00485561">
              <w:t>Rijk en regio ronden de Verkenning af en werken dit uit in een voorkeursbeslissing voor Bosch Centraal, waarna de planuitwerking kan starten.</w:t>
            </w:r>
          </w:p>
          <w:p w:rsidR="00485561" w:rsidP="00EF0DC4" w14:paraId="1B1E8287" w14:textId="4642857B">
            <w:pPr>
              <w:pStyle w:val="ListParagraph"/>
              <w:numPr>
                <w:ilvl w:val="0"/>
                <w:numId w:val="24"/>
              </w:numPr>
              <w:spacing w:line="276" w:lineRule="auto"/>
            </w:pPr>
            <w:r>
              <w:t>Het Rijk reserveert een bijdrage van circa € 25,3 miljoen vanuit het gebiedsbudget voor maatregelen in de Spoorzone Den Bosch ten behoeve van toekomstbestendigheid en (her)inrichting openbare ruimte in Spoorzone Den Bosch, onder voorwaarde dat de regio minimaal eenzelfde bijdrage reserveert.</w:t>
            </w:r>
          </w:p>
          <w:p w:rsidR="009A36E6" w:rsidP="009A36E6" w14:paraId="6D9B7E2F" w14:textId="77777777">
            <w:pPr>
              <w:spacing w:line="240" w:lineRule="exact"/>
            </w:pPr>
          </w:p>
          <w:p w:rsidRPr="00863C28" w:rsidR="00863C28" w:rsidP="00863C28" w14:paraId="0886BC9B" w14:textId="77777777">
            <w:pPr>
              <w:spacing w:line="276" w:lineRule="auto"/>
              <w:rPr>
                <w:u w:val="single"/>
              </w:rPr>
            </w:pPr>
            <w:r w:rsidRPr="00863C28">
              <w:rPr>
                <w:u w:val="single"/>
              </w:rPr>
              <w:t>Brabantse Stedenrij – Tilburg Kenniskwartier</w:t>
            </w:r>
          </w:p>
          <w:p w:rsidRPr="00720710" w:rsidR="00863C28" w:rsidP="00EF0DC4" w14:paraId="33FE3943" w14:textId="77777777">
            <w:pPr>
              <w:pStyle w:val="ListParagraph"/>
              <w:numPr>
                <w:ilvl w:val="0"/>
                <w:numId w:val="24"/>
              </w:numPr>
              <w:spacing w:line="276" w:lineRule="auto"/>
            </w:pPr>
            <w:r w:rsidRPr="001E0395">
              <w:t xml:space="preserve">In het nationaal grootschalige woningbouwgebied Tilburg Kenniskwartier, onderdeel van de Brabantse Stedenrij, worden tot en met 2030 5.000 woningen gebouwd, zoals afgesproken in het BO MIRT 2022. </w:t>
            </w:r>
          </w:p>
          <w:p w:rsidRPr="00720710" w:rsidR="00863C28" w:rsidP="00EF0DC4" w14:paraId="3AE78699" w14:textId="77777777">
            <w:pPr>
              <w:pStyle w:val="ListParagraph"/>
              <w:numPr>
                <w:ilvl w:val="0"/>
                <w:numId w:val="24"/>
              </w:numPr>
              <w:spacing w:line="276" w:lineRule="auto"/>
            </w:pPr>
            <w:r w:rsidRPr="00720710">
              <w:t>Aanvullend wordt er in Tilburg Kenniskwartier tot en met 2034 gestart met de bouw van c</w:t>
            </w:r>
            <w:r>
              <w:t>irc</w:t>
            </w:r>
            <w:r w:rsidRPr="00720710">
              <w:t>a 800 extra nieuwe woningen. Voor de ontsluiting en bereikbaarheid van deze woningen reserveert het Rijk een bijdrage van c</w:t>
            </w:r>
            <w:r>
              <w:t>irc</w:t>
            </w:r>
            <w:r w:rsidRPr="00720710">
              <w:t xml:space="preserve">a € 31,3 miljoen voor twee HOV-banen en daaraan gekoppelde flankerende maatregelen en de herinrichting van twee straten in het gebied onder voorwaarde dat de regio minimaal eenzelfde bijdrage reserveert. </w:t>
            </w:r>
          </w:p>
          <w:p w:rsidR="00863C28" w:rsidP="00EF0DC4" w14:paraId="5F236B74" w14:textId="77777777">
            <w:pPr>
              <w:pStyle w:val="ListParagraph"/>
              <w:numPr>
                <w:ilvl w:val="0"/>
                <w:numId w:val="24"/>
              </w:numPr>
              <w:spacing w:line="276" w:lineRule="auto"/>
            </w:pPr>
            <w:r w:rsidRPr="001E0395">
              <w:t>Het Rijk reserveert een bijdrage van c</w:t>
            </w:r>
            <w:r>
              <w:t>irc</w:t>
            </w:r>
            <w:r w:rsidRPr="001E0395">
              <w:t xml:space="preserve">a € 67,4 miljoen vanuit het gebiedsbudget voor maatregelen ten behoeve van toekomstbestendigheid, (her)inrichting openbare ruimte en </w:t>
            </w:r>
            <w:bookmarkStart w:name="_Hlk211951926" w:id="46"/>
            <w:r w:rsidRPr="001E0395">
              <w:t>verwervingen/(bedrijfs)verplaatsingen onder voorwaarde dat de regio minimaal eenzelfde bijdrage reserveert.</w:t>
            </w:r>
            <w:bookmarkEnd w:id="46"/>
          </w:p>
          <w:p w:rsidR="00863C28" w:rsidP="00EF0DC4" w14:paraId="63FA6C90" w14:textId="77777777">
            <w:pPr>
              <w:pStyle w:val="ListParagraph"/>
              <w:numPr>
                <w:ilvl w:val="0"/>
                <w:numId w:val="24"/>
              </w:numPr>
              <w:spacing w:line="276" w:lineRule="auto"/>
            </w:pPr>
            <w:r w:rsidRPr="002E6880">
              <w:t>Rijk en regio zijn overeengekomen de geografische scope van de nationaal grootschalige woningbouwlocaties Kenniskwartier te optimaliseren. Het Kenniskwartier bestaat daarom uit het gebied dat geografisch begrensd wordt binnen de wijken Het Zand, De Reit, Noordhoek en Spoorzone-Zuid, zodat het beter aansluit bij de opgaven en er een fysieke koppeling wordt gerealiseerd met de Tilburgse binnenstad en Spoorzone.</w:t>
            </w:r>
          </w:p>
          <w:p w:rsidRPr="00863C28" w:rsidR="00863C28" w:rsidP="00EF0DC4" w14:paraId="7B8E4359" w14:textId="50FF0F4A">
            <w:pPr>
              <w:pStyle w:val="ListParagraph"/>
              <w:numPr>
                <w:ilvl w:val="0"/>
                <w:numId w:val="24"/>
              </w:numPr>
              <w:spacing w:line="276" w:lineRule="auto"/>
            </w:pPr>
            <w:r w:rsidRPr="00863C28">
              <w:t>Begin 2026 start de gemeente Tilburg het verdiepend onderzoek (Integraal Handelingsperspectief Stap 3) naar de toekomstige ontwikkeling van station Tilburg Universiteit. In nauwe samenwerking tussen het Rijk (IenW en VRO), de provincie Noord-Brabant, ProRail en NS wordt uitgewerkt welke aanpassingen aan het station passend zijn bij een toekomstige groei van de vervoersvraag. Deze groei wordt gebaseerd op de toename aan woningbouw en andere ruimtelijk-economische ontwikkelingen in de regio en het Kenniskwartier zelf. Dit vervolgonderzoek levert beslisinformatie op om bij het BO Leefomgeving in het voorjaar of het BO MIRT in het najaar van 2026 te bepalen welke stappen passend zijn voor de toekomstige ontwikkeling van het station.</w:t>
            </w:r>
          </w:p>
          <w:p w:rsidR="00863C28" w:rsidP="00863C28" w14:paraId="62F6523E" w14:textId="77777777">
            <w:pPr>
              <w:spacing w:line="240" w:lineRule="exact"/>
            </w:pPr>
          </w:p>
          <w:p w:rsidRPr="00863C28" w:rsidR="00863C28" w:rsidP="00863C28" w14:paraId="1EBDFEA0" w14:textId="77777777">
            <w:pPr>
              <w:rPr>
                <w:u w:val="single"/>
              </w:rPr>
            </w:pPr>
            <w:r w:rsidRPr="00863C28">
              <w:rPr>
                <w:u w:val="single"/>
              </w:rPr>
              <w:t>Helmond Centrum+</w:t>
            </w:r>
          </w:p>
          <w:p w:rsidRPr="001E0395" w:rsidR="00863C28" w:rsidP="00EF0DC4" w14:paraId="79DDFB64" w14:textId="77777777">
            <w:pPr>
              <w:pStyle w:val="ListParagraph"/>
              <w:numPr>
                <w:ilvl w:val="0"/>
                <w:numId w:val="24"/>
              </w:numPr>
              <w:spacing w:line="276" w:lineRule="auto"/>
            </w:pPr>
            <w:r w:rsidRPr="001E0395">
              <w:t>Helmond Centrum+ is één van de vier nieuwe nationaal grootschalige woningbouwgebieden die in de ontwerp Nota Ruimte zijn aangewezen en bestaat uit de deelgebieden Centrum, Stationskwartier (incl. Suytkade)</w:t>
            </w:r>
            <w:r>
              <w:t xml:space="preserve"> </w:t>
            </w:r>
            <w:r w:rsidRPr="001E0395">
              <w:t>en Houtsdonk.</w:t>
            </w:r>
          </w:p>
          <w:p w:rsidRPr="001E0395" w:rsidR="00863C28" w:rsidP="00EF0DC4" w14:paraId="54021F2B" w14:textId="77777777">
            <w:pPr>
              <w:pStyle w:val="ListParagraph"/>
              <w:numPr>
                <w:ilvl w:val="0"/>
                <w:numId w:val="24"/>
              </w:numPr>
              <w:spacing w:line="276" w:lineRule="auto"/>
            </w:pPr>
            <w:r w:rsidRPr="001E0395">
              <w:t>Tot en met 2034 kunnen hier c</w:t>
            </w:r>
            <w:r>
              <w:t>irc</w:t>
            </w:r>
            <w:r w:rsidRPr="001E0395">
              <w:t>a 4.900 woningen worden gebouwd.</w:t>
            </w:r>
          </w:p>
          <w:p w:rsidRPr="001E0395" w:rsidR="00863C28" w:rsidP="00EF0DC4" w14:paraId="70728790" w14:textId="77777777">
            <w:pPr>
              <w:pStyle w:val="ListParagraph"/>
              <w:numPr>
                <w:ilvl w:val="0"/>
                <w:numId w:val="24"/>
              </w:numPr>
              <w:spacing w:line="276" w:lineRule="auto"/>
            </w:pPr>
            <w:r w:rsidRPr="001E0395">
              <w:t>Voor de ontsluiting en bereikbaarheid van deze woningen is een voorstel ingediend voor een rijksbijdrage van c</w:t>
            </w:r>
            <w:r>
              <w:t>irc</w:t>
            </w:r>
            <w:r w:rsidRPr="001E0395">
              <w:t xml:space="preserve">a € 98 miljoen voor een mobiliteitspakket met onder andere kruispuntmaatregelen, aanpassingen aan het onderliggen wegennet en fietsmaatregelen. De mobiliteitsmaatregelen uit dit voorstel zijn grotendeels positief beoordeeld. </w:t>
            </w:r>
          </w:p>
          <w:p w:rsidRPr="001E0395" w:rsidR="00863C28" w:rsidP="00EF0DC4" w14:paraId="74C7A26F" w14:textId="77777777">
            <w:pPr>
              <w:pStyle w:val="ListParagraph"/>
              <w:numPr>
                <w:ilvl w:val="0"/>
                <w:numId w:val="24"/>
              </w:numPr>
              <w:spacing w:line="276" w:lineRule="auto"/>
            </w:pPr>
            <w:r w:rsidRPr="001E0395">
              <w:t>Het Rijk heeft besloten om de inzet van de schaarse infra-middelen te beperken tot de bestaande 17 nationaal grootschalige woningbouwgebieden om prioriteit te kunnen geven aan het ‘afmaken’ van de al gemaakte bestuurlijke afspraken.</w:t>
            </w:r>
          </w:p>
          <w:p w:rsidRPr="001E0395" w:rsidR="00863C28" w:rsidP="00EF0DC4" w14:paraId="29AF77BC" w14:textId="77777777">
            <w:pPr>
              <w:pStyle w:val="ListParagraph"/>
              <w:numPr>
                <w:ilvl w:val="0"/>
                <w:numId w:val="24"/>
              </w:numPr>
              <w:spacing w:line="276" w:lineRule="auto"/>
            </w:pPr>
            <w:r w:rsidRPr="001E0395">
              <w:t>Het Rijk reserveert nu een bijdrage van c</w:t>
            </w:r>
            <w:r>
              <w:t>irc</w:t>
            </w:r>
            <w:r w:rsidRPr="001E0395">
              <w:t>a € 33,7 miljoen vanuit het gebiedsbudget voor maatregelen ten behoeve van toekomstbestendigheid, (her)inrichting openbare ruimte en verwervingen/(bedrijfs)verplaatsingen</w:t>
            </w:r>
            <w:r w:rsidRPr="00720710">
              <w:t xml:space="preserve"> onder voorwaarde dat de regio minimaal eenzelfde bijdrage reserveert</w:t>
            </w:r>
            <w:r w:rsidRPr="001E0395">
              <w:t xml:space="preserve">.   </w:t>
            </w:r>
          </w:p>
          <w:p w:rsidR="00863C28" w:rsidP="00EF0DC4" w14:paraId="64E087FF" w14:textId="77777777">
            <w:pPr>
              <w:pStyle w:val="ListParagraph"/>
              <w:numPr>
                <w:ilvl w:val="0"/>
                <w:numId w:val="24"/>
              </w:numPr>
              <w:spacing w:line="276" w:lineRule="auto"/>
            </w:pPr>
            <w:r w:rsidRPr="001E0395">
              <w:t>Dit is de eerste stap die het Rijk voor deze gebieden kan nemen ten behoeve van de woningbouw. De inframaatregelen binnen de ingediende aanvraag bieden voor een volgend kabinet een logisch pakket om een vervolgstap op te nemen.</w:t>
            </w:r>
          </w:p>
          <w:p w:rsidRPr="00863C28" w:rsidR="00863C28" w:rsidP="00EF0DC4" w14:paraId="36F575AB" w14:textId="5FCD5FC9">
            <w:pPr>
              <w:pStyle w:val="ListParagraph"/>
              <w:numPr>
                <w:ilvl w:val="0"/>
                <w:numId w:val="24"/>
              </w:numPr>
              <w:spacing w:line="276" w:lineRule="auto"/>
            </w:pPr>
            <w:r w:rsidRPr="00863C28">
              <w:t xml:space="preserve">Bereikbaarheid is randvoorwaardelijk voor grootschalige woningbouw. De regio geeft aan dat de ingediende infra-maatregelen onderdeel uitmaken van een integraal pakket dat onlosmakelijk is verbonden met de woningbouwopgave. Rijk en regio onderschrijven het </w:t>
            </w:r>
            <w:r w:rsidRPr="00863C28">
              <w:t>belang om vertraging te voorkomen en het volledig opgevoerde aantal woningen te kunnen bouwen. Het Rijk gaat daarom met de vier nieuwe nationale grootschalige woningbouwgebieden in gesprek over wat binnen de bestaande afspraken en in de toekomst mogelijk is.</w:t>
            </w:r>
          </w:p>
        </w:tc>
      </w:tr>
      <w:tr w:rsidTr="00863C28" w14:paraId="4106FA51" w14:textId="77777777">
        <w:tblPrEx>
          <w:tblW w:w="0" w:type="auto"/>
          <w:tblInd w:w="0" w:type="dxa"/>
          <w:tblLook w:val="04A0"/>
        </w:tblPrEx>
        <w:tc>
          <w:tcPr>
            <w:tcW w:w="341" w:type="dxa"/>
          </w:tcPr>
          <w:p w:rsidR="00E14666" w:rsidP="00CA79CE" w14:paraId="7B5E6B42" w14:textId="43BDD9C1">
            <w:pPr>
              <w:spacing w:line="240" w:lineRule="exact"/>
              <w:rPr>
                <w:b/>
                <w:bCs/>
              </w:rPr>
            </w:pPr>
            <w:r>
              <w:rPr>
                <w:b/>
                <w:bCs/>
              </w:rPr>
              <w:t>9</w:t>
            </w:r>
          </w:p>
        </w:tc>
        <w:tc>
          <w:tcPr>
            <w:tcW w:w="8676" w:type="dxa"/>
          </w:tcPr>
          <w:p w:rsidR="00E14666" w:rsidP="00CA79CE" w14:paraId="209799D5" w14:textId="77777777">
            <w:pPr>
              <w:spacing w:line="240" w:lineRule="exact"/>
              <w:rPr>
                <w:b/>
                <w:bCs/>
              </w:rPr>
            </w:pPr>
            <w:r>
              <w:rPr>
                <w:b/>
                <w:bCs/>
              </w:rPr>
              <w:t>Ruimte voor de Rivier 2.0</w:t>
            </w:r>
          </w:p>
          <w:p w:rsidRPr="001B6337" w:rsidR="00E14666" w:rsidP="00E14666" w14:paraId="10D6D25B" w14:textId="77777777">
            <w:pPr>
              <w:pStyle w:val="ListParagraph"/>
              <w:numPr>
                <w:ilvl w:val="0"/>
                <w:numId w:val="2"/>
              </w:numPr>
              <w:spacing w:line="276" w:lineRule="auto"/>
            </w:pPr>
            <w:r w:rsidRPr="001B6337">
              <w:t xml:space="preserve">Het rijk bereidt in samenwerking met de regio besluitvorming voor over beleidskeuzes Rivierbodem, en Ruimte en Afvoer. </w:t>
            </w:r>
          </w:p>
          <w:p w:rsidRPr="00E14666" w:rsidR="00E14666" w:rsidP="00E14666" w14:paraId="7045CE44" w14:textId="6F9BC6C4">
            <w:pPr>
              <w:pStyle w:val="ListParagraph"/>
              <w:numPr>
                <w:ilvl w:val="0"/>
                <w:numId w:val="2"/>
              </w:numPr>
              <w:spacing w:line="276" w:lineRule="auto"/>
            </w:pPr>
            <w:r w:rsidRPr="001B6337">
              <w:t>Op basis hiervan zal het rijk in de tweede helft van 2026 een besluit nemen over de beleidskeuzes. Dit besluit gaat onder andere over de huidige binnendijkse ruimtereserveringen (Bkl-reserveringen) en mogelijk nieuwe ruimtereserveringen.</w:t>
            </w:r>
          </w:p>
        </w:tc>
      </w:tr>
    </w:tbl>
    <w:p w:rsidRPr="00FC0D88" w:rsidR="00B06701" w14:paraId="5E9DCE63" w14:textId="77777777">
      <w:pPr>
        <w:rPr>
          <w:lang w:val="nl-NL"/>
        </w:rPr>
      </w:pPr>
    </w:p>
    <w:sectPr w:rsidSect="001E6A24">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Bold">
    <w:altName w:val="Tah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482" w14:paraId="06D243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6739640"/>
      <w:docPartObj>
        <w:docPartGallery w:val="Page Numbers (Bottom of Page)"/>
        <w:docPartUnique/>
      </w:docPartObj>
    </w:sdtPr>
    <w:sdtContent>
      <w:p w:rsidR="00CA52E2" w:rsidRPr="00D50F44" w14:paraId="7C1431EC" w14:textId="3A83C8C7">
        <w:pPr>
          <w:pStyle w:val="Footer"/>
          <w:jc w:val="right"/>
          <w:rPr>
            <w:lang w:val="nl-NL"/>
          </w:rPr>
        </w:pPr>
        <w:r>
          <w:fldChar w:fldCharType="begin"/>
        </w:r>
        <w:r w:rsidRPr="00D50F44">
          <w:rPr>
            <w:lang w:val="nl-NL"/>
          </w:rPr>
          <w:instrText>PAGE   \* MERGEFORMAT</w:instrText>
        </w:r>
        <w:r>
          <w:fldChar w:fldCharType="separate"/>
        </w:r>
        <w:r>
          <w:rPr>
            <w:lang w:val="nl-NL"/>
          </w:rPr>
          <w:t>2</w:t>
        </w:r>
        <w:r>
          <w:fldChar w:fldCharType="end"/>
        </w:r>
      </w:p>
    </w:sdtContent>
  </w:sdt>
  <w:p w:rsidR="00CA52E2" w:rsidRPr="0051704A" w14:paraId="53BAA903" w14:textId="552D03E1">
    <w:pPr>
      <w:pStyle w:val="Footer"/>
      <w:rPr>
        <w:sz w:val="22"/>
        <w:lang w:val="nl-NL"/>
      </w:rPr>
    </w:pPr>
    <w:r w:rsidRPr="0051704A">
      <w:rPr>
        <w:sz w:val="22"/>
        <w:lang w:val="nl-NL"/>
      </w:rPr>
      <w:t xml:space="preserve">Afsprakenlijst Bestuurlijke Overleggen </w:t>
    </w:r>
    <w:r w:rsidR="00D50F44">
      <w:rPr>
        <w:sz w:val="22"/>
        <w:lang w:val="nl-NL"/>
      </w:rPr>
      <w:t>MIRT</w:t>
    </w:r>
    <w:r w:rsidR="00B60482">
      <w:rPr>
        <w:sz w:val="22"/>
        <w:lang w:val="nl-NL"/>
      </w:rPr>
      <w:t xml:space="preserve"> januari</w:t>
    </w:r>
    <w:r w:rsidR="00D50F44">
      <w:rPr>
        <w:sz w:val="22"/>
        <w:lang w:val="nl-NL"/>
      </w:rPr>
      <w:t xml:space="preserve"> 2026</w:t>
    </w:r>
    <w:r w:rsidR="00D746F7">
      <w:rPr>
        <w:sz w:val="22"/>
        <w:lang w:val="nl-NL"/>
      </w:rPr>
      <w:t xml:space="preserve"> voor VRO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482" w14:paraId="5FE4B3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2BC7" w:rsidP="00CA52E2" w14:paraId="21BA153D" w14:textId="77777777">
      <w:pPr>
        <w:spacing w:after="0" w:line="240" w:lineRule="auto"/>
      </w:pPr>
      <w:r>
        <w:separator/>
      </w:r>
    </w:p>
  </w:footnote>
  <w:footnote w:type="continuationSeparator" w:id="1">
    <w:p w:rsidR="00412BC7" w:rsidP="00CA52E2" w14:paraId="38910BC4" w14:textId="77777777">
      <w:pPr>
        <w:spacing w:after="0" w:line="240" w:lineRule="auto"/>
      </w:pPr>
      <w:r>
        <w:continuationSeparator/>
      </w:r>
    </w:p>
  </w:footnote>
  <w:footnote w:type="continuationNotice" w:id="2">
    <w:p w:rsidR="00412BC7" w14:paraId="706BE038" w14:textId="77777777">
      <w:pPr>
        <w:spacing w:after="0" w:line="240" w:lineRule="auto"/>
      </w:pPr>
    </w:p>
  </w:footnote>
  <w:footnote w:id="3">
    <w:p w:rsidR="00E615B6" w:rsidP="00E615B6" w14:paraId="457CE014" w14:textId="77777777">
      <w:pPr>
        <w:pStyle w:val="FootnoteText"/>
      </w:pPr>
      <w:r>
        <w:rPr>
          <w:rStyle w:val="FootnoteReference"/>
        </w:rPr>
        <w:footnoteRef/>
      </w:r>
      <w:r>
        <w:t xml:space="preserve"> </w:t>
      </w:r>
      <w:r w:rsidRPr="00480319">
        <w:rPr>
          <w:sz w:val="16"/>
          <w:szCs w:val="16"/>
        </w:rPr>
        <w:t xml:space="preserve">Het startdocument is te vinden op </w:t>
      </w:r>
      <w:hyperlink r:id="rId1" w:history="1">
        <w:r w:rsidRPr="00480319">
          <w:rPr>
            <w:rStyle w:val="Hyperlink"/>
            <w:sz w:val="16"/>
            <w:szCs w:val="16"/>
          </w:rPr>
          <w:t>https://www.novexrotterdamsehaven.nl/downloads/startdocument</w:t>
        </w:r>
      </w:hyperlink>
      <w:r w:rsidRPr="00480319">
        <w:rPr>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482" w14:paraId="19132C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482" w14:paraId="4F35664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482" w14:paraId="74E6AA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90F28"/>
    <w:multiLevelType w:val="hybridMultilevel"/>
    <w:tmpl w:val="A7BC4C98"/>
    <w:lvl w:ilvl="0">
      <w:start w:val="1"/>
      <w:numFmt w:val="bullet"/>
      <w:lvlText w:val=""/>
      <w:lvlJc w:val="left"/>
      <w:pPr>
        <w:ind w:left="360" w:hanging="360"/>
      </w:pPr>
      <w:rPr>
        <w:rFonts w:ascii="Wingdings" w:hAnsi="Wingdings" w:hint="default"/>
        <w:color w:val="auto"/>
      </w:rPr>
    </w:lvl>
    <w:lvl w:ilvl="1">
      <w:start w:val="1"/>
      <w:numFmt w:val="decimal"/>
      <w:lvlText w:val="%2."/>
      <w:lvlJc w:val="left"/>
      <w:pPr>
        <w:ind w:left="1080" w:hanging="360"/>
      </w:pPr>
      <w:rPr>
        <w:color w:val="auto"/>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834359"/>
    <w:multiLevelType w:val="multilevel"/>
    <w:tmpl w:val="7C0425D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nsid w:val="04B71657"/>
    <w:multiLevelType w:val="hybridMultilevel"/>
    <w:tmpl w:val="9554484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4E1579"/>
    <w:multiLevelType w:val="hybridMultilevel"/>
    <w:tmpl w:val="14D6923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782497E"/>
    <w:multiLevelType w:val="hybridMultilevel"/>
    <w:tmpl w:val="ACDE3820"/>
    <w:lvl w:ilvl="0">
      <w:start w:val="1"/>
      <w:numFmt w:val="bullet"/>
      <w:lvlText w:val=""/>
      <w:lvlJc w:val="left"/>
      <w:pPr>
        <w:ind w:left="360" w:hanging="360"/>
      </w:pPr>
      <w:rPr>
        <w:rFonts w:ascii="Wingdings" w:hAnsi="Wingdings" w:hint="default"/>
      </w:rPr>
    </w:lvl>
    <w:lvl w:ilvl="1">
      <w:start w:val="1"/>
      <w:numFmt w:val="decimal"/>
      <w:lvlText w:val="%2."/>
      <w:lvlJc w:val="left"/>
      <w:pPr>
        <w:ind w:left="1080" w:hanging="360"/>
      </w:p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7D9383E"/>
    <w:multiLevelType w:val="hybridMultilevel"/>
    <w:tmpl w:val="DD04829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CE023B1"/>
    <w:multiLevelType w:val="hybridMultilevel"/>
    <w:tmpl w:val="FFF880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21A2A53"/>
    <w:multiLevelType w:val="hybridMultilevel"/>
    <w:tmpl w:val="F0F8F08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4E255A"/>
    <w:multiLevelType w:val="hybridMultilevel"/>
    <w:tmpl w:val="1B5AB358"/>
    <w:lvl w:ilvl="0">
      <w:start w:val="1"/>
      <w:numFmt w:val="bullet"/>
      <w:lvlText w:val=""/>
      <w:lvlJc w:val="left"/>
      <w:pPr>
        <w:ind w:left="360" w:hanging="360"/>
      </w:pPr>
      <w:rPr>
        <w:rFonts w:ascii="Wingdings" w:hAnsi="Wingdings" w:hint="default"/>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1C1D4819"/>
    <w:multiLevelType w:val="hybridMultilevel"/>
    <w:tmpl w:val="42DA1A7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0867319"/>
    <w:multiLevelType w:val="hybridMultilevel"/>
    <w:tmpl w:val="5ADE889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48B1AF0"/>
    <w:multiLevelType w:val="hybridMultilevel"/>
    <w:tmpl w:val="8AC6391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603727B"/>
    <w:multiLevelType w:val="hybridMultilevel"/>
    <w:tmpl w:val="C11E294A"/>
    <w:lvl w:ilvl="0">
      <w:start w:val="1"/>
      <w:numFmt w:val="bullet"/>
      <w:lvlText w:val=""/>
      <w:lvlJc w:val="left"/>
      <w:pPr>
        <w:ind w:left="360" w:hanging="360"/>
      </w:pPr>
      <w:rPr>
        <w:rFonts w:ascii="Wingdings" w:hAnsi="Wingdings" w:hint="default"/>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63877B1"/>
    <w:multiLevelType w:val="hybridMultilevel"/>
    <w:tmpl w:val="3BCA18EE"/>
    <w:lvl w:ilvl="0">
      <w:start w:val="1"/>
      <w:numFmt w:val="bullet"/>
      <w:lvlText w:val=""/>
      <w:lvlJc w:val="left"/>
      <w:pPr>
        <w:ind w:left="360" w:hanging="360"/>
      </w:pPr>
      <w:rPr>
        <w:rFonts w:ascii="Wingdings" w:hAnsi="Wingdings" w:hint="default"/>
      </w:rPr>
    </w:lvl>
    <w:lvl w:ilvl="1">
      <w:start w:val="1"/>
      <w:numFmt w:val="decimal"/>
      <w:lvlText w:val="%2."/>
      <w:lvlJc w:val="left"/>
      <w:pPr>
        <w:ind w:left="1440" w:hanging="360"/>
      </w:p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0475DE3"/>
    <w:multiLevelType w:val="hybridMultilevel"/>
    <w:tmpl w:val="4A4A49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660450C"/>
    <w:multiLevelType w:val="hybridMultilevel"/>
    <w:tmpl w:val="43CA07B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B340418"/>
    <w:multiLevelType w:val="hybridMultilevel"/>
    <w:tmpl w:val="905CB27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BA02E1C"/>
    <w:multiLevelType w:val="hybridMultilevel"/>
    <w:tmpl w:val="E04A1798"/>
    <w:lvl w:ilvl="0">
      <w:start w:val="1"/>
      <w:numFmt w:val="bullet"/>
      <w:lvlText w:val=""/>
      <w:lvlJc w:val="left"/>
      <w:pPr>
        <w:ind w:left="360" w:hanging="360"/>
      </w:pPr>
      <w:rPr>
        <w:rFonts w:ascii="Wingdings" w:hAnsi="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F58546A"/>
    <w:multiLevelType w:val="hybridMultilevel"/>
    <w:tmpl w:val="67FA3888"/>
    <w:lvl w:ilvl="0">
      <w:start w:val="1"/>
      <w:numFmt w:val="bullet"/>
      <w:lvlText w:val=""/>
      <w:lvlJc w:val="left"/>
      <w:pPr>
        <w:ind w:left="360" w:hanging="360"/>
      </w:pPr>
      <w:rPr>
        <w:rFonts w:ascii="Wingdings" w:hAnsi="Wingdings"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0ED799A"/>
    <w:multiLevelType w:val="hybridMultilevel"/>
    <w:tmpl w:val="F8906B74"/>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0"/>
      <w:numFmt w:val="bullet"/>
      <w:lvlText w:val="-"/>
      <w:lvlJc w:val="left"/>
      <w:pPr>
        <w:ind w:left="2160" w:hanging="360"/>
      </w:pPr>
      <w:rPr>
        <w:rFonts w:ascii="Calibri" w:hAnsi="Calibri" w:eastAsiaTheme="minorHAns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57604E"/>
    <w:multiLevelType w:val="hybridMultilevel"/>
    <w:tmpl w:val="64E0627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3223A3F"/>
    <w:multiLevelType w:val="hybridMultilevel"/>
    <w:tmpl w:val="9BEE795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7374133"/>
    <w:multiLevelType w:val="hybridMultilevel"/>
    <w:tmpl w:val="E7288E8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A9E49A5"/>
    <w:multiLevelType w:val="hybridMultilevel"/>
    <w:tmpl w:val="02CA556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0773143"/>
    <w:multiLevelType w:val="hybridMultilevel"/>
    <w:tmpl w:val="47A6385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1654F25"/>
    <w:multiLevelType w:val="multilevel"/>
    <w:tmpl w:val="75AE258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nsid w:val="51660677"/>
    <w:multiLevelType w:val="hybridMultilevel"/>
    <w:tmpl w:val="5E8800D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66C4626"/>
    <w:multiLevelType w:val="multilevel"/>
    <w:tmpl w:val="ECDEA3DC"/>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8">
    <w:nsid w:val="5E8605FB"/>
    <w:multiLevelType w:val="hybridMultilevel"/>
    <w:tmpl w:val="082858E0"/>
    <w:lvl w:ilvl="0">
      <w:start w:val="1"/>
      <w:numFmt w:val="bullet"/>
      <w:lvlText w:val=""/>
      <w:lvlJc w:val="left"/>
      <w:pPr>
        <w:ind w:left="360" w:hanging="360"/>
      </w:pPr>
      <w:rPr>
        <w:rFonts w:ascii="Wingdings" w:hAnsi="Wingdings"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F5A5B03"/>
    <w:multiLevelType w:val="hybridMultilevel"/>
    <w:tmpl w:val="4F98F1A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nsid w:val="64EB5865"/>
    <w:multiLevelType w:val="hybridMultilevel"/>
    <w:tmpl w:val="BD68C9F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6203350"/>
    <w:multiLevelType w:val="multilevel"/>
    <w:tmpl w:val="E3E456E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2">
    <w:nsid w:val="68B662CB"/>
    <w:multiLevelType w:val="multilevel"/>
    <w:tmpl w:val="42BA55B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3">
    <w:nsid w:val="70872B83"/>
    <w:multiLevelType w:val="multilevel"/>
    <w:tmpl w:val="BDFE5D3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4">
    <w:nsid w:val="70AE07C0"/>
    <w:multiLevelType w:val="hybridMultilevel"/>
    <w:tmpl w:val="1826BB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2987D0A"/>
    <w:multiLevelType w:val="hybridMultilevel"/>
    <w:tmpl w:val="499AEDDA"/>
    <w:lvl w:ilvl="0">
      <w:start w:val="1"/>
      <w:numFmt w:val="bullet"/>
      <w:lvlText w:val=""/>
      <w:lvlJc w:val="left"/>
      <w:pPr>
        <w:ind w:left="644" w:hanging="360"/>
      </w:pPr>
      <w:rPr>
        <w:rFonts w:ascii="Symbol" w:hAnsi="Symbol" w:hint="default"/>
      </w:rPr>
    </w:lvl>
    <w:lvl w:ilvl="1">
      <w:start w:val="1"/>
      <w:numFmt w:val="bullet"/>
      <w:lvlText w:val=""/>
      <w:lvlJc w:val="left"/>
      <w:pPr>
        <w:ind w:left="1364" w:hanging="360"/>
      </w:pPr>
      <w:rPr>
        <w:rFonts w:ascii="Symbol" w:hAnsi="Symbol" w:hint="default"/>
      </w:rPr>
    </w:lvl>
    <w:lvl w:ilvl="2">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36">
    <w:nsid w:val="746F098A"/>
    <w:multiLevelType w:val="hybridMultilevel"/>
    <w:tmpl w:val="63D0BE1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68631FE"/>
    <w:multiLevelType w:val="hybridMultilevel"/>
    <w:tmpl w:val="50E2738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A8E5F64"/>
    <w:multiLevelType w:val="hybridMultilevel"/>
    <w:tmpl w:val="A1E40EF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D370150"/>
    <w:multiLevelType w:val="hybridMultilevel"/>
    <w:tmpl w:val="1820E9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91169273">
    <w:abstractNumId w:val="12"/>
  </w:num>
  <w:num w:numId="2" w16cid:durableId="91633648">
    <w:abstractNumId w:val="8"/>
  </w:num>
  <w:num w:numId="3" w16cid:durableId="1815099733">
    <w:abstractNumId w:val="10"/>
  </w:num>
  <w:num w:numId="4" w16cid:durableId="1853297415">
    <w:abstractNumId w:val="3"/>
  </w:num>
  <w:num w:numId="5" w16cid:durableId="1934589124">
    <w:abstractNumId w:val="20"/>
  </w:num>
  <w:num w:numId="6" w16cid:durableId="1109155692">
    <w:abstractNumId w:val="6"/>
  </w:num>
  <w:num w:numId="7" w16cid:durableId="158039976">
    <w:abstractNumId w:val="11"/>
  </w:num>
  <w:num w:numId="8" w16cid:durableId="305086199">
    <w:abstractNumId w:val="25"/>
  </w:num>
  <w:num w:numId="9" w16cid:durableId="1846362372">
    <w:abstractNumId w:val="27"/>
  </w:num>
  <w:num w:numId="10" w16cid:durableId="1771243718">
    <w:abstractNumId w:val="1"/>
  </w:num>
  <w:num w:numId="11" w16cid:durableId="1118572181">
    <w:abstractNumId w:val="32"/>
  </w:num>
  <w:num w:numId="12" w16cid:durableId="1153252595">
    <w:abstractNumId w:val="31"/>
  </w:num>
  <w:num w:numId="13" w16cid:durableId="811212342">
    <w:abstractNumId w:val="14"/>
  </w:num>
  <w:num w:numId="14" w16cid:durableId="461387467">
    <w:abstractNumId w:val="17"/>
  </w:num>
  <w:num w:numId="15" w16cid:durableId="1469324195">
    <w:abstractNumId w:val="38"/>
  </w:num>
  <w:num w:numId="16" w16cid:durableId="1524515549">
    <w:abstractNumId w:val="23"/>
  </w:num>
  <w:num w:numId="17" w16cid:durableId="1544056098">
    <w:abstractNumId w:val="36"/>
  </w:num>
  <w:num w:numId="18" w16cid:durableId="1953975687">
    <w:abstractNumId w:val="5"/>
  </w:num>
  <w:num w:numId="19" w16cid:durableId="402676863">
    <w:abstractNumId w:val="22"/>
  </w:num>
  <w:num w:numId="20" w16cid:durableId="1264609229">
    <w:abstractNumId w:val="34"/>
  </w:num>
  <w:num w:numId="21" w16cid:durableId="1247037891">
    <w:abstractNumId w:val="7"/>
  </w:num>
  <w:num w:numId="22" w16cid:durableId="1250651681">
    <w:abstractNumId w:val="29"/>
  </w:num>
  <w:num w:numId="23" w16cid:durableId="1476340763">
    <w:abstractNumId w:val="24"/>
  </w:num>
  <w:num w:numId="24" w16cid:durableId="292374637">
    <w:abstractNumId w:val="0"/>
  </w:num>
  <w:num w:numId="25" w16cid:durableId="1460758876">
    <w:abstractNumId w:val="16"/>
  </w:num>
  <w:num w:numId="26" w16cid:durableId="1469007620">
    <w:abstractNumId w:val="15"/>
  </w:num>
  <w:num w:numId="27" w16cid:durableId="231503564">
    <w:abstractNumId w:val="18"/>
  </w:num>
  <w:num w:numId="28" w16cid:durableId="888809170">
    <w:abstractNumId w:val="2"/>
  </w:num>
  <w:num w:numId="29" w16cid:durableId="2082943658">
    <w:abstractNumId w:val="33"/>
  </w:num>
  <w:num w:numId="30" w16cid:durableId="1550142385">
    <w:abstractNumId w:val="19"/>
  </w:num>
  <w:num w:numId="31" w16cid:durableId="439570198">
    <w:abstractNumId w:val="4"/>
  </w:num>
  <w:num w:numId="32" w16cid:durableId="859049431">
    <w:abstractNumId w:val="9"/>
  </w:num>
  <w:num w:numId="33" w16cid:durableId="1934391643">
    <w:abstractNumId w:val="37"/>
  </w:num>
  <w:num w:numId="34" w16cid:durableId="2037583797">
    <w:abstractNumId w:val="26"/>
  </w:num>
  <w:num w:numId="35" w16cid:durableId="1847357452">
    <w:abstractNumId w:val="30"/>
  </w:num>
  <w:num w:numId="36" w16cid:durableId="2130510103">
    <w:abstractNumId w:val="39"/>
  </w:num>
  <w:num w:numId="37" w16cid:durableId="1973710249">
    <w:abstractNumId w:val="21"/>
  </w:num>
  <w:num w:numId="38" w16cid:durableId="213853229">
    <w:abstractNumId w:val="13"/>
  </w:num>
  <w:num w:numId="39" w16cid:durableId="1274020741">
    <w:abstractNumId w:val="35"/>
  </w:num>
  <w:num w:numId="40" w16cid:durableId="689533282">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88"/>
    <w:rsid w:val="0000594A"/>
    <w:rsid w:val="00011E5D"/>
    <w:rsid w:val="000121D7"/>
    <w:rsid w:val="000145C7"/>
    <w:rsid w:val="000153B3"/>
    <w:rsid w:val="0002765F"/>
    <w:rsid w:val="00031954"/>
    <w:rsid w:val="0003296C"/>
    <w:rsid w:val="00037FD1"/>
    <w:rsid w:val="00055DB3"/>
    <w:rsid w:val="000651D6"/>
    <w:rsid w:val="000656D6"/>
    <w:rsid w:val="00066C62"/>
    <w:rsid w:val="000734BD"/>
    <w:rsid w:val="000A4767"/>
    <w:rsid w:val="000B117F"/>
    <w:rsid w:val="000B44B0"/>
    <w:rsid w:val="000C0115"/>
    <w:rsid w:val="000D2ADD"/>
    <w:rsid w:val="000D516F"/>
    <w:rsid w:val="000D6D97"/>
    <w:rsid w:val="000E1070"/>
    <w:rsid w:val="000E1A1F"/>
    <w:rsid w:val="000E3BEB"/>
    <w:rsid w:val="00123F06"/>
    <w:rsid w:val="00150881"/>
    <w:rsid w:val="00152F01"/>
    <w:rsid w:val="00165309"/>
    <w:rsid w:val="001A39F9"/>
    <w:rsid w:val="001B1C2C"/>
    <w:rsid w:val="001B6337"/>
    <w:rsid w:val="001B7A16"/>
    <w:rsid w:val="001E0395"/>
    <w:rsid w:val="001E6A24"/>
    <w:rsid w:val="00234F50"/>
    <w:rsid w:val="0023773F"/>
    <w:rsid w:val="002472D9"/>
    <w:rsid w:val="00254AA6"/>
    <w:rsid w:val="00257BCA"/>
    <w:rsid w:val="00260D3B"/>
    <w:rsid w:val="002763A9"/>
    <w:rsid w:val="002847F0"/>
    <w:rsid w:val="002A41AF"/>
    <w:rsid w:val="002B1E74"/>
    <w:rsid w:val="002C0F8E"/>
    <w:rsid w:val="002C6257"/>
    <w:rsid w:val="002C6E51"/>
    <w:rsid w:val="002D05FA"/>
    <w:rsid w:val="002D0D08"/>
    <w:rsid w:val="002D69D8"/>
    <w:rsid w:val="002E4633"/>
    <w:rsid w:val="002E6880"/>
    <w:rsid w:val="002F026B"/>
    <w:rsid w:val="002F0DD2"/>
    <w:rsid w:val="00305851"/>
    <w:rsid w:val="00336C62"/>
    <w:rsid w:val="0034261A"/>
    <w:rsid w:val="00361864"/>
    <w:rsid w:val="00361F3E"/>
    <w:rsid w:val="00362586"/>
    <w:rsid w:val="003903DE"/>
    <w:rsid w:val="003963D1"/>
    <w:rsid w:val="003A5519"/>
    <w:rsid w:val="003C64C9"/>
    <w:rsid w:val="003D72E1"/>
    <w:rsid w:val="003E1518"/>
    <w:rsid w:val="003E34B1"/>
    <w:rsid w:val="003E3DC3"/>
    <w:rsid w:val="003E3F1A"/>
    <w:rsid w:val="003F6268"/>
    <w:rsid w:val="0040143A"/>
    <w:rsid w:val="00402E4B"/>
    <w:rsid w:val="00412318"/>
    <w:rsid w:val="00412BC7"/>
    <w:rsid w:val="0042027B"/>
    <w:rsid w:val="00430072"/>
    <w:rsid w:val="004318D7"/>
    <w:rsid w:val="00432BAD"/>
    <w:rsid w:val="004336FA"/>
    <w:rsid w:val="0043772A"/>
    <w:rsid w:val="00443B39"/>
    <w:rsid w:val="0045117C"/>
    <w:rsid w:val="00463830"/>
    <w:rsid w:val="00463884"/>
    <w:rsid w:val="00464627"/>
    <w:rsid w:val="00465A82"/>
    <w:rsid w:val="00480319"/>
    <w:rsid w:val="00483F3D"/>
    <w:rsid w:val="00485561"/>
    <w:rsid w:val="004A29EE"/>
    <w:rsid w:val="004B551A"/>
    <w:rsid w:val="004B67E1"/>
    <w:rsid w:val="004B7466"/>
    <w:rsid w:val="004C2975"/>
    <w:rsid w:val="004F4752"/>
    <w:rsid w:val="004F48F4"/>
    <w:rsid w:val="0050221C"/>
    <w:rsid w:val="005114D9"/>
    <w:rsid w:val="00513FDF"/>
    <w:rsid w:val="0051704A"/>
    <w:rsid w:val="00524A24"/>
    <w:rsid w:val="00532870"/>
    <w:rsid w:val="00543458"/>
    <w:rsid w:val="00545940"/>
    <w:rsid w:val="00550B59"/>
    <w:rsid w:val="0055644D"/>
    <w:rsid w:val="0055689C"/>
    <w:rsid w:val="00570A6E"/>
    <w:rsid w:val="00581D5D"/>
    <w:rsid w:val="00592A1F"/>
    <w:rsid w:val="005A0E97"/>
    <w:rsid w:val="005A247B"/>
    <w:rsid w:val="005A7254"/>
    <w:rsid w:val="005A74BF"/>
    <w:rsid w:val="005C0C5A"/>
    <w:rsid w:val="005C31BA"/>
    <w:rsid w:val="005D246D"/>
    <w:rsid w:val="005D7048"/>
    <w:rsid w:val="005E6B23"/>
    <w:rsid w:val="005F31D5"/>
    <w:rsid w:val="00605829"/>
    <w:rsid w:val="0061628A"/>
    <w:rsid w:val="006815EA"/>
    <w:rsid w:val="006B323C"/>
    <w:rsid w:val="006B3351"/>
    <w:rsid w:val="006E264E"/>
    <w:rsid w:val="006E48ED"/>
    <w:rsid w:val="006F6F03"/>
    <w:rsid w:val="00710C7A"/>
    <w:rsid w:val="00712E75"/>
    <w:rsid w:val="00720710"/>
    <w:rsid w:val="00750576"/>
    <w:rsid w:val="00757785"/>
    <w:rsid w:val="0078478C"/>
    <w:rsid w:val="007874CE"/>
    <w:rsid w:val="0078755F"/>
    <w:rsid w:val="00794280"/>
    <w:rsid w:val="007944D1"/>
    <w:rsid w:val="00794C96"/>
    <w:rsid w:val="007C5EC6"/>
    <w:rsid w:val="007C7D21"/>
    <w:rsid w:val="007C7E64"/>
    <w:rsid w:val="007F2C17"/>
    <w:rsid w:val="007F63E9"/>
    <w:rsid w:val="008245EF"/>
    <w:rsid w:val="00830123"/>
    <w:rsid w:val="00836C89"/>
    <w:rsid w:val="00850AD9"/>
    <w:rsid w:val="008533E2"/>
    <w:rsid w:val="00857B3A"/>
    <w:rsid w:val="00863C28"/>
    <w:rsid w:val="008762AE"/>
    <w:rsid w:val="00882768"/>
    <w:rsid w:val="00894C60"/>
    <w:rsid w:val="008A0838"/>
    <w:rsid w:val="008B53B9"/>
    <w:rsid w:val="008D44D3"/>
    <w:rsid w:val="008E2FD4"/>
    <w:rsid w:val="008E3E66"/>
    <w:rsid w:val="008F1F25"/>
    <w:rsid w:val="008F46EC"/>
    <w:rsid w:val="00912C04"/>
    <w:rsid w:val="00922A63"/>
    <w:rsid w:val="00922AEF"/>
    <w:rsid w:val="00942307"/>
    <w:rsid w:val="00962E5F"/>
    <w:rsid w:val="009656A8"/>
    <w:rsid w:val="00973AF8"/>
    <w:rsid w:val="00993082"/>
    <w:rsid w:val="00997598"/>
    <w:rsid w:val="009A26F5"/>
    <w:rsid w:val="009A36E6"/>
    <w:rsid w:val="009B7E59"/>
    <w:rsid w:val="009C01BE"/>
    <w:rsid w:val="009F313F"/>
    <w:rsid w:val="00A11125"/>
    <w:rsid w:val="00A13096"/>
    <w:rsid w:val="00A2468F"/>
    <w:rsid w:val="00A25660"/>
    <w:rsid w:val="00A3300F"/>
    <w:rsid w:val="00A332E2"/>
    <w:rsid w:val="00A40E07"/>
    <w:rsid w:val="00A510EB"/>
    <w:rsid w:val="00A54E53"/>
    <w:rsid w:val="00A65AC1"/>
    <w:rsid w:val="00A73F95"/>
    <w:rsid w:val="00A917C0"/>
    <w:rsid w:val="00AB0821"/>
    <w:rsid w:val="00AC2A6B"/>
    <w:rsid w:val="00AC513A"/>
    <w:rsid w:val="00AC66A8"/>
    <w:rsid w:val="00AD5985"/>
    <w:rsid w:val="00B06701"/>
    <w:rsid w:val="00B60482"/>
    <w:rsid w:val="00B604B0"/>
    <w:rsid w:val="00B7371D"/>
    <w:rsid w:val="00B81EA3"/>
    <w:rsid w:val="00B865E5"/>
    <w:rsid w:val="00B92EEC"/>
    <w:rsid w:val="00BB3F5A"/>
    <w:rsid w:val="00BC6505"/>
    <w:rsid w:val="00BC7DDB"/>
    <w:rsid w:val="00BD058C"/>
    <w:rsid w:val="00BF6D2A"/>
    <w:rsid w:val="00C05465"/>
    <w:rsid w:val="00C21500"/>
    <w:rsid w:val="00C3108C"/>
    <w:rsid w:val="00C4444D"/>
    <w:rsid w:val="00C6410A"/>
    <w:rsid w:val="00CA0A8A"/>
    <w:rsid w:val="00CA52E2"/>
    <w:rsid w:val="00CA79CE"/>
    <w:rsid w:val="00CB7ACC"/>
    <w:rsid w:val="00CC3528"/>
    <w:rsid w:val="00CC5333"/>
    <w:rsid w:val="00CD1D53"/>
    <w:rsid w:val="00CE79BE"/>
    <w:rsid w:val="00CF2E53"/>
    <w:rsid w:val="00CF3E36"/>
    <w:rsid w:val="00D03E47"/>
    <w:rsid w:val="00D16FED"/>
    <w:rsid w:val="00D17C5E"/>
    <w:rsid w:val="00D22D08"/>
    <w:rsid w:val="00D314CB"/>
    <w:rsid w:val="00D34A01"/>
    <w:rsid w:val="00D41CB5"/>
    <w:rsid w:val="00D4365B"/>
    <w:rsid w:val="00D50F44"/>
    <w:rsid w:val="00D53114"/>
    <w:rsid w:val="00D551B7"/>
    <w:rsid w:val="00D63900"/>
    <w:rsid w:val="00D72E05"/>
    <w:rsid w:val="00D73456"/>
    <w:rsid w:val="00D746F7"/>
    <w:rsid w:val="00D74D0F"/>
    <w:rsid w:val="00D804C8"/>
    <w:rsid w:val="00DA507D"/>
    <w:rsid w:val="00DA57E9"/>
    <w:rsid w:val="00DB2FEA"/>
    <w:rsid w:val="00DB4104"/>
    <w:rsid w:val="00DC0A05"/>
    <w:rsid w:val="00DC6DF6"/>
    <w:rsid w:val="00DD343F"/>
    <w:rsid w:val="00DE27B8"/>
    <w:rsid w:val="00DE5A4D"/>
    <w:rsid w:val="00E01005"/>
    <w:rsid w:val="00E116C0"/>
    <w:rsid w:val="00E14666"/>
    <w:rsid w:val="00E17753"/>
    <w:rsid w:val="00E422A1"/>
    <w:rsid w:val="00E44D5A"/>
    <w:rsid w:val="00E55A18"/>
    <w:rsid w:val="00E615B6"/>
    <w:rsid w:val="00E64472"/>
    <w:rsid w:val="00E70916"/>
    <w:rsid w:val="00E83932"/>
    <w:rsid w:val="00E854F9"/>
    <w:rsid w:val="00E93A16"/>
    <w:rsid w:val="00EB38C3"/>
    <w:rsid w:val="00EC25D4"/>
    <w:rsid w:val="00ED6214"/>
    <w:rsid w:val="00EF0DC4"/>
    <w:rsid w:val="00EF40D3"/>
    <w:rsid w:val="00F05DAF"/>
    <w:rsid w:val="00F104CE"/>
    <w:rsid w:val="00F2163E"/>
    <w:rsid w:val="00F333FA"/>
    <w:rsid w:val="00F447DE"/>
    <w:rsid w:val="00F47527"/>
    <w:rsid w:val="00F55ADF"/>
    <w:rsid w:val="00F74CE4"/>
    <w:rsid w:val="00F921E6"/>
    <w:rsid w:val="00FA1353"/>
    <w:rsid w:val="00FA5D0F"/>
    <w:rsid w:val="00FC0D88"/>
    <w:rsid w:val="00FE52A5"/>
    <w:rsid w:val="00FE6B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28734"/>
  <w15:chartTrackingRefBased/>
  <w15:docId w15:val="{A499B349-955B-43EC-B082-69E5FB43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FC0D88"/>
    <w:pPr>
      <w:keepNext/>
      <w:keepLines/>
      <w:spacing w:before="240" w:after="0"/>
      <w:outlineLvl w:val="0"/>
    </w:pPr>
    <w:rPr>
      <w:rFonts w:eastAsiaTheme="majorEastAsia" w:cstheme="majorBidi"/>
      <w:b/>
      <w:sz w:val="22"/>
      <w:szCs w:val="32"/>
    </w:rPr>
  </w:style>
  <w:style w:type="paragraph" w:styleId="Heading2">
    <w:name w:val="heading 2"/>
    <w:basedOn w:val="Normal"/>
    <w:next w:val="Normal"/>
    <w:link w:val="Kop2Char"/>
    <w:uiPriority w:val="9"/>
    <w:unhideWhenUsed/>
    <w:qFormat/>
    <w:rsid w:val="00DE27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Kop3Char"/>
    <w:uiPriority w:val="9"/>
    <w:unhideWhenUsed/>
    <w:qFormat/>
    <w:rsid w:val="00513F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uiPriority w:val="39"/>
    <w:rsid w:val="00FC0D88"/>
    <w:pPr>
      <w:autoSpaceDN w:val="0"/>
      <w:spacing w:after="0" w:line="240" w:lineRule="auto"/>
      <w:textAlignment w:val="baseline"/>
    </w:pPr>
    <w:rPr>
      <w:rFonts w:eastAsia="DejaVu Sans" w:cs="Lohit Hindi"/>
      <w:color w:val="000000"/>
      <w:szCs w:val="18"/>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Kop1Char">
    <w:name w:val="Kop 1 Char"/>
    <w:basedOn w:val="DefaultParagraphFont"/>
    <w:link w:val="Heading1"/>
    <w:uiPriority w:val="9"/>
    <w:rsid w:val="00FC0D88"/>
    <w:rPr>
      <w:rFonts w:eastAsiaTheme="majorEastAsia" w:cstheme="majorBidi"/>
      <w:b/>
      <w:sz w:val="22"/>
      <w:szCs w:val="32"/>
    </w:rPr>
  </w:style>
  <w:style w:type="paragraph" w:styleId="TOCHeading">
    <w:name w:val="TOC Heading"/>
    <w:basedOn w:val="Heading1"/>
    <w:next w:val="Normal"/>
    <w:uiPriority w:val="39"/>
    <w:unhideWhenUsed/>
    <w:qFormat/>
    <w:rsid w:val="00FC0D88"/>
    <w:pPr>
      <w:outlineLvl w:val="9"/>
    </w:pPr>
    <w:rPr>
      <w:rFonts w:asciiTheme="majorHAnsi" w:hAnsiTheme="majorHAnsi"/>
      <w:b w:val="0"/>
      <w:color w:val="2E74B5" w:themeColor="accent1" w:themeShade="BF"/>
      <w:sz w:val="32"/>
      <w:lang w:val="nl-NL" w:eastAsia="nl-NL"/>
    </w:rPr>
  </w:style>
  <w:style w:type="paragraph" w:styleId="TOC1">
    <w:name w:val="toc 1"/>
    <w:basedOn w:val="Normal"/>
    <w:next w:val="Normal"/>
    <w:autoRedefine/>
    <w:uiPriority w:val="39"/>
    <w:unhideWhenUsed/>
    <w:rsid w:val="00FC0D88"/>
    <w:pPr>
      <w:spacing w:after="100"/>
    </w:pPr>
  </w:style>
  <w:style w:type="character" w:styleId="Hyperlink">
    <w:name w:val="Hyperlink"/>
    <w:basedOn w:val="DefaultParagraphFont"/>
    <w:uiPriority w:val="99"/>
    <w:unhideWhenUsed/>
    <w:rsid w:val="00FC0D88"/>
    <w:rPr>
      <w:color w:val="0563C1" w:themeColor="hyperlink"/>
      <w:u w:val="single"/>
    </w:rPr>
  </w:style>
  <w:style w:type="paragraph" w:styleId="Header">
    <w:name w:val="header"/>
    <w:basedOn w:val="Normal"/>
    <w:link w:val="KoptekstChar"/>
    <w:uiPriority w:val="99"/>
    <w:unhideWhenUsed/>
    <w:rsid w:val="00CA52E2"/>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CA52E2"/>
  </w:style>
  <w:style w:type="paragraph" w:styleId="Footer">
    <w:name w:val="footer"/>
    <w:basedOn w:val="Normal"/>
    <w:link w:val="VoettekstChar"/>
    <w:uiPriority w:val="99"/>
    <w:unhideWhenUsed/>
    <w:rsid w:val="00CA52E2"/>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CA52E2"/>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Flat"/>
    <w:basedOn w:val="Normal"/>
    <w:link w:val="LijstalineaChar"/>
    <w:uiPriority w:val="34"/>
    <w:qFormat/>
    <w:rsid w:val="00430072"/>
    <w:pPr>
      <w:ind w:left="720"/>
      <w:contextualSpacing/>
    </w:p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F2163E"/>
  </w:style>
  <w:style w:type="paragraph" w:styleId="NoSpacing">
    <w:name w:val="No Spacing"/>
    <w:link w:val="GeenafstandChar"/>
    <w:qFormat/>
    <w:rsid w:val="00F2163E"/>
    <w:pPr>
      <w:spacing w:after="0" w:line="240" w:lineRule="auto"/>
    </w:pPr>
  </w:style>
  <w:style w:type="character" w:customStyle="1" w:styleId="Kop2Char">
    <w:name w:val="Kop 2 Char"/>
    <w:basedOn w:val="DefaultParagraphFont"/>
    <w:link w:val="Heading2"/>
    <w:uiPriority w:val="9"/>
    <w:rsid w:val="00DE27B8"/>
    <w:rPr>
      <w:rFonts w:asciiTheme="majorHAnsi" w:eastAsiaTheme="majorEastAsia" w:hAnsiTheme="majorHAnsi" w:cstheme="majorBidi"/>
      <w:color w:val="2E74B5" w:themeColor="accent1" w:themeShade="BF"/>
      <w:sz w:val="26"/>
      <w:szCs w:val="26"/>
    </w:rPr>
  </w:style>
  <w:style w:type="paragraph" w:styleId="TOC9">
    <w:name w:val="toc 9"/>
    <w:basedOn w:val="Normal"/>
    <w:next w:val="Normal"/>
    <w:autoRedefine/>
    <w:uiPriority w:val="39"/>
    <w:semiHidden/>
    <w:unhideWhenUsed/>
    <w:rsid w:val="00C05465"/>
    <w:pPr>
      <w:spacing w:after="100"/>
      <w:ind w:left="1440"/>
    </w:pPr>
  </w:style>
  <w:style w:type="character" w:customStyle="1" w:styleId="Kop3Char">
    <w:name w:val="Kop 3 Char"/>
    <w:basedOn w:val="DefaultParagraphFont"/>
    <w:link w:val="Heading3"/>
    <w:uiPriority w:val="9"/>
    <w:rsid w:val="00513FDF"/>
    <w:rPr>
      <w:rFonts w:asciiTheme="majorHAnsi" w:eastAsiaTheme="majorEastAsia" w:hAnsiTheme="majorHAnsi" w:cstheme="majorBidi"/>
      <w:color w:val="1F4D78" w:themeColor="accent1" w:themeShade="7F"/>
      <w:sz w:val="24"/>
      <w:szCs w:val="24"/>
    </w:rPr>
  </w:style>
  <w:style w:type="character" w:customStyle="1" w:styleId="GeenafstandChar">
    <w:name w:val="Geen afstand Char"/>
    <w:basedOn w:val="DefaultParagraphFont"/>
    <w:link w:val="NoSpacing"/>
    <w:locked/>
    <w:rsid w:val="00F47527"/>
  </w:style>
  <w:style w:type="paragraph" w:styleId="FootnoteText">
    <w:name w:val="footnote text"/>
    <w:basedOn w:val="Normal"/>
    <w:link w:val="VoetnoottekstChar"/>
    <w:uiPriority w:val="99"/>
    <w:semiHidden/>
    <w:unhideWhenUsed/>
    <w:rsid w:val="00F47527"/>
    <w:pPr>
      <w:spacing w:after="0" w:line="240" w:lineRule="auto"/>
    </w:pPr>
    <w:rPr>
      <w:sz w:val="20"/>
      <w:szCs w:val="20"/>
      <w:lang w:val="nl-NL"/>
    </w:rPr>
  </w:style>
  <w:style w:type="character" w:customStyle="1" w:styleId="VoetnoottekstChar">
    <w:name w:val="Voetnoottekst Char"/>
    <w:basedOn w:val="DefaultParagraphFont"/>
    <w:link w:val="FootnoteText"/>
    <w:uiPriority w:val="99"/>
    <w:semiHidden/>
    <w:rsid w:val="00F47527"/>
    <w:rPr>
      <w:sz w:val="20"/>
      <w:szCs w:val="20"/>
      <w:lang w:val="nl-NL"/>
    </w:rPr>
  </w:style>
  <w:style w:type="character" w:styleId="FootnoteReference">
    <w:name w:val="footnote reference"/>
    <w:basedOn w:val="DefaultParagraphFont"/>
    <w:uiPriority w:val="99"/>
    <w:semiHidden/>
    <w:unhideWhenUsed/>
    <w:rsid w:val="00F47527"/>
    <w:rPr>
      <w:vertAlign w:val="superscript"/>
    </w:rPr>
  </w:style>
  <w:style w:type="table" w:styleId="PlainTable1">
    <w:name w:val="Plain Table 1"/>
    <w:basedOn w:val="TableNormal"/>
    <w:uiPriority w:val="41"/>
    <w:rsid w:val="00E55A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257BCA"/>
    <w:rPr>
      <w:sz w:val="16"/>
      <w:szCs w:val="16"/>
    </w:rPr>
  </w:style>
  <w:style w:type="paragraph" w:styleId="CommentText">
    <w:name w:val="annotation text"/>
    <w:basedOn w:val="Normal"/>
    <w:link w:val="TekstopmerkingChar"/>
    <w:uiPriority w:val="99"/>
    <w:unhideWhenUsed/>
    <w:rsid w:val="00257BCA"/>
    <w:pPr>
      <w:spacing w:line="240" w:lineRule="auto"/>
    </w:pPr>
    <w:rPr>
      <w:sz w:val="20"/>
      <w:szCs w:val="20"/>
    </w:rPr>
  </w:style>
  <w:style w:type="character" w:customStyle="1" w:styleId="TekstopmerkingChar">
    <w:name w:val="Tekst opmerking Char"/>
    <w:basedOn w:val="DefaultParagraphFont"/>
    <w:link w:val="CommentText"/>
    <w:uiPriority w:val="99"/>
    <w:rsid w:val="00257BCA"/>
    <w:rPr>
      <w:sz w:val="20"/>
      <w:szCs w:val="20"/>
    </w:rPr>
  </w:style>
  <w:style w:type="paragraph" w:styleId="TOC3">
    <w:name w:val="toc 3"/>
    <w:basedOn w:val="Normal"/>
    <w:next w:val="Normal"/>
    <w:autoRedefine/>
    <w:uiPriority w:val="39"/>
    <w:unhideWhenUsed/>
    <w:rsid w:val="000734BD"/>
    <w:pPr>
      <w:spacing w:after="100"/>
      <w:ind w:left="360"/>
    </w:pPr>
  </w:style>
  <w:style w:type="paragraph" w:styleId="TOC2">
    <w:name w:val="toc 2"/>
    <w:basedOn w:val="Normal"/>
    <w:next w:val="Normal"/>
    <w:autoRedefine/>
    <w:uiPriority w:val="39"/>
    <w:unhideWhenUsed/>
    <w:rsid w:val="000734BD"/>
    <w:pPr>
      <w:spacing w:after="100"/>
      <w:ind w:left="180"/>
    </w:pPr>
  </w:style>
  <w:style w:type="paragraph" w:customStyle="1" w:styleId="Default">
    <w:name w:val="Default"/>
    <w:basedOn w:val="Normal"/>
    <w:link w:val="DefaultChar"/>
    <w:rsid w:val="006815EA"/>
    <w:pPr>
      <w:autoSpaceDE w:val="0"/>
      <w:autoSpaceDN w:val="0"/>
      <w:spacing w:after="0" w:line="240" w:lineRule="auto"/>
    </w:pPr>
    <w:rPr>
      <w:rFonts w:ascii="Calibri" w:hAnsi="Calibri" w:cs="Calibri"/>
      <w:color w:val="000000"/>
      <w:sz w:val="24"/>
      <w:szCs w:val="24"/>
      <w:lang w:val="nl-NL" w:eastAsia="nl-NL"/>
    </w:rPr>
  </w:style>
  <w:style w:type="character" w:customStyle="1" w:styleId="DefaultChar">
    <w:name w:val="Default Char"/>
    <w:basedOn w:val="DefaultParagraphFont"/>
    <w:link w:val="Default"/>
    <w:locked/>
    <w:rsid w:val="006815EA"/>
    <w:rPr>
      <w:rFonts w:ascii="Calibri" w:hAnsi="Calibri" w:cs="Calibri"/>
      <w:color w:val="000000"/>
      <w:sz w:val="24"/>
      <w:szCs w:val="24"/>
      <w:lang w:val="nl-NL" w:eastAsia="nl-NL"/>
    </w:rPr>
  </w:style>
  <w:style w:type="paragraph" w:styleId="CommentSubject">
    <w:name w:val="annotation subject"/>
    <w:basedOn w:val="CommentText"/>
    <w:next w:val="CommentText"/>
    <w:link w:val="OnderwerpvanopmerkingChar"/>
    <w:uiPriority w:val="99"/>
    <w:semiHidden/>
    <w:unhideWhenUsed/>
    <w:rsid w:val="0002765F"/>
    <w:rPr>
      <w:b/>
      <w:bCs/>
    </w:rPr>
  </w:style>
  <w:style w:type="character" w:customStyle="1" w:styleId="OnderwerpvanopmerkingChar">
    <w:name w:val="Onderwerp van opmerking Char"/>
    <w:basedOn w:val="TekstopmerkingChar"/>
    <w:link w:val="CommentSubject"/>
    <w:uiPriority w:val="99"/>
    <w:semiHidden/>
    <w:rsid w:val="0002765F"/>
    <w:rPr>
      <w:b/>
      <w:bCs/>
      <w:sz w:val="20"/>
      <w:szCs w:val="20"/>
    </w:rPr>
  </w:style>
  <w:style w:type="character" w:styleId="UnresolvedMention">
    <w:name w:val="Unresolved Mention"/>
    <w:basedOn w:val="DefaultParagraphFont"/>
    <w:uiPriority w:val="99"/>
    <w:semiHidden/>
    <w:unhideWhenUsed/>
    <w:rsid w:val="00480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novexrotterdamsehaven.nl/downloads/startdocument"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16344</ap:Words>
  <ap:Characters>89892</ap:Characters>
  <ap:DocSecurity>0</ap:DocSecurity>
  <ap:Lines>749</ap:Lines>
  <ap:Paragraphs>212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2026-01-13T11:18:00.0000000Z</lastPrinted>
  <dcterms:created xsi:type="dcterms:W3CDTF">2026-01-06T10:56:00.0000000Z</dcterms:created>
  <dcterms:modified xsi:type="dcterms:W3CDTF">2026-01-13T11:18:00.0000000Z</dcterms:modified>
  <dc:creator/>
  <lastModifiedBy/>
  <dc:description>------------------------</dc:description>
  <dc:subject/>
  <dc:title/>
  <keywords/>
  <version/>
  <category/>
</coreProperties>
</file>