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EC3ED9" w:rsidRDefault="00A97BB8" w14:paraId="710D2705" w14:textId="77777777">
      <w:pPr>
        <w:suppressAutoHyphens/>
        <w:rPr>
          <w:lang w:val="en-US"/>
        </w:rPr>
      </w:pPr>
      <w:bookmarkStart w:name="bmkMinuut" w:id="0"/>
      <w:bookmarkEnd w:id="0"/>
    </w:p>
    <w:p w:rsidR="00A97BB8" w:rsidP="00EC3ED9" w:rsidRDefault="00A97BB8" w14:paraId="209ECC86" w14:textId="77777777">
      <w:pPr>
        <w:suppressAutoHyphens/>
        <w:rPr>
          <w:lang w:val="en-US"/>
        </w:rPr>
      </w:pPr>
    </w:p>
    <w:p w:rsidRPr="00B30952" w:rsidR="00A97BB8" w:rsidP="00EC3ED9" w:rsidRDefault="00000000" w14:paraId="07190521" w14:textId="77777777">
      <w:pPr>
        <w:pStyle w:val="Retouradres"/>
        <w:suppressAutoHyphens/>
      </w:pPr>
      <w:r w:rsidRPr="00B30952">
        <w:t>&gt; Ret</w:t>
      </w:r>
      <w:r w:rsidRPr="00B30952" w:rsidR="00144715">
        <w:t xml:space="preserve">ouradres Postbus 20350 2500 EJ </w:t>
      </w:r>
      <w:r w:rsidRPr="00B30952" w:rsidR="005C61EB">
        <w:t xml:space="preserve"> </w:t>
      </w:r>
      <w:r w:rsidRPr="00B30952">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630A0D" w:rsidTr="001E7B11" w14:paraId="53AF382C" w14:textId="77777777">
        <w:tc>
          <w:tcPr>
            <w:tcW w:w="3510" w:type="dxa"/>
          </w:tcPr>
          <w:p w:rsidRPr="00B30952" w:rsidR="0075628C" w:rsidP="00EC3ED9" w:rsidRDefault="0075628C" w14:paraId="65E66B4C" w14:textId="77777777">
            <w:pPr>
              <w:suppressAutoHyphens/>
            </w:pPr>
          </w:p>
        </w:tc>
      </w:tr>
    </w:tbl>
    <w:p w:rsidRPr="00B30952" w:rsidR="003502AE" w:rsidP="00EC3ED9" w:rsidRDefault="003502AE" w14:paraId="040AC99A"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EC3ED9" w:rsidP="00EC3ED9" w:rsidRDefault="00000000" w14:paraId="5EF2712C" w14:textId="77777777">
      <w:pPr>
        <w:suppressAutoHyphens/>
      </w:pPr>
      <w:r w:rsidRPr="00B30952">
        <w:t>Voorzitter van de Tweede Kamer</w:t>
      </w:r>
    </w:p>
    <w:p w:rsidRPr="00B30952" w:rsidR="006B72DD" w:rsidP="00EC3ED9" w:rsidRDefault="00000000" w14:paraId="2CE4D5B7" w14:textId="15EC8160">
      <w:pPr>
        <w:suppressAutoHyphens/>
      </w:pPr>
      <w:r w:rsidRPr="00B30952">
        <w:t>der Staten-Generaal</w:t>
      </w:r>
    </w:p>
    <w:p w:rsidRPr="00EF3250" w:rsidR="006B72DD" w:rsidP="00EC3ED9" w:rsidRDefault="00000000" w14:paraId="61E78CDE" w14:textId="77777777">
      <w:pPr>
        <w:suppressAutoHyphens/>
        <w:rPr>
          <w:lang w:val="de-DE"/>
        </w:rPr>
      </w:pPr>
      <w:r w:rsidRPr="00EF3250">
        <w:rPr>
          <w:lang w:val="de-DE"/>
        </w:rPr>
        <w:t>Postbus 20018</w:t>
      </w:r>
    </w:p>
    <w:p w:rsidRPr="00EF3250" w:rsidR="006B72DD" w:rsidP="00EC3ED9" w:rsidRDefault="00000000" w14:paraId="0B14141E" w14:textId="77777777">
      <w:pPr>
        <w:suppressAutoHyphens/>
        <w:rPr>
          <w:lang w:val="de-DE"/>
        </w:rPr>
      </w:pPr>
      <w:r w:rsidRPr="00EF3250">
        <w:rPr>
          <w:lang w:val="de-DE"/>
        </w:rPr>
        <w:t>2500 EA  DEN HAAG</w:t>
      </w:r>
    </w:p>
    <w:p w:rsidRPr="00EF3250" w:rsidR="003502AE" w:rsidP="00EC3ED9" w:rsidRDefault="003502AE" w14:paraId="1C5472DB" w14:textId="77777777">
      <w:pPr>
        <w:widowControl w:val="0"/>
        <w:suppressAutoHyphens/>
        <w:autoSpaceDN w:val="0"/>
        <w:spacing w:line="240" w:lineRule="exact"/>
        <w:textAlignment w:val="baseline"/>
        <w:rPr>
          <w:rFonts w:eastAsia="SimSun" w:cs="Lohit Hindi"/>
          <w:kern w:val="3"/>
          <w:szCs w:val="24"/>
          <w:lang w:val="de-DE" w:eastAsia="zh-CN" w:bidi="hi-IN"/>
        </w:rPr>
      </w:pPr>
    </w:p>
    <w:p w:rsidRPr="00EF3250" w:rsidR="00A97BB8" w:rsidP="00EC3ED9" w:rsidRDefault="00A97BB8" w14:paraId="6EC6F89F" w14:textId="77777777">
      <w:pPr>
        <w:suppressAutoHyphens/>
        <w:rPr>
          <w:lang w:val="de-DE"/>
        </w:rPr>
      </w:pPr>
    </w:p>
    <w:p w:rsidRPr="00EF3250" w:rsidR="00C04DE9" w:rsidP="00EC3ED9" w:rsidRDefault="00C04DE9" w14:paraId="623CED63" w14:textId="77777777">
      <w:pPr>
        <w:suppressAutoHyphens/>
        <w:rPr>
          <w:lang w:val="de-DE"/>
        </w:rPr>
      </w:pPr>
    </w:p>
    <w:p w:rsidRPr="00EF3250" w:rsidR="00A97BB8" w:rsidP="00EC3ED9" w:rsidRDefault="00A97BB8" w14:paraId="566BD218" w14:textId="77777777">
      <w:pPr>
        <w:suppressAutoHyphens/>
        <w:rPr>
          <w:lang w:val="de-DE"/>
        </w:rPr>
      </w:pPr>
    </w:p>
    <w:p w:rsidRPr="00EF3250" w:rsidR="00054C93" w:rsidP="00EC3ED9" w:rsidRDefault="00054C93" w14:paraId="0167C87A" w14:textId="77777777">
      <w:pPr>
        <w:tabs>
          <w:tab w:val="left" w:pos="737"/>
        </w:tabs>
        <w:suppressAutoHyphens/>
        <w:outlineLvl w:val="0"/>
        <w:rPr>
          <w:lang w:val="de-DE"/>
        </w:rPr>
      </w:pPr>
    </w:p>
    <w:p w:rsidRPr="00EF3250" w:rsidR="00054C93" w:rsidP="00EC3ED9" w:rsidRDefault="00054C93" w14:paraId="05829710" w14:textId="77777777">
      <w:pPr>
        <w:tabs>
          <w:tab w:val="left" w:pos="737"/>
        </w:tabs>
        <w:suppressAutoHyphens/>
        <w:outlineLvl w:val="0"/>
        <w:rPr>
          <w:lang w:val="de-DE"/>
        </w:rPr>
      </w:pPr>
    </w:p>
    <w:p w:rsidRPr="00EF3250" w:rsidR="009E59AE" w:rsidP="00EC3ED9" w:rsidRDefault="009E59AE" w14:paraId="7DE9F0C4" w14:textId="77777777">
      <w:pPr>
        <w:tabs>
          <w:tab w:val="left" w:pos="737"/>
        </w:tabs>
        <w:suppressAutoHyphens/>
        <w:outlineLvl w:val="0"/>
        <w:rPr>
          <w:lang w:val="de-DE"/>
        </w:rPr>
      </w:pPr>
    </w:p>
    <w:p w:rsidRPr="00EF3250" w:rsidR="00516695" w:rsidP="00EC3ED9" w:rsidRDefault="00000000" w14:paraId="12C67E22" w14:textId="3934F16A">
      <w:pPr>
        <w:tabs>
          <w:tab w:val="left" w:pos="737"/>
        </w:tabs>
        <w:suppressAutoHyphens/>
        <w:outlineLvl w:val="0"/>
        <w:rPr>
          <w:lang w:val="de-DE"/>
        </w:rPr>
      </w:pPr>
      <w:r w:rsidRPr="00EF3250">
        <w:rPr>
          <w:lang w:val="de-DE"/>
        </w:rPr>
        <w:t>Datum</w:t>
      </w:r>
      <w:r w:rsidRPr="00EF3250" w:rsidR="00682AC0">
        <w:rPr>
          <w:lang w:val="de-DE"/>
        </w:rPr>
        <w:tab/>
      </w:r>
      <w:r w:rsidR="003B1810">
        <w:rPr>
          <w:lang w:val="de-DE"/>
        </w:rPr>
        <w:tab/>
        <w:t xml:space="preserve">14 </w:t>
      </w:r>
      <w:proofErr w:type="spellStart"/>
      <w:r w:rsidR="003B1810">
        <w:rPr>
          <w:lang w:val="de-DE"/>
        </w:rPr>
        <w:t>januari</w:t>
      </w:r>
      <w:proofErr w:type="spellEnd"/>
      <w:r w:rsidR="003B1810">
        <w:rPr>
          <w:lang w:val="de-DE"/>
        </w:rPr>
        <w:t xml:space="preserve"> 2026</w:t>
      </w:r>
    </w:p>
    <w:p w:rsidRPr="00B30952" w:rsidR="00005041" w:rsidP="00EC3ED9" w:rsidRDefault="00000000" w14:paraId="63E19A5E" w14:textId="2473BFEF">
      <w:pPr>
        <w:tabs>
          <w:tab w:val="left" w:pos="737"/>
        </w:tabs>
        <w:suppressAutoHyphens/>
        <w:ind w:left="1418" w:hanging="1418"/>
        <w:outlineLvl w:val="0"/>
      </w:pPr>
      <w:r w:rsidRPr="00B30952">
        <w:t>Betreft</w:t>
      </w:r>
      <w:r w:rsidRPr="00B30952" w:rsidR="00D10638">
        <w:t xml:space="preserve"> </w:t>
      </w:r>
      <w:r w:rsidRPr="00B30952" w:rsidR="006B72DD">
        <w:tab/>
      </w:r>
      <w:r w:rsidRPr="00B30952" w:rsidR="006B72DD">
        <w:tab/>
      </w:r>
      <w:r w:rsidRPr="00B30952" w:rsidR="005212B5">
        <w:t xml:space="preserve">Commissiebrief </w:t>
      </w:r>
      <w:r w:rsidRPr="00B30952" w:rsidR="00F15E23">
        <w:t>inzake</w:t>
      </w:r>
      <w:r w:rsidRPr="00B30952">
        <w:t xml:space="preserve"> </w:t>
      </w:r>
      <w:r w:rsidRPr="00B30952" w:rsidR="005212B5">
        <w:t>budgetbekostiging voor SEH per 2027 (29247-469)</w:t>
      </w:r>
    </w:p>
    <w:p w:rsidRPr="00B30952" w:rsidR="004542AB" w:rsidP="00EC3ED9" w:rsidRDefault="004542AB" w14:paraId="60EBF4F1" w14:textId="77777777">
      <w:pPr>
        <w:suppressAutoHyphens/>
      </w:pPr>
    </w:p>
    <w:p w:rsidRPr="00B30952" w:rsidR="004542AB" w:rsidP="00EC3ED9" w:rsidRDefault="004542AB" w14:paraId="5720B7DD" w14:textId="77777777">
      <w:pPr>
        <w:suppressAutoHyphens/>
      </w:pPr>
    </w:p>
    <w:p w:rsidRPr="00B30952" w:rsidR="004542AB" w:rsidP="00EC3ED9" w:rsidRDefault="004542AB" w14:paraId="1D3A6BDC" w14:textId="77777777">
      <w:pPr>
        <w:suppressAutoHyphens/>
      </w:pPr>
    </w:p>
    <w:p w:rsidRPr="00B30952" w:rsidR="004542AB" w:rsidP="00EC3ED9" w:rsidRDefault="00000000" w14:paraId="654890D7" w14:textId="77777777">
      <w:pPr>
        <w:suppressAutoHyphens/>
      </w:pPr>
      <w:r w:rsidRPr="00B30952">
        <w:t>Geachte voorzitter,</w:t>
      </w:r>
    </w:p>
    <w:p w:rsidRPr="00B30952" w:rsidR="004542AB" w:rsidP="00EC3ED9" w:rsidRDefault="004542AB" w14:paraId="2BE9719B" w14:textId="77777777">
      <w:pPr>
        <w:suppressAutoHyphens/>
      </w:pPr>
    </w:p>
    <w:p w:rsidRPr="00B30952" w:rsidR="004C0D09" w:rsidP="00EC3ED9" w:rsidRDefault="00000000" w14:paraId="35B8178F" w14:textId="77777777">
      <w:pPr>
        <w:tabs>
          <w:tab w:val="left" w:pos="737"/>
        </w:tabs>
        <w:suppressAutoHyphens/>
        <w:outlineLvl w:val="0"/>
        <w:rPr>
          <w:color w:val="000000"/>
        </w:rPr>
      </w:pPr>
      <w:r w:rsidRPr="00B30952">
        <w:rPr>
          <w:color w:val="000000"/>
        </w:rPr>
        <w:t>Op 17 december 2025 heeft de vaste commissie voor Volksgezondheid, Welzijn en Sport mij een verzoek gestuurd om te reageren op de brief van UMCNL over de zorgen bij de invoering van budgetbekostiging voor de spoedeisende hulp (SEH) per 2027. Met deze brief voldoe ik aan dit verzoek.</w:t>
      </w:r>
    </w:p>
    <w:p w:rsidRPr="00B30952" w:rsidR="004C0D09" w:rsidP="00EC3ED9" w:rsidRDefault="004C0D09" w14:paraId="726C9107" w14:textId="77777777">
      <w:pPr>
        <w:suppressAutoHyphens/>
      </w:pPr>
    </w:p>
    <w:p w:rsidRPr="00B30952" w:rsidR="004C0D09" w:rsidP="00EC3ED9" w:rsidRDefault="00000000" w14:paraId="4A04AFB4" w14:textId="77777777">
      <w:pPr>
        <w:suppressAutoHyphens/>
      </w:pPr>
      <w:r w:rsidRPr="00B30952">
        <w:t>Ik heb mijn besluit om budgetbekostiging voor de SEH per 2027 in te voeren op 12 september 2025 aan uw Kamer kenbaar gemaakt</w:t>
      </w:r>
      <w:r>
        <w:rPr>
          <w:rStyle w:val="Voetnootmarkering"/>
        </w:rPr>
        <w:footnoteReference w:id="1"/>
      </w:r>
      <w:r w:rsidRPr="00B30952">
        <w:t xml:space="preserve">. In diezelfde brief heb ik aangegeven dat ik via een groeipad toe wil werken naar een zo optimaal mogelijke budgetbekostiging voor de SEH. Tegelijkertijd zet ik alvast een eerste stap, door de invoering van budgetbekostiging per 2027, met een relatief beperkte afbakening. </w:t>
      </w:r>
      <w:r w:rsidRPr="00B30952">
        <w:br/>
      </w:r>
      <w:r w:rsidRPr="00B30952">
        <w:br/>
        <w:t>UMCNL geeft in haar brief aan dat zij eerst de zorginhoud ontwikkeld wil hebben, alvorens de bekostiging wordt aangepast. Ik heb begrip voor dat standpunt. Tegelijkertijd zie ik dat hiervoor de betrokken partijen eerst op een aantal aspecten overeenstemming zal moeten vinden. De Nederlandse Zorgautoriteit (NZa) geeft in haar advies van 4 februari 2025</w:t>
      </w:r>
      <w:r>
        <w:rPr>
          <w:rStyle w:val="Voetnootmarkering"/>
        </w:rPr>
        <w:footnoteReference w:id="2"/>
      </w:r>
      <w:r w:rsidRPr="00B30952">
        <w:t xml:space="preserve"> aan dat deze overeenstemming kan leiden tot vertraging, en dat een eerste stap in de bekostiging en de uitwerking van het groeipad tegelijkertijd plaats kunnen vinden. Daarom zet ik een eerste stap per 2027</w:t>
      </w:r>
      <w:r w:rsidRPr="00B30952" w:rsidR="006B72DD">
        <w:t>, waartoe ik ook een aanwijzing aan de NZa heb gegeven,</w:t>
      </w:r>
      <w:r w:rsidRPr="00B30952">
        <w:t xml:space="preserve"> en werk ik </w:t>
      </w:r>
      <w:r w:rsidRPr="00B30952" w:rsidR="00F451DB">
        <w:t xml:space="preserve">samen met partijen </w:t>
      </w:r>
      <w:r w:rsidRPr="00B30952">
        <w:t xml:space="preserve">verder aan de doorontwikkeling van budgetbekostiging. </w:t>
      </w:r>
      <w:r w:rsidRPr="00B30952">
        <w:br/>
        <w:t xml:space="preserve"> </w:t>
      </w:r>
    </w:p>
    <w:p w:rsidRPr="00B30952" w:rsidR="004C0D09" w:rsidP="00EC3ED9" w:rsidRDefault="00000000" w14:paraId="30D57777" w14:textId="77777777">
      <w:pPr>
        <w:suppressAutoHyphens/>
        <w:rPr>
          <w:iCs/>
        </w:rPr>
      </w:pPr>
      <w:r w:rsidRPr="00B30952">
        <w:t>In haar brief schrijft UMCNL dat het grootste sluitingsrisico voor een SEH het gebrek aan personeel is. En dat het zorgpersoneel niet meer optimaal kan worden ingezet. Ik onderschrijf dat personeelstekorten reden kunnen zijn voor de sluiting van een SEH. In mijn brief van 12 september 2025 heb ik aangegeven dat de invoering van budgetbekostiging op zichzelf geen directe oplossing is voor personeelsproblemen</w:t>
      </w:r>
      <w:r w:rsidRPr="00B30952">
        <w:rPr>
          <w:iCs/>
        </w:rPr>
        <w:t xml:space="preserve">. Maar een optimaal doorontwikkelde budgetbekostiging kan wel bijdragen aan het goed inzetten van de beschikbare middelen, zoals het </w:t>
      </w:r>
      <w:r w:rsidRPr="00B30952">
        <w:rPr>
          <w:iCs/>
        </w:rPr>
        <w:lastRenderedPageBreak/>
        <w:t xml:space="preserve">zorgpersoneel. Om kwalitatief goede en toegankelijke acute zorg te kunnen blijven bieden, vindt op dit moment al differentiatie plaats in hoe de acute zorg door zorgaanbieders wordt georganiseerd, in de vorm van bijvoorbeeld spoedpleinen, spoedposten of acute zorg afdelingen. </w:t>
      </w:r>
    </w:p>
    <w:p w:rsidRPr="00B30952" w:rsidR="004C0D09" w:rsidP="00EC3ED9" w:rsidRDefault="00000000" w14:paraId="0854D95D" w14:textId="77777777">
      <w:pPr>
        <w:suppressAutoHyphens/>
      </w:pPr>
      <w:r w:rsidRPr="00B30952">
        <w:rPr>
          <w:iCs/>
        </w:rPr>
        <w:br/>
        <w:t>UMCNL gaat in haar brief in op het individueel vaste tarief voor SEH’s, wat volgens hen leidt tot een ongelijke toegang tot de SEH. In mijn voorhangbrief van 6 november 2025</w:t>
      </w:r>
      <w:r>
        <w:rPr>
          <w:rStyle w:val="Voetnootmarkering"/>
          <w:iCs/>
        </w:rPr>
        <w:footnoteReference w:id="3"/>
      </w:r>
      <w:r w:rsidRPr="00B30952">
        <w:rPr>
          <w:iCs/>
        </w:rPr>
        <w:t xml:space="preserve"> heb ik aangegeven dat </w:t>
      </w:r>
      <w:r w:rsidRPr="00B30952">
        <w:t>het bedrag per patiënt inderdaad kan verschillen per zorgaanbieder. Dit komt omdat het aantal patiënten dat de betreffende SEH bezoekt, kan verschillen. De patiënt kan dat terugzien in de verrekening van de factuur met het eigen risico. Daarnaast ziet de patiënt op de factuur twee bedragen; één voor de SEH en één voor vervolgzorg. Tot 2027 ziet de patiënt één bedrag op de factuur. De patiënt zal, zoals nu ook al het geval is, nooit méér betalen dan zijn eigen risico. Overigens verschillen de prijzen voor ziekenhuiszorg op dit moment al tussen ziekenhuizen, wat de patiënt ook op zijn factuur terug</w:t>
      </w:r>
      <w:r w:rsidRPr="00B30952" w:rsidR="006B72DD">
        <w:t xml:space="preserve"> kan </w:t>
      </w:r>
      <w:r w:rsidRPr="00B30952">
        <w:t>zie</w:t>
      </w:r>
      <w:r w:rsidRPr="00B30952" w:rsidR="006B72DD">
        <w:t>n</w:t>
      </w:r>
      <w:r w:rsidRPr="00B30952">
        <w:t xml:space="preserve">. </w:t>
      </w:r>
      <w:r w:rsidRPr="00B30952">
        <w:br/>
      </w:r>
      <w:r w:rsidRPr="00B30952">
        <w:br/>
        <w:t>UMCNL gaat in haar brief ook in op de traumazorg. Zij geeft aan dat er in de eerste stap per 2027 geen onderscheid is tussen algemene centra en traumacentra. Het klopt dat er in de eerste stap geen onderscheid is in budget tussen de verschillende SEH’s. De eerste stap heeft een beperkte afbakening in de budgetbekostiging. De rest van de SEH-zorg, en dus ook de traumazorg, wordt per 2027 ingekocht op dezelfde manier zoals dat nu ook wordt gedaan. Daar verandert niets aan. Ik herken dan ook niet dat de financiering van de traumazorg aan de onderzijde wordt uitgehold en ook niet de gevolgen zoals UMCNL die schetst. Wel neem ik differentiatie in kwaliteitseisen en bijbehorende kosten voor verschillend aanbod van acute zorg in ziekenhuizen, en dus ook traumacentra, mee in de doorontwikkeling van budgetbekostiging. Hiermee wordt recht gedaan aan de verschillende (type) SEH’s.</w:t>
      </w:r>
    </w:p>
    <w:p w:rsidRPr="00B30952" w:rsidR="004C0D09" w:rsidP="00EC3ED9" w:rsidRDefault="004C0D09" w14:paraId="3A23830D" w14:textId="77777777">
      <w:pPr>
        <w:suppressAutoHyphens/>
      </w:pPr>
    </w:p>
    <w:p w:rsidRPr="00B30952" w:rsidR="004C0D09" w:rsidP="00EC3ED9" w:rsidRDefault="00000000" w14:paraId="7F676163" w14:textId="77777777">
      <w:pPr>
        <w:suppressAutoHyphens/>
      </w:pPr>
      <w:r w:rsidRPr="00B30952">
        <w:t>Samenvattend stelt UMCNL dat budgetbekostiging volgens hen op een viertal punten onvoldoende aansluit bij de doelen uit het Aanvullend Zorg en Welzijnsakkoord om de acute zorgketen te versterken. Op deze punten ben ik hierboven ingegaan. Aanvullend wil ik daaraan toevoegen dat ik ook zie dat de organisatie van de acute zorg een transitie nodig heeft, om de acute zorg juist in de toekomst toegankelijk te houden. Al in december 2023 schreef de NZa</w:t>
      </w:r>
      <w:r>
        <w:rPr>
          <w:rStyle w:val="Voetnootmarkering"/>
        </w:rPr>
        <w:footnoteReference w:id="4"/>
      </w:r>
      <w:r w:rsidRPr="00B30952">
        <w:t xml:space="preserve"> in haar advies over de bekostiging van de acute zorg dat de huidige bekostiging van ziekenhuizen de samenwerking in de acute zorgketen niet stimuleert. Volgens hen is er met de huidige productieprikkel geen stimulans om patiënten te verplaatsen naar de juiste plek. En schreven zij dat de huidige concurrentiële inkoop door zorgverzekeraars niet goed past bij de beschikbaarheidsfunctie van de SEH. Ik sluit mij daarbij aan en zie budgetbekostiging</w:t>
      </w:r>
      <w:r w:rsidRPr="00B30952" w:rsidR="00F451DB">
        <w:t xml:space="preserve"> net als de NZa aan deze huidige knelpunten tegemoet komen, en dus</w:t>
      </w:r>
      <w:r w:rsidRPr="00B30952">
        <w:t xml:space="preserve"> juist ter ondersteuning van de (ontwikkeling van) zorginhoudelijk beleid. In het AZWA is afgesproken dat in de regio afspraken worden gemaakt over de transformatie binnen het zorglandschap. Onderdeel daarvan is om op hoofdlijnen vast te leggen wie welke zorg levert. Dat landt in de regioplannen. Met budgetbekostiging wil ik deze regionale verantwoordelijkheid ondersteunen. In het groeipad wordt samen met veldpartijen uitgewerkt hoe dit het beste vorm kan worden geven. </w:t>
      </w:r>
    </w:p>
    <w:p w:rsidRPr="00B30952" w:rsidR="004C0D09" w:rsidP="00EC3ED9" w:rsidRDefault="00000000" w14:paraId="4CF90A2E" w14:textId="696B1175">
      <w:pPr>
        <w:suppressAutoHyphens/>
      </w:pPr>
      <w:r w:rsidRPr="00B30952">
        <w:lastRenderedPageBreak/>
        <w:t xml:space="preserve">Tot slot, ik begrijp dat een wijziging </w:t>
      </w:r>
      <w:r w:rsidRPr="00B30952" w:rsidR="00F451DB">
        <w:t xml:space="preserve">als deze </w:t>
      </w:r>
      <w:r w:rsidRPr="00B30952">
        <w:t xml:space="preserve">altijd spannend is. Daarom werkt </w:t>
      </w:r>
      <w:r w:rsidR="003B1810">
        <w:t>het</w:t>
      </w:r>
      <w:r w:rsidRPr="00B30952">
        <w:t xml:space="preserve"> ministerie</w:t>
      </w:r>
      <w:r w:rsidR="003B1810">
        <w:t xml:space="preserve"> van VWS</w:t>
      </w:r>
      <w:r w:rsidRPr="00B30952">
        <w:t xml:space="preserve"> met de</w:t>
      </w:r>
      <w:bookmarkStart w:name="_Hlk217475959" w:id="1"/>
      <w:bookmarkStart w:name="_Hlk217476055" w:id="2"/>
      <w:r w:rsidRPr="00B30952">
        <w:t xml:space="preserve"> </w:t>
      </w:r>
      <w:bookmarkStart w:name="_Hlk218517856" w:id="3"/>
      <w:proofErr w:type="spellStart"/>
      <w:r w:rsidRPr="00B30952">
        <w:t>NZa</w:t>
      </w:r>
      <w:proofErr w:type="spellEnd"/>
      <w:r w:rsidRPr="00B30952">
        <w:t xml:space="preserve">, UMCNL, Zorgverzekeraars Nederland (ZN), de Nederlandse Vereniging van Ziekenhuizen (NVZ), de Nederlandse Vereniging van Spoedeisende Hulp Artsen (NVSHA) en de Federatie Medisch Specialisten (FMS) intensief samen om de </w:t>
      </w:r>
      <w:bookmarkEnd w:id="1"/>
      <w:r w:rsidRPr="00B30952">
        <w:t xml:space="preserve">invoering van budgetbekostiging voor de SEH zo goed mogelijk te laten verlopen. </w:t>
      </w:r>
      <w:bookmarkEnd w:id="2"/>
    </w:p>
    <w:bookmarkEnd w:id="3"/>
    <w:p w:rsidR="00EC3ED9" w:rsidP="00EC3ED9" w:rsidRDefault="00EC3ED9" w14:paraId="609D2B63" w14:textId="77777777">
      <w:pPr>
        <w:suppressAutoHyphens/>
      </w:pPr>
    </w:p>
    <w:p w:rsidR="00EC3ED9" w:rsidP="00EC3ED9" w:rsidRDefault="00EC3ED9" w14:paraId="37197B3B" w14:textId="474C992D">
      <w:pPr>
        <w:suppressAutoHyphens/>
      </w:pPr>
      <w:r>
        <w:t>Hoogachtend,</w:t>
      </w:r>
    </w:p>
    <w:p w:rsidR="00EC3ED9" w:rsidP="00EC3ED9" w:rsidRDefault="00EC3ED9" w14:paraId="67994E96" w14:textId="77777777">
      <w:pPr>
        <w:suppressAutoHyphens/>
      </w:pPr>
    </w:p>
    <w:p w:rsidR="00EC3ED9" w:rsidP="00EC3ED9" w:rsidRDefault="00EC3ED9" w14:paraId="7F68CD9E" w14:textId="77777777">
      <w:pPr>
        <w:suppressAutoHyphens/>
      </w:pPr>
      <w:r>
        <w:t>de minister van Volksgezondheid,</w:t>
      </w:r>
    </w:p>
    <w:p w:rsidR="00EC3ED9" w:rsidP="00EC3ED9" w:rsidRDefault="00EC3ED9" w14:paraId="72A533A3" w14:textId="77777777">
      <w:pPr>
        <w:suppressAutoHyphens/>
      </w:pPr>
      <w:r>
        <w:t>Welzijn en Sport,</w:t>
      </w:r>
    </w:p>
    <w:p w:rsidR="00EC3ED9" w:rsidP="00EC3ED9" w:rsidRDefault="00EC3ED9" w14:paraId="46BADD30" w14:textId="77777777">
      <w:pPr>
        <w:suppressAutoHyphens/>
      </w:pPr>
    </w:p>
    <w:p w:rsidR="00EC3ED9" w:rsidP="00EC3ED9" w:rsidRDefault="00EC3ED9" w14:paraId="09C466B6" w14:textId="77777777">
      <w:pPr>
        <w:suppressAutoHyphens/>
      </w:pPr>
    </w:p>
    <w:p w:rsidR="00EC3ED9" w:rsidP="00EC3ED9" w:rsidRDefault="00EC3ED9" w14:paraId="4EA519A6" w14:textId="77777777">
      <w:pPr>
        <w:suppressAutoHyphens/>
      </w:pPr>
    </w:p>
    <w:p w:rsidR="00EC3ED9" w:rsidP="00EC3ED9" w:rsidRDefault="00EC3ED9" w14:paraId="2ED5E4B9" w14:textId="77777777">
      <w:pPr>
        <w:suppressAutoHyphens/>
      </w:pPr>
    </w:p>
    <w:p w:rsidR="00EC3ED9" w:rsidP="00EC3ED9" w:rsidRDefault="00EC3ED9" w14:paraId="5EB46ADE" w14:textId="77777777">
      <w:pPr>
        <w:suppressAutoHyphens/>
      </w:pPr>
    </w:p>
    <w:p w:rsidR="00EC3ED9" w:rsidP="00EC3ED9" w:rsidRDefault="00EC3ED9" w14:paraId="4A74A26F" w14:textId="77777777">
      <w:pPr>
        <w:suppressAutoHyphens/>
      </w:pPr>
    </w:p>
    <w:p w:rsidR="005212B5" w:rsidP="00EC3ED9" w:rsidRDefault="00EC3ED9" w14:paraId="58793D70" w14:textId="778869B7">
      <w:pPr>
        <w:suppressAutoHyphens/>
      </w:pPr>
      <w:r>
        <w:t>Jan Anthonie Bruijn</w:t>
      </w: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A63C5" w14:textId="77777777" w:rsidR="005708AC" w:rsidRDefault="005708AC">
      <w:pPr>
        <w:spacing w:line="240" w:lineRule="auto"/>
      </w:pPr>
      <w:r>
        <w:separator/>
      </w:r>
    </w:p>
  </w:endnote>
  <w:endnote w:type="continuationSeparator" w:id="0">
    <w:p w14:paraId="3E158842" w14:textId="77777777" w:rsidR="005708AC" w:rsidRDefault="005708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B0789" w14:textId="77777777" w:rsidR="005708AC" w:rsidRDefault="005708AC">
      <w:pPr>
        <w:spacing w:line="240" w:lineRule="auto"/>
      </w:pPr>
      <w:r>
        <w:separator/>
      </w:r>
    </w:p>
  </w:footnote>
  <w:footnote w:type="continuationSeparator" w:id="0">
    <w:p w14:paraId="18689A81" w14:textId="77777777" w:rsidR="005708AC" w:rsidRDefault="005708AC">
      <w:pPr>
        <w:spacing w:line="240" w:lineRule="auto"/>
      </w:pPr>
      <w:r>
        <w:continuationSeparator/>
      </w:r>
    </w:p>
  </w:footnote>
  <w:footnote w:id="1">
    <w:p w14:paraId="25E2E440" w14:textId="77777777" w:rsidR="004C0D09" w:rsidRPr="00BB547A" w:rsidRDefault="00000000" w:rsidP="004C0D09">
      <w:pPr>
        <w:pStyle w:val="Voetnoottekst"/>
        <w:rPr>
          <w:sz w:val="16"/>
          <w:szCs w:val="16"/>
        </w:rPr>
      </w:pPr>
      <w:r w:rsidRPr="00BB547A">
        <w:rPr>
          <w:rStyle w:val="Voetnootmarkering"/>
          <w:sz w:val="16"/>
          <w:szCs w:val="16"/>
        </w:rPr>
        <w:footnoteRef/>
      </w:r>
      <w:r w:rsidRPr="00BB547A">
        <w:rPr>
          <w:sz w:val="16"/>
          <w:szCs w:val="16"/>
        </w:rPr>
        <w:t xml:space="preserve"> Kamerstukken II 2025/26, 29247, nr. 463</w:t>
      </w:r>
    </w:p>
  </w:footnote>
  <w:footnote w:id="2">
    <w:p w14:paraId="0C5B2A91" w14:textId="77777777" w:rsidR="004C0D09" w:rsidRDefault="00000000" w:rsidP="004C0D09">
      <w:pPr>
        <w:pStyle w:val="Voetnoottekst"/>
      </w:pPr>
      <w:r w:rsidRPr="00BB547A">
        <w:rPr>
          <w:rStyle w:val="Voetnootmarkering"/>
          <w:sz w:val="16"/>
          <w:szCs w:val="16"/>
        </w:rPr>
        <w:footnoteRef/>
      </w:r>
      <w:r>
        <w:rPr>
          <w:sz w:val="16"/>
          <w:szCs w:val="16"/>
        </w:rPr>
        <w:t xml:space="preserve"> </w:t>
      </w:r>
      <w:hyperlink r:id="rId1" w:history="1">
        <w:r w:rsidR="004C0D09" w:rsidRPr="00BB547A">
          <w:rPr>
            <w:rStyle w:val="Hyperlink"/>
            <w:sz w:val="16"/>
            <w:szCs w:val="16"/>
          </w:rPr>
          <w:t>Rapport uitvoeringsadvies budgetbekostiging SEH en AV deel 1</w:t>
        </w:r>
      </w:hyperlink>
    </w:p>
  </w:footnote>
  <w:footnote w:id="3">
    <w:p w14:paraId="207CC2D0" w14:textId="77777777" w:rsidR="004C0D09" w:rsidRDefault="00000000" w:rsidP="004C0D09">
      <w:pPr>
        <w:pStyle w:val="Voetnoottekst"/>
      </w:pPr>
      <w:r w:rsidRPr="004269F6">
        <w:rPr>
          <w:rStyle w:val="Voetnootmarkering"/>
          <w:sz w:val="16"/>
          <w:szCs w:val="18"/>
        </w:rPr>
        <w:footnoteRef/>
      </w:r>
      <w:r>
        <w:t xml:space="preserve"> </w:t>
      </w:r>
      <w:r w:rsidRPr="00E25B00">
        <w:rPr>
          <w:sz w:val="16"/>
          <w:szCs w:val="16"/>
        </w:rPr>
        <w:t>Kamerstukken II 2025/26, 29247, nr. 46</w:t>
      </w:r>
      <w:r>
        <w:rPr>
          <w:sz w:val="16"/>
          <w:szCs w:val="16"/>
        </w:rPr>
        <w:t>9</w:t>
      </w:r>
    </w:p>
  </w:footnote>
  <w:footnote w:id="4">
    <w:p w14:paraId="6D4A59A3" w14:textId="77777777" w:rsidR="004C0D09" w:rsidRDefault="00000000" w:rsidP="004C0D09">
      <w:pPr>
        <w:pStyle w:val="Voetnoottekst"/>
      </w:pPr>
      <w:r w:rsidRPr="004269F6">
        <w:rPr>
          <w:rStyle w:val="Voetnootmarkering"/>
          <w:sz w:val="16"/>
          <w:szCs w:val="18"/>
        </w:rPr>
        <w:footnoteRef/>
      </w:r>
      <w:r w:rsidRPr="004269F6">
        <w:rPr>
          <w:sz w:val="16"/>
          <w:szCs w:val="18"/>
        </w:rPr>
        <w:t xml:space="preserve"> </w:t>
      </w:r>
      <w:hyperlink r:id="rId2" w:history="1">
        <w:r w:rsidR="004C0D09" w:rsidRPr="004269F6">
          <w:rPr>
            <w:rStyle w:val="Hyperlink"/>
            <w:sz w:val="16"/>
            <w:szCs w:val="18"/>
          </w:rPr>
          <w:t>Advies bekostiging acute zorg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DA7FB" w14:textId="072DE701" w:rsidR="00830438" w:rsidRDefault="00DF77B3">
    <w:pPr>
      <w:pStyle w:val="Koptekst"/>
    </w:pPr>
    <w:r>
      <w:rPr>
        <w:noProof/>
      </w:rPr>
      <mc:AlternateContent>
        <mc:Choice Requires="wps">
          <w:drawing>
            <wp:anchor distT="0" distB="0" distL="114300" distR="114300" simplePos="0" relativeHeight="251659264" behindDoc="0" locked="0" layoutInCell="1" allowOverlap="1" wp14:anchorId="29A689C4" wp14:editId="0E4EFC33">
              <wp:simplePos x="0" y="0"/>
              <wp:positionH relativeFrom="column">
                <wp:posOffset>4928870</wp:posOffset>
              </wp:positionH>
              <wp:positionV relativeFrom="paragraph">
                <wp:posOffset>9721215</wp:posOffset>
              </wp:positionV>
              <wp:extent cx="1263650" cy="342900"/>
              <wp:effectExtent l="0" t="0" r="0" b="0"/>
              <wp:wrapNone/>
              <wp:docPr id="1557188064"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9A2701"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A689C4"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1B9A2701"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25E2155D"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DCA10" w14:textId="02ECB4B3" w:rsidR="00830438" w:rsidRDefault="00DF77B3" w:rsidP="00536636">
    <w:pPr>
      <w:pStyle w:val="Koptekst"/>
    </w:pPr>
    <w:r>
      <w:rPr>
        <w:noProof/>
      </w:rPr>
      <mc:AlternateContent>
        <mc:Choice Requires="wps">
          <w:drawing>
            <wp:anchor distT="0" distB="0" distL="114300" distR="114300" simplePos="0" relativeHeight="251658240" behindDoc="0" locked="0" layoutInCell="1" allowOverlap="1" wp14:anchorId="74FFF041" wp14:editId="4EF4083C">
              <wp:simplePos x="0" y="0"/>
              <wp:positionH relativeFrom="column">
                <wp:posOffset>4928870</wp:posOffset>
              </wp:positionH>
              <wp:positionV relativeFrom="paragraph">
                <wp:posOffset>9721215</wp:posOffset>
              </wp:positionV>
              <wp:extent cx="1263650" cy="342900"/>
              <wp:effectExtent l="0" t="0" r="0" b="0"/>
              <wp:wrapNone/>
              <wp:docPr id="825899502"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AD9498"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FFF041"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6BAD9498"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19B0D577" wp14:editId="1A185B5C">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63BDA373" w14:textId="77777777" w:rsidR="00830438" w:rsidRDefault="00830438" w:rsidP="00536636">
    <w:pPr>
      <w:pStyle w:val="Koptekst"/>
    </w:pPr>
  </w:p>
  <w:p w14:paraId="7D34523C" w14:textId="4773FDB8" w:rsidR="00830438" w:rsidRPr="00536636" w:rsidRDefault="00DF77B3"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2FFA06C8" wp14:editId="3F309FEC">
              <wp:simplePos x="0" y="0"/>
              <wp:positionH relativeFrom="margin">
                <wp:posOffset>4928870</wp:posOffset>
              </wp:positionH>
              <wp:positionV relativeFrom="paragraph">
                <wp:posOffset>1136650</wp:posOffset>
              </wp:positionV>
              <wp:extent cx="1263650" cy="8035925"/>
              <wp:effectExtent l="0" t="0" r="0" b="0"/>
              <wp:wrapSquare wrapText="bothSides"/>
              <wp:docPr id="626451543"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78A32" w14:textId="77777777" w:rsidR="00830438" w:rsidRPr="006D7336" w:rsidRDefault="00000000" w:rsidP="00536636">
                          <w:pPr>
                            <w:pStyle w:val="Afzendgegevens"/>
                            <w:rPr>
                              <w:b/>
                            </w:rPr>
                          </w:pPr>
                          <w:r w:rsidRPr="006D7336">
                            <w:rPr>
                              <w:b/>
                            </w:rPr>
                            <w:t>Bezoekadres:</w:t>
                          </w:r>
                        </w:p>
                        <w:p w14:paraId="4ACD7E80" w14:textId="77777777" w:rsidR="00830438" w:rsidRDefault="00000000" w:rsidP="00536636">
                          <w:pPr>
                            <w:pStyle w:val="Afzendgegevens"/>
                          </w:pPr>
                          <w:r>
                            <w:t>Parnassusplein 5</w:t>
                          </w:r>
                        </w:p>
                        <w:p w14:paraId="487AC246"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287BE61A" w14:textId="77777777" w:rsidR="00830438" w:rsidRDefault="00000000" w:rsidP="00536636">
                          <w:pPr>
                            <w:pStyle w:val="Afzendgegevens"/>
                            <w:tabs>
                              <w:tab w:val="left" w:pos="170"/>
                            </w:tabs>
                          </w:pPr>
                          <w:r>
                            <w:t>T</w:t>
                          </w:r>
                          <w:r>
                            <w:tab/>
                            <w:t>070 340 79 11</w:t>
                          </w:r>
                        </w:p>
                        <w:p w14:paraId="343731C9" w14:textId="77777777" w:rsidR="00830438" w:rsidRDefault="00000000" w:rsidP="00536636">
                          <w:pPr>
                            <w:pStyle w:val="Afzendgegevens"/>
                            <w:tabs>
                              <w:tab w:val="left" w:pos="170"/>
                            </w:tabs>
                          </w:pPr>
                          <w:r>
                            <w:t>F</w:t>
                          </w:r>
                          <w:r>
                            <w:tab/>
                            <w:t>070 340 78 34</w:t>
                          </w:r>
                        </w:p>
                        <w:p w14:paraId="447DCAA7" w14:textId="77777777" w:rsidR="00830438" w:rsidRDefault="00000000" w:rsidP="00536636">
                          <w:pPr>
                            <w:pStyle w:val="Afzendgegevens"/>
                          </w:pPr>
                          <w:r>
                            <w:t>www.rijksoverheid.nl</w:t>
                          </w:r>
                        </w:p>
                        <w:p w14:paraId="28D45252" w14:textId="77777777" w:rsidR="00830438" w:rsidRDefault="00830438" w:rsidP="00536636">
                          <w:pPr>
                            <w:pStyle w:val="Afzendgegevenswitregel2"/>
                          </w:pPr>
                        </w:p>
                        <w:p w14:paraId="7466CB9C" w14:textId="77777777" w:rsidR="00830438" w:rsidRPr="006D7336" w:rsidRDefault="00000000" w:rsidP="00005041">
                          <w:pPr>
                            <w:pStyle w:val="Afzendgegevens"/>
                            <w:rPr>
                              <w:b/>
                            </w:rPr>
                          </w:pPr>
                          <w:r w:rsidRPr="006D7336">
                            <w:rPr>
                              <w:b/>
                            </w:rPr>
                            <w:t>Ons kenmerk</w:t>
                          </w:r>
                        </w:p>
                        <w:p w14:paraId="269E05E0" w14:textId="77777777" w:rsidR="00830438" w:rsidRDefault="00000000" w:rsidP="00005041">
                          <w:pPr>
                            <w:pStyle w:val="Afzendgegevens"/>
                          </w:pPr>
                          <w:r>
                            <w:t>4328945-1092773-PZO</w:t>
                          </w:r>
                        </w:p>
                        <w:p w14:paraId="175432ED" w14:textId="77777777" w:rsidR="0012322E" w:rsidRDefault="0012322E" w:rsidP="0012322E">
                          <w:pPr>
                            <w:pStyle w:val="Afzendgegevens"/>
                          </w:pPr>
                        </w:p>
                        <w:p w14:paraId="14326BB1" w14:textId="77777777" w:rsidR="0012322E" w:rsidRPr="001E7B11" w:rsidRDefault="00000000" w:rsidP="0012322E">
                          <w:pPr>
                            <w:pStyle w:val="Afzendgegevens"/>
                            <w:rPr>
                              <w:b/>
                            </w:rPr>
                          </w:pPr>
                          <w:r w:rsidRPr="001E7B11">
                            <w:rPr>
                              <w:b/>
                            </w:rPr>
                            <w:t>Bijlage</w:t>
                          </w:r>
                          <w:r>
                            <w:rPr>
                              <w:b/>
                            </w:rPr>
                            <w:t>(n)</w:t>
                          </w:r>
                        </w:p>
                        <w:p w14:paraId="6D5A249D" w14:textId="77777777" w:rsidR="0012322E" w:rsidRDefault="00000000" w:rsidP="0012322E">
                          <w:pPr>
                            <w:pStyle w:val="Afzendgegevens"/>
                          </w:pPr>
                          <w:r>
                            <w:t>-</w:t>
                          </w:r>
                        </w:p>
                        <w:p w14:paraId="363B8788" w14:textId="77777777" w:rsidR="0012322E" w:rsidRPr="0012322E" w:rsidRDefault="0012322E" w:rsidP="0012322E">
                          <w:pPr>
                            <w:pStyle w:val="Afzendgegevens"/>
                          </w:pPr>
                        </w:p>
                        <w:p w14:paraId="24CB46D9" w14:textId="77777777" w:rsidR="00830438" w:rsidRPr="0051346F" w:rsidRDefault="00000000" w:rsidP="00536636">
                          <w:pPr>
                            <w:pStyle w:val="Afzendgegevenskopjes"/>
                          </w:pPr>
                          <w:r>
                            <w:t>Uw</w:t>
                          </w:r>
                          <w:r w:rsidRPr="0051346F">
                            <w:t xml:space="preserve"> kenmerk</w:t>
                          </w:r>
                        </w:p>
                        <w:p w14:paraId="2569AF87" w14:textId="77777777" w:rsidR="00830438" w:rsidRDefault="00000000" w:rsidP="00384D72">
                          <w:pPr>
                            <w:pStyle w:val="Afzendgegevens"/>
                          </w:pPr>
                          <w:r>
                            <w:t>2025Z22402</w:t>
                          </w:r>
                        </w:p>
                        <w:p w14:paraId="627F8676" w14:textId="77777777" w:rsidR="00830438" w:rsidRDefault="00830438" w:rsidP="00384D72">
                          <w:pPr>
                            <w:pStyle w:val="Afzendgegevens"/>
                          </w:pPr>
                        </w:p>
                        <w:p w14:paraId="51565474" w14:textId="77777777" w:rsidR="0012322E" w:rsidRDefault="0012322E" w:rsidP="00384D72">
                          <w:pPr>
                            <w:pStyle w:val="Afzendgegevens"/>
                          </w:pPr>
                        </w:p>
                        <w:p w14:paraId="77F2BC15" w14:textId="77777777" w:rsidR="00830438" w:rsidRPr="00C45528" w:rsidRDefault="00000000" w:rsidP="00536636">
                          <w:pPr>
                            <w:pStyle w:val="Afzendgegevens"/>
                            <w:rPr>
                              <w:i/>
                            </w:rPr>
                          </w:pPr>
                          <w:bookmarkStart w:id="4" w:name="bmkUwBrief"/>
                          <w:bookmarkEnd w:id="4"/>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A06C8"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60878A32" w14:textId="77777777" w:rsidR="00830438" w:rsidRPr="006D7336" w:rsidRDefault="00000000" w:rsidP="00536636">
                    <w:pPr>
                      <w:pStyle w:val="Afzendgegevens"/>
                      <w:rPr>
                        <w:b/>
                      </w:rPr>
                    </w:pPr>
                    <w:r w:rsidRPr="006D7336">
                      <w:rPr>
                        <w:b/>
                      </w:rPr>
                      <w:t>Bezoekadres:</w:t>
                    </w:r>
                  </w:p>
                  <w:p w14:paraId="4ACD7E80" w14:textId="77777777" w:rsidR="00830438" w:rsidRDefault="00000000" w:rsidP="00536636">
                    <w:pPr>
                      <w:pStyle w:val="Afzendgegevens"/>
                    </w:pPr>
                    <w:r>
                      <w:t>Parnassusplein 5</w:t>
                    </w:r>
                  </w:p>
                  <w:p w14:paraId="487AC246"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287BE61A" w14:textId="77777777" w:rsidR="00830438" w:rsidRDefault="00000000" w:rsidP="00536636">
                    <w:pPr>
                      <w:pStyle w:val="Afzendgegevens"/>
                      <w:tabs>
                        <w:tab w:val="left" w:pos="170"/>
                      </w:tabs>
                    </w:pPr>
                    <w:r>
                      <w:t>T</w:t>
                    </w:r>
                    <w:r>
                      <w:tab/>
                      <w:t>070 340 79 11</w:t>
                    </w:r>
                  </w:p>
                  <w:p w14:paraId="343731C9" w14:textId="77777777" w:rsidR="00830438" w:rsidRDefault="00000000" w:rsidP="00536636">
                    <w:pPr>
                      <w:pStyle w:val="Afzendgegevens"/>
                      <w:tabs>
                        <w:tab w:val="left" w:pos="170"/>
                      </w:tabs>
                    </w:pPr>
                    <w:r>
                      <w:t>F</w:t>
                    </w:r>
                    <w:r>
                      <w:tab/>
                      <w:t>070 340 78 34</w:t>
                    </w:r>
                  </w:p>
                  <w:p w14:paraId="447DCAA7" w14:textId="77777777" w:rsidR="00830438" w:rsidRDefault="00000000" w:rsidP="00536636">
                    <w:pPr>
                      <w:pStyle w:val="Afzendgegevens"/>
                    </w:pPr>
                    <w:r>
                      <w:t>www.rijksoverheid.nl</w:t>
                    </w:r>
                  </w:p>
                  <w:p w14:paraId="28D45252" w14:textId="77777777" w:rsidR="00830438" w:rsidRDefault="00830438" w:rsidP="00536636">
                    <w:pPr>
                      <w:pStyle w:val="Afzendgegevenswitregel2"/>
                    </w:pPr>
                  </w:p>
                  <w:p w14:paraId="7466CB9C" w14:textId="77777777" w:rsidR="00830438" w:rsidRPr="006D7336" w:rsidRDefault="00000000" w:rsidP="00005041">
                    <w:pPr>
                      <w:pStyle w:val="Afzendgegevens"/>
                      <w:rPr>
                        <w:b/>
                      </w:rPr>
                    </w:pPr>
                    <w:r w:rsidRPr="006D7336">
                      <w:rPr>
                        <w:b/>
                      </w:rPr>
                      <w:t>Ons kenmerk</w:t>
                    </w:r>
                  </w:p>
                  <w:p w14:paraId="269E05E0" w14:textId="77777777" w:rsidR="00830438" w:rsidRDefault="00000000" w:rsidP="00005041">
                    <w:pPr>
                      <w:pStyle w:val="Afzendgegevens"/>
                    </w:pPr>
                    <w:r>
                      <w:t>4328945-1092773-PZO</w:t>
                    </w:r>
                  </w:p>
                  <w:p w14:paraId="175432ED" w14:textId="77777777" w:rsidR="0012322E" w:rsidRDefault="0012322E" w:rsidP="0012322E">
                    <w:pPr>
                      <w:pStyle w:val="Afzendgegevens"/>
                    </w:pPr>
                  </w:p>
                  <w:p w14:paraId="14326BB1" w14:textId="77777777" w:rsidR="0012322E" w:rsidRPr="001E7B11" w:rsidRDefault="00000000" w:rsidP="0012322E">
                    <w:pPr>
                      <w:pStyle w:val="Afzendgegevens"/>
                      <w:rPr>
                        <w:b/>
                      </w:rPr>
                    </w:pPr>
                    <w:r w:rsidRPr="001E7B11">
                      <w:rPr>
                        <w:b/>
                      </w:rPr>
                      <w:t>Bijlage</w:t>
                    </w:r>
                    <w:r>
                      <w:rPr>
                        <w:b/>
                      </w:rPr>
                      <w:t>(n)</w:t>
                    </w:r>
                  </w:p>
                  <w:p w14:paraId="6D5A249D" w14:textId="77777777" w:rsidR="0012322E" w:rsidRDefault="00000000" w:rsidP="0012322E">
                    <w:pPr>
                      <w:pStyle w:val="Afzendgegevens"/>
                    </w:pPr>
                    <w:r>
                      <w:t>-</w:t>
                    </w:r>
                  </w:p>
                  <w:p w14:paraId="363B8788" w14:textId="77777777" w:rsidR="0012322E" w:rsidRPr="0012322E" w:rsidRDefault="0012322E" w:rsidP="0012322E">
                    <w:pPr>
                      <w:pStyle w:val="Afzendgegevens"/>
                    </w:pPr>
                  </w:p>
                  <w:p w14:paraId="24CB46D9" w14:textId="77777777" w:rsidR="00830438" w:rsidRPr="0051346F" w:rsidRDefault="00000000" w:rsidP="00536636">
                    <w:pPr>
                      <w:pStyle w:val="Afzendgegevenskopjes"/>
                    </w:pPr>
                    <w:r>
                      <w:t>Uw</w:t>
                    </w:r>
                    <w:r w:rsidRPr="0051346F">
                      <w:t xml:space="preserve"> kenmerk</w:t>
                    </w:r>
                  </w:p>
                  <w:p w14:paraId="2569AF87" w14:textId="77777777" w:rsidR="00830438" w:rsidRDefault="00000000" w:rsidP="00384D72">
                    <w:pPr>
                      <w:pStyle w:val="Afzendgegevens"/>
                    </w:pPr>
                    <w:r>
                      <w:t>2025Z22402</w:t>
                    </w:r>
                  </w:p>
                  <w:p w14:paraId="627F8676" w14:textId="77777777" w:rsidR="00830438" w:rsidRDefault="00830438" w:rsidP="00384D72">
                    <w:pPr>
                      <w:pStyle w:val="Afzendgegevens"/>
                    </w:pPr>
                  </w:p>
                  <w:p w14:paraId="51565474" w14:textId="77777777" w:rsidR="0012322E" w:rsidRDefault="0012322E" w:rsidP="00384D72">
                    <w:pPr>
                      <w:pStyle w:val="Afzendgegevens"/>
                    </w:pPr>
                  </w:p>
                  <w:p w14:paraId="77F2BC15" w14:textId="77777777" w:rsidR="00830438" w:rsidRPr="00C45528" w:rsidRDefault="00000000" w:rsidP="00536636">
                    <w:pPr>
                      <w:pStyle w:val="Afzendgegevens"/>
                      <w:rPr>
                        <w:i/>
                      </w:rPr>
                    </w:pPr>
                    <w:bookmarkStart w:id="5" w:name="bmkUwBrief"/>
                    <w:bookmarkEnd w:id="5"/>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317997814">
    <w:abstractNumId w:val="9"/>
  </w:num>
  <w:num w:numId="2" w16cid:durableId="856887169">
    <w:abstractNumId w:val="12"/>
  </w:num>
  <w:num w:numId="3" w16cid:durableId="1547136443">
    <w:abstractNumId w:val="7"/>
  </w:num>
  <w:num w:numId="4" w16cid:durableId="205069641">
    <w:abstractNumId w:val="6"/>
  </w:num>
  <w:num w:numId="5" w16cid:durableId="1400204501">
    <w:abstractNumId w:val="5"/>
  </w:num>
  <w:num w:numId="6" w16cid:durableId="552813391">
    <w:abstractNumId w:val="4"/>
  </w:num>
  <w:num w:numId="7" w16cid:durableId="809133682">
    <w:abstractNumId w:val="8"/>
  </w:num>
  <w:num w:numId="8" w16cid:durableId="1621036239">
    <w:abstractNumId w:val="3"/>
  </w:num>
  <w:num w:numId="9" w16cid:durableId="764888946">
    <w:abstractNumId w:val="2"/>
  </w:num>
  <w:num w:numId="10" w16cid:durableId="198008270">
    <w:abstractNumId w:val="1"/>
  </w:num>
  <w:num w:numId="11" w16cid:durableId="1528181018">
    <w:abstractNumId w:val="0"/>
  </w:num>
  <w:num w:numId="12" w16cid:durableId="542980949">
    <w:abstractNumId w:val="13"/>
  </w:num>
  <w:num w:numId="13" w16cid:durableId="1052583585">
    <w:abstractNumId w:val="14"/>
  </w:num>
  <w:num w:numId="14" w16cid:durableId="122695367">
    <w:abstractNumId w:val="10"/>
  </w:num>
  <w:num w:numId="15" w16cid:durableId="685405304">
    <w:abstractNumId w:val="15"/>
  </w:num>
  <w:num w:numId="16" w16cid:durableId="1427849128">
    <w:abstractNumId w:val="15"/>
  </w:num>
  <w:num w:numId="17" w16cid:durableId="1177844037">
    <w:abstractNumId w:val="15"/>
  </w:num>
  <w:num w:numId="18" w16cid:durableId="1934196143">
    <w:abstractNumId w:val="11"/>
  </w:num>
  <w:num w:numId="19" w16cid:durableId="1025835055">
    <w:abstractNumId w:val="11"/>
  </w:num>
  <w:num w:numId="20" w16cid:durableId="1107505549">
    <w:abstractNumId w:val="11"/>
  </w:num>
  <w:num w:numId="21" w16cid:durableId="1300182955">
    <w:abstractNumId w:val="12"/>
  </w:num>
  <w:num w:numId="22" w16cid:durableId="706875044">
    <w:abstractNumId w:val="7"/>
  </w:num>
  <w:num w:numId="23" w16cid:durableId="1358579705">
    <w:abstractNumId w:val="6"/>
  </w:num>
  <w:num w:numId="24" w16cid:durableId="932473852">
    <w:abstractNumId w:val="10"/>
  </w:num>
  <w:num w:numId="25" w16cid:durableId="421606006">
    <w:abstractNumId w:val="12"/>
  </w:num>
  <w:num w:numId="26" w16cid:durableId="1310941808">
    <w:abstractNumId w:val="7"/>
  </w:num>
  <w:num w:numId="27" w16cid:durableId="2078627930">
    <w:abstractNumId w:val="6"/>
  </w:num>
  <w:num w:numId="28" w16cid:durableId="157352460">
    <w:abstractNumId w:val="16"/>
  </w:num>
  <w:num w:numId="29" w16cid:durableId="1575510350">
    <w:abstractNumId w:val="16"/>
  </w:num>
  <w:num w:numId="30" w16cid:durableId="946739537">
    <w:abstractNumId w:val="16"/>
  </w:num>
  <w:num w:numId="31" w16cid:durableId="8143802">
    <w:abstractNumId w:val="16"/>
  </w:num>
  <w:num w:numId="32" w16cid:durableId="965087440">
    <w:abstractNumId w:val="14"/>
  </w:num>
  <w:num w:numId="33" w16cid:durableId="1366102672">
    <w:abstractNumId w:val="14"/>
  </w:num>
  <w:num w:numId="34" w16cid:durableId="134416109">
    <w:abstractNumId w:val="14"/>
  </w:num>
  <w:num w:numId="35" w16cid:durableId="809401079">
    <w:abstractNumId w:val="11"/>
  </w:num>
  <w:num w:numId="36" w16cid:durableId="745617690">
    <w:abstractNumId w:val="11"/>
  </w:num>
  <w:num w:numId="37" w16cid:durableId="1192499907">
    <w:abstractNumId w:val="11"/>
  </w:num>
  <w:num w:numId="38" w16cid:durableId="346448831">
    <w:abstractNumId w:val="12"/>
  </w:num>
  <w:num w:numId="39" w16cid:durableId="1666743051">
    <w:abstractNumId w:val="7"/>
  </w:num>
  <w:num w:numId="40" w16cid:durableId="103817574">
    <w:abstractNumId w:val="6"/>
  </w:num>
  <w:num w:numId="41" w16cid:durableId="727610703">
    <w:abstractNumId w:val="5"/>
  </w:num>
  <w:num w:numId="42" w16cid:durableId="1029456126">
    <w:abstractNumId w:val="4"/>
  </w:num>
  <w:num w:numId="43" w16cid:durableId="1181699000">
    <w:abstractNumId w:val="16"/>
  </w:num>
  <w:num w:numId="44" w16cid:durableId="439957617">
    <w:abstractNumId w:val="16"/>
  </w:num>
  <w:num w:numId="45" w16cid:durableId="1330670894">
    <w:abstractNumId w:val="16"/>
  </w:num>
  <w:num w:numId="46" w16cid:durableId="1505053170">
    <w:abstractNumId w:val="16"/>
  </w:num>
  <w:num w:numId="47" w16cid:durableId="1973780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893"/>
    <w:rsid w:val="00011DBF"/>
    <w:rsid w:val="00024097"/>
    <w:rsid w:val="00033F0D"/>
    <w:rsid w:val="000364BD"/>
    <w:rsid w:val="000429AB"/>
    <w:rsid w:val="00044264"/>
    <w:rsid w:val="00053407"/>
    <w:rsid w:val="00054C93"/>
    <w:rsid w:val="00084E8C"/>
    <w:rsid w:val="000929C0"/>
    <w:rsid w:val="00093B1A"/>
    <w:rsid w:val="000A114B"/>
    <w:rsid w:val="000B186D"/>
    <w:rsid w:val="000C3852"/>
    <w:rsid w:val="000C5E29"/>
    <w:rsid w:val="000E4C38"/>
    <w:rsid w:val="000F262C"/>
    <w:rsid w:val="000F4685"/>
    <w:rsid w:val="00106D6E"/>
    <w:rsid w:val="00111ABC"/>
    <w:rsid w:val="0012322E"/>
    <w:rsid w:val="00126768"/>
    <w:rsid w:val="00132B19"/>
    <w:rsid w:val="00142461"/>
    <w:rsid w:val="00144715"/>
    <w:rsid w:val="001456A9"/>
    <w:rsid w:val="00160FE0"/>
    <w:rsid w:val="0017019F"/>
    <w:rsid w:val="001751C3"/>
    <w:rsid w:val="00195B45"/>
    <w:rsid w:val="001B69D3"/>
    <w:rsid w:val="001C1B88"/>
    <w:rsid w:val="001D5CE1"/>
    <w:rsid w:val="001E4AA7"/>
    <w:rsid w:val="001E7B11"/>
    <w:rsid w:val="001F4FDF"/>
    <w:rsid w:val="00207873"/>
    <w:rsid w:val="00213634"/>
    <w:rsid w:val="0022640B"/>
    <w:rsid w:val="002402CA"/>
    <w:rsid w:val="00261464"/>
    <w:rsid w:val="0026437C"/>
    <w:rsid w:val="00275778"/>
    <w:rsid w:val="0027737A"/>
    <w:rsid w:val="00282965"/>
    <w:rsid w:val="00283FB4"/>
    <w:rsid w:val="002937FB"/>
    <w:rsid w:val="002A1EAA"/>
    <w:rsid w:val="002C1A5D"/>
    <w:rsid w:val="002C728A"/>
    <w:rsid w:val="002F03F9"/>
    <w:rsid w:val="00305A22"/>
    <w:rsid w:val="00323A44"/>
    <w:rsid w:val="003502AE"/>
    <w:rsid w:val="003808CB"/>
    <w:rsid w:val="00384D72"/>
    <w:rsid w:val="00394359"/>
    <w:rsid w:val="00394BD1"/>
    <w:rsid w:val="00395A73"/>
    <w:rsid w:val="003B1810"/>
    <w:rsid w:val="003F281F"/>
    <w:rsid w:val="00423F87"/>
    <w:rsid w:val="004269F6"/>
    <w:rsid w:val="00442544"/>
    <w:rsid w:val="004542AB"/>
    <w:rsid w:val="00472D0A"/>
    <w:rsid w:val="0047594C"/>
    <w:rsid w:val="0048542D"/>
    <w:rsid w:val="00494227"/>
    <w:rsid w:val="004B4662"/>
    <w:rsid w:val="004B5A41"/>
    <w:rsid w:val="004C0D09"/>
    <w:rsid w:val="004C28CC"/>
    <w:rsid w:val="004D3EE4"/>
    <w:rsid w:val="004D506C"/>
    <w:rsid w:val="004D782C"/>
    <w:rsid w:val="004E2A1A"/>
    <w:rsid w:val="004F4498"/>
    <w:rsid w:val="0051346F"/>
    <w:rsid w:val="0051355E"/>
    <w:rsid w:val="00516263"/>
    <w:rsid w:val="00516695"/>
    <w:rsid w:val="005212B5"/>
    <w:rsid w:val="005352CF"/>
    <w:rsid w:val="00536636"/>
    <w:rsid w:val="00547739"/>
    <w:rsid w:val="00547FE6"/>
    <w:rsid w:val="005708AC"/>
    <w:rsid w:val="00581D53"/>
    <w:rsid w:val="00585FB9"/>
    <w:rsid w:val="00586002"/>
    <w:rsid w:val="005A668A"/>
    <w:rsid w:val="005C55B1"/>
    <w:rsid w:val="005C61EB"/>
    <w:rsid w:val="005F382B"/>
    <w:rsid w:val="006200EB"/>
    <w:rsid w:val="00630A0D"/>
    <w:rsid w:val="00635330"/>
    <w:rsid w:val="0065343A"/>
    <w:rsid w:val="00662198"/>
    <w:rsid w:val="00670F32"/>
    <w:rsid w:val="0067640E"/>
    <w:rsid w:val="00682AC0"/>
    <w:rsid w:val="006B72DD"/>
    <w:rsid w:val="006C0CC8"/>
    <w:rsid w:val="006D6512"/>
    <w:rsid w:val="006D7336"/>
    <w:rsid w:val="006E1A46"/>
    <w:rsid w:val="006F0AEE"/>
    <w:rsid w:val="00716EB8"/>
    <w:rsid w:val="007275B8"/>
    <w:rsid w:val="00730703"/>
    <w:rsid w:val="007539FC"/>
    <w:rsid w:val="00754BBC"/>
    <w:rsid w:val="0075628C"/>
    <w:rsid w:val="00756CC5"/>
    <w:rsid w:val="007605B0"/>
    <w:rsid w:val="00793857"/>
    <w:rsid w:val="007A5CB5"/>
    <w:rsid w:val="007A6B88"/>
    <w:rsid w:val="007B24EE"/>
    <w:rsid w:val="007B6116"/>
    <w:rsid w:val="007C0BC6"/>
    <w:rsid w:val="007C6FCF"/>
    <w:rsid w:val="007D6882"/>
    <w:rsid w:val="007E13A5"/>
    <w:rsid w:val="007E5B79"/>
    <w:rsid w:val="007F5AEE"/>
    <w:rsid w:val="007F63F2"/>
    <w:rsid w:val="00803C7D"/>
    <w:rsid w:val="00814714"/>
    <w:rsid w:val="00830438"/>
    <w:rsid w:val="008537C9"/>
    <w:rsid w:val="00861D19"/>
    <w:rsid w:val="008637B7"/>
    <w:rsid w:val="008729DD"/>
    <w:rsid w:val="00881A5B"/>
    <w:rsid w:val="00891202"/>
    <w:rsid w:val="009071A4"/>
    <w:rsid w:val="00907302"/>
    <w:rsid w:val="00920DD6"/>
    <w:rsid w:val="00931C5D"/>
    <w:rsid w:val="0093416E"/>
    <w:rsid w:val="009608D3"/>
    <w:rsid w:val="009615EB"/>
    <w:rsid w:val="00963E22"/>
    <w:rsid w:val="0096635E"/>
    <w:rsid w:val="0097481D"/>
    <w:rsid w:val="009932FB"/>
    <w:rsid w:val="009945B3"/>
    <w:rsid w:val="009B7B79"/>
    <w:rsid w:val="009D469E"/>
    <w:rsid w:val="009E49D6"/>
    <w:rsid w:val="009E59AE"/>
    <w:rsid w:val="00A0092D"/>
    <w:rsid w:val="00A11E19"/>
    <w:rsid w:val="00A420CE"/>
    <w:rsid w:val="00A46115"/>
    <w:rsid w:val="00A75276"/>
    <w:rsid w:val="00A902DB"/>
    <w:rsid w:val="00A95AF0"/>
    <w:rsid w:val="00A97BB8"/>
    <w:rsid w:val="00AA30BE"/>
    <w:rsid w:val="00AB0B6F"/>
    <w:rsid w:val="00AB33BE"/>
    <w:rsid w:val="00AB4A9A"/>
    <w:rsid w:val="00AB4AB7"/>
    <w:rsid w:val="00AB6116"/>
    <w:rsid w:val="00AC1B4F"/>
    <w:rsid w:val="00AC3430"/>
    <w:rsid w:val="00AE5E7A"/>
    <w:rsid w:val="00AE7E55"/>
    <w:rsid w:val="00AF35D8"/>
    <w:rsid w:val="00B02455"/>
    <w:rsid w:val="00B22445"/>
    <w:rsid w:val="00B30952"/>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B547A"/>
    <w:rsid w:val="00BD76E0"/>
    <w:rsid w:val="00BE1ECC"/>
    <w:rsid w:val="00BF0167"/>
    <w:rsid w:val="00BF0A88"/>
    <w:rsid w:val="00BF1E5F"/>
    <w:rsid w:val="00BF4D73"/>
    <w:rsid w:val="00C03573"/>
    <w:rsid w:val="00C04DE9"/>
    <w:rsid w:val="00C21323"/>
    <w:rsid w:val="00C2219A"/>
    <w:rsid w:val="00C45528"/>
    <w:rsid w:val="00C63101"/>
    <w:rsid w:val="00C638EB"/>
    <w:rsid w:val="00C70223"/>
    <w:rsid w:val="00C742D7"/>
    <w:rsid w:val="00C87B4D"/>
    <w:rsid w:val="00C9417E"/>
    <w:rsid w:val="00C94191"/>
    <w:rsid w:val="00CA481F"/>
    <w:rsid w:val="00CA76AB"/>
    <w:rsid w:val="00CB09AE"/>
    <w:rsid w:val="00CD04DD"/>
    <w:rsid w:val="00CE2051"/>
    <w:rsid w:val="00CE49B8"/>
    <w:rsid w:val="00CF6F68"/>
    <w:rsid w:val="00CF7932"/>
    <w:rsid w:val="00D057BA"/>
    <w:rsid w:val="00D10638"/>
    <w:rsid w:val="00D12650"/>
    <w:rsid w:val="00D376E1"/>
    <w:rsid w:val="00D744AD"/>
    <w:rsid w:val="00D77A4C"/>
    <w:rsid w:val="00D81FF9"/>
    <w:rsid w:val="00D87848"/>
    <w:rsid w:val="00D91799"/>
    <w:rsid w:val="00D972C6"/>
    <w:rsid w:val="00D97A0B"/>
    <w:rsid w:val="00DB211D"/>
    <w:rsid w:val="00DC7090"/>
    <w:rsid w:val="00DD127F"/>
    <w:rsid w:val="00DD536E"/>
    <w:rsid w:val="00DE3C6C"/>
    <w:rsid w:val="00DF77B3"/>
    <w:rsid w:val="00E00E6C"/>
    <w:rsid w:val="00E25B00"/>
    <w:rsid w:val="00E3247D"/>
    <w:rsid w:val="00E46900"/>
    <w:rsid w:val="00E57FE4"/>
    <w:rsid w:val="00E736D3"/>
    <w:rsid w:val="00EA4E14"/>
    <w:rsid w:val="00EB11C1"/>
    <w:rsid w:val="00EB2F0F"/>
    <w:rsid w:val="00EB49A6"/>
    <w:rsid w:val="00EC3ED9"/>
    <w:rsid w:val="00EE6EBB"/>
    <w:rsid w:val="00EF3250"/>
    <w:rsid w:val="00F01F8C"/>
    <w:rsid w:val="00F10705"/>
    <w:rsid w:val="00F15E23"/>
    <w:rsid w:val="00F306B5"/>
    <w:rsid w:val="00F3128D"/>
    <w:rsid w:val="00F32278"/>
    <w:rsid w:val="00F35583"/>
    <w:rsid w:val="00F36B68"/>
    <w:rsid w:val="00F451DB"/>
    <w:rsid w:val="00F46DEC"/>
    <w:rsid w:val="00F71053"/>
    <w:rsid w:val="00F86048"/>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821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customStyle="1" w:styleId="VoetnoottekstChar">
    <w:name w:val="Voetnoottekst Char"/>
    <w:link w:val="Voetnoottekst"/>
    <w:semiHidden/>
    <w:rsid w:val="004C0D09"/>
    <w:rPr>
      <w:rFonts w:ascii="Verdana" w:hAnsi="Verdana"/>
      <w:sz w:val="18"/>
    </w:rPr>
  </w:style>
  <w:style w:type="character" w:styleId="Voetnootmarkering">
    <w:name w:val="footnote reference"/>
    <w:semiHidden/>
    <w:unhideWhenUsed/>
    <w:rsid w:val="004C0D09"/>
    <w:rPr>
      <w:vertAlign w:val="superscript"/>
    </w:rPr>
  </w:style>
  <w:style w:type="character" w:styleId="Hyperlink">
    <w:name w:val="Hyperlink"/>
    <w:unhideWhenUsed/>
    <w:rsid w:val="004C0D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puc.overheid.nl/nza/doc/PUC_757202_22/1/" TargetMode="External"/><Relationship Id="rId1" Type="http://schemas.openxmlformats.org/officeDocument/2006/relationships/hyperlink" Target="file:///H:\Application%20Data\Microsoft%20Office\Outlook\SecureTempFolder\Rapport%20uitvoeringsadvies%20budgetbekostiging%20SEH%20en%20AV%20deel%201%20inclusief%20reacties%20-%20Nederlandse%20Zorgautorite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942</ap:Words>
  <ap:Characters>5182</ap:Characters>
  <ap:DocSecurity>0</ap:DocSecurity>
  <ap:Lines>43</ap:Lines>
  <ap:Paragraphs>12</ap:Paragraphs>
  <ap:ScaleCrop>false</ap:ScaleCrop>
  <ap:LinksUpToDate>false</ap:LinksUpToDate>
  <ap:CharactersWithSpaces>6112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2026-01-14T09:16:00.0000000Z</dcterms:created>
  <dcterms:modified xsi:type="dcterms:W3CDTF">2026-01-14T09:16:00.0000000Z</dcterms:modified>
  <dc:description>------------------------</dc:description>
  <dc:subject/>
  <dc:title/>
  <keywords/>
  <version/>
  <category/>
</coreProperties>
</file>