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71D10" w:rsidR="00A77F79" w:rsidP="00A77F79" w:rsidRDefault="00A77F79" w14:paraId="77A647F6" w14:textId="77777777">
      <w:pPr>
        <w:spacing w:after="0"/>
        <w:rPr>
          <w:rFonts w:ascii="Verdana" w:hAnsi="Verdana"/>
          <w:sz w:val="18"/>
          <w:szCs w:val="18"/>
        </w:rPr>
      </w:pPr>
      <w:r w:rsidRPr="00771D10">
        <w:rPr>
          <w:rFonts w:ascii="Verdana" w:hAnsi="Verdana"/>
          <w:b/>
          <w:bCs/>
          <w:i/>
          <w:iCs/>
          <w:sz w:val="18"/>
          <w:szCs w:val="18"/>
        </w:rPr>
        <w:t>2025Z17851</w:t>
      </w:r>
      <w:r w:rsidRPr="00771D10">
        <w:rPr>
          <w:rFonts w:ascii="Verdana" w:hAnsi="Verdana"/>
          <w:sz w:val="18"/>
          <w:szCs w:val="18"/>
        </w:rPr>
        <w:t xml:space="preserve"> </w:t>
      </w:r>
    </w:p>
    <w:p w:rsidRPr="00771D10" w:rsidR="00A77F79" w:rsidP="00A77F79" w:rsidRDefault="00A77F79" w14:paraId="1173CA71" w14:textId="77777777">
      <w:pPr>
        <w:spacing w:after="0"/>
        <w:rPr>
          <w:rFonts w:ascii="Verdana" w:hAnsi="Verdana"/>
          <w:sz w:val="18"/>
          <w:szCs w:val="18"/>
        </w:rPr>
      </w:pPr>
    </w:p>
    <w:p w:rsidRPr="00771D10" w:rsidR="00A77F79" w:rsidP="00A77F79" w:rsidRDefault="00A77F79" w14:paraId="3F5033FC" w14:textId="4C020A30">
      <w:pPr>
        <w:spacing w:after="0"/>
        <w:rPr>
          <w:rFonts w:ascii="Verdana" w:hAnsi="Verdana"/>
          <w:b/>
          <w:bCs/>
          <w:sz w:val="18"/>
          <w:szCs w:val="18"/>
        </w:rPr>
      </w:pPr>
      <w:r w:rsidRPr="00771D10">
        <w:rPr>
          <w:rFonts w:ascii="Verdana" w:hAnsi="Verdana"/>
          <w:b/>
          <w:bCs/>
          <w:sz w:val="18"/>
          <w:szCs w:val="18"/>
        </w:rPr>
        <w:t>Beantwoording vragen van het lid Inge van Dijk (CDA) aan de staatssecretaris van Financiën over het bericht dat spaarders en woningbeleggers de vermogenstaks eenvoudig kunnen ontwijken (ingezonden 25 september 2025)</w:t>
      </w:r>
    </w:p>
    <w:p w:rsidRPr="00771D10" w:rsidR="00A77F79" w:rsidP="00A77F79" w:rsidRDefault="00A77F79" w14:paraId="78631C06" w14:textId="77777777">
      <w:pPr>
        <w:spacing w:after="0"/>
        <w:rPr>
          <w:rFonts w:ascii="Verdana" w:hAnsi="Verdana"/>
          <w:sz w:val="18"/>
          <w:szCs w:val="18"/>
        </w:rPr>
      </w:pPr>
    </w:p>
    <w:p w:rsidRPr="00771D10" w:rsidR="00A77F79" w:rsidP="00A77F79" w:rsidRDefault="00A77F79" w14:paraId="37F25950" w14:textId="44256B6D">
      <w:pPr>
        <w:spacing w:after="0"/>
        <w:rPr>
          <w:rFonts w:ascii="Verdana" w:hAnsi="Verdana"/>
          <w:sz w:val="18"/>
          <w:szCs w:val="18"/>
        </w:rPr>
      </w:pPr>
      <w:r w:rsidRPr="00771D10">
        <w:rPr>
          <w:rFonts w:ascii="Verdana" w:hAnsi="Verdana"/>
          <w:b/>
          <w:bCs/>
          <w:sz w:val="18"/>
          <w:szCs w:val="18"/>
        </w:rPr>
        <w:t>Vraag 1</w:t>
      </w:r>
      <w:r w:rsidRPr="00771D10">
        <w:rPr>
          <w:rFonts w:ascii="Verdana" w:hAnsi="Verdana"/>
          <w:sz w:val="18"/>
          <w:szCs w:val="18"/>
        </w:rPr>
        <w:t xml:space="preserve"> </w:t>
      </w:r>
    </w:p>
    <w:p w:rsidRPr="00771D10" w:rsidR="00A77F79" w:rsidP="00A77F79" w:rsidRDefault="00A77F79" w14:paraId="60FC2559" w14:textId="77777777">
      <w:pPr>
        <w:spacing w:after="0"/>
        <w:rPr>
          <w:rFonts w:ascii="Verdana" w:hAnsi="Verdana"/>
          <w:sz w:val="18"/>
          <w:szCs w:val="18"/>
        </w:rPr>
      </w:pPr>
    </w:p>
    <w:p w:rsidRPr="00771D10" w:rsidR="00A77F79" w:rsidP="00A77F79" w:rsidRDefault="00A77F79" w14:paraId="3EDB3E54" w14:textId="5B9CD8BF">
      <w:pPr>
        <w:spacing w:after="0"/>
        <w:rPr>
          <w:rFonts w:ascii="Verdana" w:hAnsi="Verdana"/>
          <w:sz w:val="18"/>
          <w:szCs w:val="18"/>
        </w:rPr>
      </w:pPr>
      <w:r w:rsidRPr="00771D10">
        <w:rPr>
          <w:rFonts w:ascii="Verdana" w:hAnsi="Verdana"/>
          <w:sz w:val="18"/>
          <w:szCs w:val="18"/>
        </w:rPr>
        <w:t>Kunt u reageren op de in het geciteerde bericht beschreven ontwijkingsroutes en kunt u de constatering bevestigen dat deze scenario's daadwerkelijk kunnen worden als resultaat van de invoering van de nieuwe box 3-heffing?</w:t>
      </w:r>
      <w:r w:rsidR="004B2335">
        <w:rPr>
          <w:rStyle w:val="Voetnootmarkering"/>
          <w:rFonts w:ascii="Verdana" w:hAnsi="Verdana"/>
          <w:sz w:val="18"/>
          <w:szCs w:val="18"/>
        </w:rPr>
        <w:footnoteReference w:id="1"/>
      </w:r>
    </w:p>
    <w:p w:rsidRPr="00771D10" w:rsidR="00A77F79" w:rsidP="00A77F79" w:rsidRDefault="00A77F79" w14:paraId="5A96FC77" w14:textId="77777777">
      <w:pPr>
        <w:spacing w:after="0"/>
        <w:rPr>
          <w:rFonts w:ascii="Verdana" w:hAnsi="Verdana"/>
          <w:sz w:val="18"/>
          <w:szCs w:val="18"/>
        </w:rPr>
      </w:pPr>
    </w:p>
    <w:p w:rsidRPr="00771D10" w:rsidR="00A77F79" w:rsidP="00A77F79" w:rsidRDefault="00A77F79" w14:paraId="1F3459CF" w14:textId="7675D246">
      <w:pPr>
        <w:spacing w:after="0"/>
        <w:rPr>
          <w:rFonts w:ascii="Verdana" w:hAnsi="Verdana"/>
          <w:sz w:val="18"/>
          <w:szCs w:val="18"/>
        </w:rPr>
      </w:pPr>
      <w:r w:rsidRPr="00771D10">
        <w:rPr>
          <w:rFonts w:ascii="Verdana" w:hAnsi="Verdana"/>
          <w:b/>
          <w:bCs/>
          <w:sz w:val="18"/>
          <w:szCs w:val="18"/>
        </w:rPr>
        <w:t>Antwoord 1</w:t>
      </w:r>
    </w:p>
    <w:p w:rsidRPr="00771D10" w:rsidR="00A77F79" w:rsidP="00A77F79" w:rsidRDefault="00A77F79" w14:paraId="191B4261" w14:textId="77777777">
      <w:pPr>
        <w:spacing w:after="0"/>
        <w:rPr>
          <w:rFonts w:ascii="Verdana" w:hAnsi="Verdana"/>
          <w:sz w:val="18"/>
          <w:szCs w:val="18"/>
        </w:rPr>
      </w:pPr>
    </w:p>
    <w:p w:rsidR="0006240C" w:rsidP="00CB398B" w:rsidRDefault="0006240C" w14:paraId="0DEFED01" w14:textId="755514D0">
      <w:pPr>
        <w:spacing w:after="0"/>
        <w:rPr>
          <w:rFonts w:ascii="Verdana" w:hAnsi="Verdana"/>
          <w:sz w:val="18"/>
          <w:szCs w:val="18"/>
        </w:rPr>
      </w:pPr>
      <w:r>
        <w:rPr>
          <w:rFonts w:ascii="Verdana" w:hAnsi="Verdana"/>
          <w:sz w:val="18"/>
          <w:szCs w:val="18"/>
        </w:rPr>
        <w:t>In het geciteerde bericht worden twee</w:t>
      </w:r>
      <w:r w:rsidRPr="00CB398B" w:rsidR="00CB398B">
        <w:rPr>
          <w:rFonts w:ascii="Verdana" w:hAnsi="Verdana"/>
          <w:sz w:val="18"/>
          <w:szCs w:val="18"/>
        </w:rPr>
        <w:t xml:space="preserve"> </w:t>
      </w:r>
      <w:r w:rsidR="004205E3">
        <w:rPr>
          <w:rFonts w:ascii="Verdana" w:hAnsi="Verdana"/>
          <w:sz w:val="18"/>
          <w:szCs w:val="18"/>
        </w:rPr>
        <w:t>scenario’s</w:t>
      </w:r>
      <w:r w:rsidRPr="00CB398B" w:rsidR="00CB398B">
        <w:rPr>
          <w:rFonts w:ascii="Verdana" w:hAnsi="Verdana"/>
          <w:sz w:val="18"/>
          <w:szCs w:val="18"/>
        </w:rPr>
        <w:t xml:space="preserve"> in box 3 </w:t>
      </w:r>
      <w:r>
        <w:rPr>
          <w:rFonts w:ascii="Verdana" w:hAnsi="Verdana"/>
          <w:sz w:val="18"/>
          <w:szCs w:val="18"/>
        </w:rPr>
        <w:t>beschreven, namelijk de mogelijkheid om de huur van enkele jaren te cederen en</w:t>
      </w:r>
      <w:r w:rsidRPr="00CB398B" w:rsidR="00CB398B">
        <w:rPr>
          <w:rFonts w:ascii="Verdana" w:hAnsi="Verdana"/>
          <w:sz w:val="18"/>
          <w:szCs w:val="18"/>
        </w:rPr>
        <w:t xml:space="preserve"> de mogelijkheid om </w:t>
      </w:r>
      <w:r w:rsidR="004924D8">
        <w:rPr>
          <w:rFonts w:ascii="Verdana" w:hAnsi="Verdana"/>
          <w:sz w:val="18"/>
          <w:szCs w:val="18"/>
        </w:rPr>
        <w:t>een rentetermijn</w:t>
      </w:r>
      <w:r w:rsidRPr="00CB398B" w:rsidR="00CB398B">
        <w:rPr>
          <w:rFonts w:ascii="Verdana" w:hAnsi="Verdana"/>
          <w:sz w:val="18"/>
          <w:szCs w:val="18"/>
        </w:rPr>
        <w:t xml:space="preserve"> in </w:t>
      </w:r>
      <w:r w:rsidR="00D31DF9">
        <w:rPr>
          <w:rFonts w:ascii="Verdana" w:hAnsi="Verdana"/>
          <w:sz w:val="18"/>
          <w:szCs w:val="18"/>
        </w:rPr>
        <w:t>december</w:t>
      </w:r>
      <w:r w:rsidRPr="00CB398B" w:rsidR="00CB398B">
        <w:rPr>
          <w:rFonts w:ascii="Verdana" w:hAnsi="Verdana"/>
          <w:sz w:val="18"/>
          <w:szCs w:val="18"/>
        </w:rPr>
        <w:t xml:space="preserve"> te laten </w:t>
      </w:r>
      <w:r w:rsidR="00D31DF9">
        <w:rPr>
          <w:rFonts w:ascii="Verdana" w:hAnsi="Verdana"/>
          <w:sz w:val="18"/>
          <w:szCs w:val="18"/>
        </w:rPr>
        <w:t>uitbetalen in plaats van in januari</w:t>
      </w:r>
      <w:r w:rsidRPr="00CB398B" w:rsidR="00CB398B">
        <w:rPr>
          <w:rFonts w:ascii="Verdana" w:hAnsi="Verdana"/>
          <w:sz w:val="18"/>
          <w:szCs w:val="18"/>
        </w:rPr>
        <w:t>.</w:t>
      </w:r>
      <w:r>
        <w:rPr>
          <w:rFonts w:ascii="Verdana" w:hAnsi="Verdana"/>
          <w:sz w:val="18"/>
          <w:szCs w:val="18"/>
        </w:rPr>
        <w:t xml:space="preserve"> Hieronder wordt eerst ingegaan op de cessie van huurtermijnen en daarna op de rentebetaling.</w:t>
      </w:r>
    </w:p>
    <w:p w:rsidR="0006240C" w:rsidP="00CB398B" w:rsidRDefault="0006240C" w14:paraId="3C37417D" w14:textId="77777777">
      <w:pPr>
        <w:spacing w:after="0"/>
        <w:rPr>
          <w:rFonts w:ascii="Verdana" w:hAnsi="Verdana"/>
          <w:sz w:val="18"/>
          <w:szCs w:val="18"/>
        </w:rPr>
      </w:pPr>
    </w:p>
    <w:p w:rsidRPr="00C141D7" w:rsidR="00CB398B" w:rsidP="00CB398B" w:rsidRDefault="0006240C" w14:paraId="64255A76" w14:textId="41345539">
      <w:pPr>
        <w:spacing w:after="0"/>
        <w:rPr>
          <w:rFonts w:ascii="Verdana" w:hAnsi="Verdana"/>
          <w:i/>
          <w:iCs/>
          <w:sz w:val="18"/>
          <w:szCs w:val="18"/>
        </w:rPr>
      </w:pPr>
      <w:r w:rsidRPr="00C141D7">
        <w:rPr>
          <w:rFonts w:ascii="Verdana" w:hAnsi="Verdana"/>
          <w:i/>
          <w:iCs/>
          <w:sz w:val="18"/>
          <w:szCs w:val="18"/>
        </w:rPr>
        <w:t>Cessie van huurtermijnen</w:t>
      </w:r>
    </w:p>
    <w:p w:rsidRPr="00CB398B" w:rsidR="00363F4B" w:rsidP="00363F4B" w:rsidRDefault="00363F4B" w14:paraId="23438F2F" w14:textId="0B489297">
      <w:pPr>
        <w:spacing w:after="0"/>
        <w:rPr>
          <w:rFonts w:ascii="Verdana" w:hAnsi="Verdana"/>
          <w:sz w:val="18"/>
          <w:szCs w:val="18"/>
        </w:rPr>
      </w:pPr>
      <w:r>
        <w:rPr>
          <w:rFonts w:ascii="Verdana" w:hAnsi="Verdana"/>
          <w:sz w:val="18"/>
          <w:szCs w:val="18"/>
        </w:rPr>
        <w:t xml:space="preserve">In het geciteerde bericht wordt de indruk gewekt dat een belastingplichtige </w:t>
      </w:r>
      <w:r w:rsidR="003D6899">
        <w:rPr>
          <w:rFonts w:ascii="Verdana" w:hAnsi="Verdana"/>
          <w:sz w:val="18"/>
          <w:szCs w:val="18"/>
        </w:rPr>
        <w:t xml:space="preserve">in het huidige box 3-stelsel </w:t>
      </w:r>
      <w:r>
        <w:rPr>
          <w:rFonts w:ascii="Verdana" w:hAnsi="Verdana"/>
          <w:sz w:val="18"/>
          <w:szCs w:val="18"/>
        </w:rPr>
        <w:t xml:space="preserve">door middel van een cessie van huurtermijnen de inkomsten van meerdere toekomstige jaren in één jaar zou kunnen laten vallen. De belastingplichtige zou in dat jaar kunnen kiezen voor het (lagere) forfaitaire rendement en in de andere jaren voor het werkelijke rendement, omdat er in die andere jaren geen of minder inkomsten zouden zijn. </w:t>
      </w:r>
      <w:r w:rsidR="00F97C01">
        <w:rPr>
          <w:rFonts w:ascii="Verdana" w:hAnsi="Verdana"/>
          <w:sz w:val="18"/>
          <w:szCs w:val="18"/>
        </w:rPr>
        <w:t>De</w:t>
      </w:r>
      <w:r w:rsidR="00473F60">
        <w:rPr>
          <w:rFonts w:ascii="Verdana" w:hAnsi="Verdana"/>
          <w:sz w:val="18"/>
          <w:szCs w:val="18"/>
        </w:rPr>
        <w:t>ze</w:t>
      </w:r>
      <w:r w:rsidR="00F97C01">
        <w:rPr>
          <w:rFonts w:ascii="Verdana" w:hAnsi="Verdana"/>
          <w:sz w:val="18"/>
          <w:szCs w:val="18"/>
        </w:rPr>
        <w:t xml:space="preserve"> ontwijkingsroute is niet mogelijk. E</w:t>
      </w:r>
      <w:r>
        <w:rPr>
          <w:rFonts w:ascii="Verdana" w:hAnsi="Verdana"/>
          <w:sz w:val="18"/>
          <w:szCs w:val="18"/>
        </w:rPr>
        <w:t xml:space="preserve">en cessie van huurtermijnen </w:t>
      </w:r>
      <w:r w:rsidR="00F97C01">
        <w:rPr>
          <w:rFonts w:ascii="Verdana" w:hAnsi="Verdana"/>
          <w:sz w:val="18"/>
          <w:szCs w:val="18"/>
        </w:rPr>
        <w:t xml:space="preserve">leidt namelijk </w:t>
      </w:r>
      <w:r>
        <w:rPr>
          <w:rFonts w:ascii="Verdana" w:hAnsi="Verdana"/>
          <w:sz w:val="18"/>
          <w:szCs w:val="18"/>
        </w:rPr>
        <w:t>tot een jaarlijkse vermogensaanwas bij de verhuurder. Dit betekent dat</w:t>
      </w:r>
      <w:r w:rsidRPr="00CB398B">
        <w:rPr>
          <w:rFonts w:ascii="Verdana" w:hAnsi="Verdana"/>
          <w:sz w:val="18"/>
          <w:szCs w:val="18"/>
        </w:rPr>
        <w:t xml:space="preserve"> het </w:t>
      </w:r>
      <w:r>
        <w:rPr>
          <w:rFonts w:ascii="Verdana" w:hAnsi="Verdana"/>
          <w:sz w:val="18"/>
          <w:szCs w:val="18"/>
        </w:rPr>
        <w:t xml:space="preserve">rendement </w:t>
      </w:r>
      <w:r w:rsidRPr="00CB398B">
        <w:rPr>
          <w:rFonts w:ascii="Verdana" w:hAnsi="Verdana"/>
          <w:sz w:val="18"/>
          <w:szCs w:val="18"/>
        </w:rPr>
        <w:t xml:space="preserve">over </w:t>
      </w:r>
      <w:r>
        <w:rPr>
          <w:rFonts w:ascii="Verdana" w:hAnsi="Verdana"/>
          <w:sz w:val="18"/>
          <w:szCs w:val="18"/>
        </w:rPr>
        <w:t>de looptijd van de cessie wordt</w:t>
      </w:r>
      <w:r w:rsidRPr="00CB398B">
        <w:rPr>
          <w:rFonts w:ascii="Verdana" w:hAnsi="Verdana"/>
          <w:sz w:val="18"/>
          <w:szCs w:val="18"/>
        </w:rPr>
        <w:t xml:space="preserve"> verdeeld</w:t>
      </w:r>
      <w:r>
        <w:rPr>
          <w:rFonts w:ascii="Verdana" w:hAnsi="Verdana"/>
          <w:sz w:val="18"/>
          <w:szCs w:val="18"/>
        </w:rPr>
        <w:t xml:space="preserve">. </w:t>
      </w:r>
      <w:r w:rsidR="00F97C01">
        <w:rPr>
          <w:rFonts w:ascii="Verdana" w:hAnsi="Verdana"/>
          <w:sz w:val="18"/>
          <w:szCs w:val="18"/>
        </w:rPr>
        <w:t>Dit wordt hieronder nader toegelicht.</w:t>
      </w:r>
    </w:p>
    <w:p w:rsidR="00363F4B" w:rsidP="00EE50CF" w:rsidRDefault="00363F4B" w14:paraId="1EFE77B8" w14:textId="77777777">
      <w:pPr>
        <w:spacing w:after="0"/>
        <w:rPr>
          <w:rFonts w:ascii="Verdana" w:hAnsi="Verdana"/>
          <w:sz w:val="18"/>
          <w:szCs w:val="18"/>
        </w:rPr>
      </w:pPr>
    </w:p>
    <w:p w:rsidR="0050044A" w:rsidP="00EE50CF" w:rsidRDefault="005430D9" w14:paraId="1BC0D94A" w14:textId="2E17DFBF">
      <w:pPr>
        <w:spacing w:after="0"/>
        <w:rPr>
          <w:rFonts w:ascii="Verdana" w:hAnsi="Verdana"/>
          <w:sz w:val="18"/>
          <w:szCs w:val="18"/>
        </w:rPr>
      </w:pPr>
      <w:r w:rsidRPr="005430D9">
        <w:rPr>
          <w:rFonts w:ascii="Verdana" w:hAnsi="Verdana"/>
          <w:sz w:val="18"/>
          <w:szCs w:val="18"/>
        </w:rPr>
        <w:t xml:space="preserve">Een recht </w:t>
      </w:r>
      <w:r w:rsidR="00E36E08">
        <w:rPr>
          <w:rFonts w:ascii="Verdana" w:hAnsi="Verdana"/>
          <w:sz w:val="18"/>
          <w:szCs w:val="18"/>
        </w:rPr>
        <w:t xml:space="preserve">van een verhuurder </w:t>
      </w:r>
      <w:r w:rsidRPr="005430D9">
        <w:rPr>
          <w:rFonts w:ascii="Verdana" w:hAnsi="Verdana"/>
          <w:sz w:val="18"/>
          <w:szCs w:val="18"/>
        </w:rPr>
        <w:t xml:space="preserve">op toekomstige huurtermijnen is een toekomstige vordering van </w:t>
      </w:r>
      <w:r w:rsidR="00E36E08">
        <w:rPr>
          <w:rFonts w:ascii="Verdana" w:hAnsi="Verdana"/>
          <w:sz w:val="18"/>
          <w:szCs w:val="18"/>
        </w:rPr>
        <w:t>die</w:t>
      </w:r>
      <w:r w:rsidRPr="005430D9">
        <w:rPr>
          <w:rFonts w:ascii="Verdana" w:hAnsi="Verdana"/>
          <w:sz w:val="18"/>
          <w:szCs w:val="18"/>
        </w:rPr>
        <w:t xml:space="preserve"> verhuurder op een huurder die voortvloeit uit de huurovereenkomst. Het verkopen van een recht op toekomstige huurtermijnen vindt plaats door middel van een cessie. Dit is een juridische term voor het overdragen van een vordering. Toekomstige vorderingen kunnen bij voorbaat worden gecedeerd.</w:t>
      </w:r>
      <w:r>
        <w:rPr>
          <w:rFonts w:ascii="Verdana" w:hAnsi="Verdana"/>
          <w:sz w:val="18"/>
          <w:szCs w:val="18"/>
        </w:rPr>
        <w:t xml:space="preserve"> </w:t>
      </w:r>
      <w:proofErr w:type="gramStart"/>
      <w:r w:rsidRPr="00CF6E51" w:rsidR="00CF6E51">
        <w:rPr>
          <w:rFonts w:ascii="Verdana" w:hAnsi="Verdana"/>
          <w:sz w:val="18"/>
          <w:szCs w:val="18"/>
        </w:rPr>
        <w:t>Indien</w:t>
      </w:r>
      <w:proofErr w:type="gramEnd"/>
      <w:r w:rsidRPr="00CF6E51" w:rsidR="00CF6E51">
        <w:rPr>
          <w:rFonts w:ascii="Verdana" w:hAnsi="Verdana"/>
          <w:sz w:val="18"/>
          <w:szCs w:val="18"/>
        </w:rPr>
        <w:t xml:space="preserve"> de verhuurder deze toekomstige vordering cedeert, wordt het recht op huurtermijnen door de verhuurder overgedragen aan een nieuwe schuldeiser (de cessionaris). Na een zogenoemde openbare cessie betaalt de huurder de huurtermijnen voortaan aan de cessionaris. De verhuurder ontvangt na de cessie gedurende de overeengekomen periode (bijvoorbeeld een aantal jaren) geen huurtermijnen meer van de huurder. In ruil voor het overdragen van de toekomstige vordering betaalt de cessionaris een vergoeding (overdrachtsprijs) aan de verhuurder. Bij een zakelijke transactie </w:t>
      </w:r>
      <w:r w:rsidR="00C22454">
        <w:rPr>
          <w:rFonts w:ascii="Verdana" w:hAnsi="Verdana"/>
          <w:sz w:val="18"/>
          <w:szCs w:val="18"/>
        </w:rPr>
        <w:t xml:space="preserve">zal </w:t>
      </w:r>
      <w:r w:rsidRPr="00CF6E51" w:rsidR="00CF6E51">
        <w:rPr>
          <w:rFonts w:ascii="Verdana" w:hAnsi="Verdana"/>
          <w:sz w:val="18"/>
          <w:szCs w:val="18"/>
        </w:rPr>
        <w:t>de overdrachtsprijs gelijk</w:t>
      </w:r>
      <w:r w:rsidR="00C22454">
        <w:rPr>
          <w:rFonts w:ascii="Verdana" w:hAnsi="Verdana"/>
          <w:sz w:val="18"/>
          <w:szCs w:val="18"/>
        </w:rPr>
        <w:t xml:space="preserve"> zijn</w:t>
      </w:r>
      <w:r w:rsidRPr="00CF6E51" w:rsidR="00CF6E51">
        <w:rPr>
          <w:rFonts w:ascii="Verdana" w:hAnsi="Verdana"/>
          <w:sz w:val="18"/>
          <w:szCs w:val="18"/>
        </w:rPr>
        <w:t xml:space="preserve"> aan de contante waarde van de overgedragen toekomstige huurtermijnen. Een zogenoemde stille cessie is ook mogelijk. In dat geval betaalt de huurder na de cessie aan de verhuurder en heeft de verhuurder de verplichting om de door de huurder betaalde bedragen meteen door te betalen aan de </w:t>
      </w:r>
      <w:r w:rsidR="00B62D4C">
        <w:rPr>
          <w:rFonts w:ascii="Verdana" w:hAnsi="Verdana"/>
          <w:sz w:val="18"/>
          <w:szCs w:val="18"/>
        </w:rPr>
        <w:t>cessionaris</w:t>
      </w:r>
      <w:r w:rsidRPr="00CF6E51" w:rsidR="00CF6E51">
        <w:rPr>
          <w:rFonts w:ascii="Verdana" w:hAnsi="Verdana"/>
          <w:sz w:val="18"/>
          <w:szCs w:val="18"/>
        </w:rPr>
        <w:t xml:space="preserve">. De verhuurder mag de huurtermijnen niet zelf houden; hij heeft alleen nog maar een kassiersfunctie. Ook bij stille cessie betaalt </w:t>
      </w:r>
      <w:r w:rsidR="0035792D">
        <w:rPr>
          <w:rFonts w:ascii="Verdana" w:hAnsi="Verdana"/>
          <w:sz w:val="18"/>
          <w:szCs w:val="18"/>
        </w:rPr>
        <w:t xml:space="preserve">de </w:t>
      </w:r>
      <w:r w:rsidRPr="00CF6E51" w:rsidR="00CF6E51">
        <w:rPr>
          <w:rFonts w:ascii="Verdana" w:hAnsi="Verdana"/>
          <w:sz w:val="18"/>
          <w:szCs w:val="18"/>
        </w:rPr>
        <w:t xml:space="preserve">cessionaris in ruil voor het overdragen van de toekomstige vordering een overdrachtsprijs aan de verhuurder. Ook hier </w:t>
      </w:r>
      <w:r w:rsidR="00BA3F59">
        <w:rPr>
          <w:rFonts w:ascii="Verdana" w:hAnsi="Verdana"/>
          <w:sz w:val="18"/>
          <w:szCs w:val="18"/>
        </w:rPr>
        <w:t>zal</w:t>
      </w:r>
      <w:r w:rsidRPr="00CF6E51" w:rsidR="00CF6E51">
        <w:rPr>
          <w:rFonts w:ascii="Verdana" w:hAnsi="Verdana"/>
          <w:sz w:val="18"/>
          <w:szCs w:val="18"/>
        </w:rPr>
        <w:t xml:space="preserve"> bij een zakelijke transactie de overdrachtsprijs gelijk</w:t>
      </w:r>
      <w:r w:rsidR="00BA3F59">
        <w:rPr>
          <w:rFonts w:ascii="Verdana" w:hAnsi="Verdana"/>
          <w:sz w:val="18"/>
          <w:szCs w:val="18"/>
        </w:rPr>
        <w:t xml:space="preserve"> zijn</w:t>
      </w:r>
      <w:r w:rsidRPr="00CF6E51" w:rsidR="00CF6E51">
        <w:rPr>
          <w:rFonts w:ascii="Verdana" w:hAnsi="Verdana"/>
          <w:sz w:val="18"/>
          <w:szCs w:val="18"/>
        </w:rPr>
        <w:t xml:space="preserve"> aan de contante waarde van de overgedragen toekomstige huurtermijnen. Voor de fiscale gevolgen maakt het </w:t>
      </w:r>
      <w:proofErr w:type="gramStart"/>
      <w:r w:rsidRPr="00CF6E51" w:rsidR="00CF6E51">
        <w:rPr>
          <w:rFonts w:ascii="Verdana" w:hAnsi="Verdana"/>
          <w:sz w:val="18"/>
          <w:szCs w:val="18"/>
        </w:rPr>
        <w:t>derhalve</w:t>
      </w:r>
      <w:proofErr w:type="gramEnd"/>
      <w:r w:rsidRPr="00CF6E51" w:rsidR="00CF6E51">
        <w:rPr>
          <w:rFonts w:ascii="Verdana" w:hAnsi="Verdana"/>
          <w:sz w:val="18"/>
          <w:szCs w:val="18"/>
        </w:rPr>
        <w:t xml:space="preserve"> in beginsel geen verschil of sprake is van een openbare cessie of een stille cessie. </w:t>
      </w:r>
    </w:p>
    <w:p w:rsidR="0050044A" w:rsidP="00EE50CF" w:rsidRDefault="0050044A" w14:paraId="1B97EC4F" w14:textId="77777777">
      <w:pPr>
        <w:spacing w:after="0"/>
        <w:rPr>
          <w:rFonts w:ascii="Verdana" w:hAnsi="Verdana"/>
          <w:sz w:val="18"/>
          <w:szCs w:val="18"/>
        </w:rPr>
      </w:pPr>
    </w:p>
    <w:p w:rsidR="00C17E56" w:rsidP="00D012A0" w:rsidRDefault="00F119EE" w14:paraId="596A954D" w14:textId="0FDF54E5">
      <w:pPr>
        <w:spacing w:after="0"/>
        <w:rPr>
          <w:rFonts w:ascii="Verdana" w:hAnsi="Verdana"/>
          <w:sz w:val="18"/>
          <w:szCs w:val="18"/>
        </w:rPr>
      </w:pPr>
      <w:r w:rsidRPr="00F119EE">
        <w:rPr>
          <w:rFonts w:ascii="Verdana" w:hAnsi="Verdana"/>
          <w:sz w:val="18"/>
          <w:szCs w:val="18"/>
        </w:rPr>
        <w:t>D</w:t>
      </w:r>
      <w:r>
        <w:rPr>
          <w:rFonts w:ascii="Verdana" w:hAnsi="Verdana"/>
          <w:sz w:val="18"/>
          <w:szCs w:val="18"/>
        </w:rPr>
        <w:t xml:space="preserve">e gevolgen van een cessie van huurtermijnen voor </w:t>
      </w:r>
      <w:r w:rsidR="00BC7EFB">
        <w:rPr>
          <w:rFonts w:ascii="Verdana" w:hAnsi="Verdana"/>
          <w:sz w:val="18"/>
          <w:szCs w:val="18"/>
        </w:rPr>
        <w:t xml:space="preserve">het forfaitaire </w:t>
      </w:r>
      <w:r>
        <w:rPr>
          <w:rFonts w:ascii="Verdana" w:hAnsi="Verdana"/>
          <w:sz w:val="18"/>
          <w:szCs w:val="18"/>
        </w:rPr>
        <w:t>box 3</w:t>
      </w:r>
      <w:r w:rsidR="00BC7EFB">
        <w:rPr>
          <w:rFonts w:ascii="Verdana" w:hAnsi="Verdana"/>
          <w:sz w:val="18"/>
          <w:szCs w:val="18"/>
        </w:rPr>
        <w:t xml:space="preserve">-stelsel </w:t>
      </w:r>
      <w:r>
        <w:rPr>
          <w:rFonts w:ascii="Verdana" w:hAnsi="Verdana"/>
          <w:sz w:val="18"/>
          <w:szCs w:val="18"/>
        </w:rPr>
        <w:t xml:space="preserve">komen </w:t>
      </w:r>
      <w:r w:rsidRPr="00F119EE">
        <w:rPr>
          <w:rFonts w:ascii="Verdana" w:hAnsi="Verdana"/>
          <w:sz w:val="18"/>
          <w:szCs w:val="18"/>
        </w:rPr>
        <w:t>aan de orde in een arrest van de Hoge Raad uit 2009</w:t>
      </w:r>
      <w:r w:rsidRPr="00F119EE">
        <w:rPr>
          <w:rFonts w:ascii="Verdana" w:hAnsi="Verdana"/>
          <w:sz w:val="18"/>
          <w:szCs w:val="18"/>
          <w:vertAlign w:val="superscript"/>
        </w:rPr>
        <w:footnoteReference w:id="2"/>
      </w:r>
      <w:r w:rsidRPr="00F119EE">
        <w:rPr>
          <w:rFonts w:ascii="Verdana" w:hAnsi="Verdana"/>
          <w:sz w:val="18"/>
          <w:szCs w:val="18"/>
        </w:rPr>
        <w:t xml:space="preserve"> </w:t>
      </w:r>
      <w:r>
        <w:rPr>
          <w:rFonts w:ascii="Verdana" w:hAnsi="Verdana"/>
          <w:sz w:val="18"/>
          <w:szCs w:val="18"/>
        </w:rPr>
        <w:t>en in de bij dit arrest horende conclusie</w:t>
      </w:r>
      <w:r w:rsidRPr="00F119EE">
        <w:rPr>
          <w:rFonts w:ascii="Verdana" w:hAnsi="Verdana"/>
          <w:sz w:val="18"/>
          <w:szCs w:val="18"/>
        </w:rPr>
        <w:t>.</w:t>
      </w:r>
      <w:r w:rsidRPr="00F119EE">
        <w:rPr>
          <w:rFonts w:ascii="Verdana" w:hAnsi="Verdana"/>
          <w:sz w:val="18"/>
          <w:szCs w:val="18"/>
          <w:vertAlign w:val="superscript"/>
        </w:rPr>
        <w:footnoteReference w:id="3"/>
      </w:r>
      <w:r w:rsidRPr="00F119EE">
        <w:rPr>
          <w:rFonts w:ascii="Verdana" w:hAnsi="Verdana"/>
          <w:sz w:val="18"/>
          <w:szCs w:val="18"/>
        </w:rPr>
        <w:t xml:space="preserve"> De Hoge Raad wijdt één overweging aan box 3, waaruit blijkt dat een cessie van huurtermijnen bij de verhuurder </w:t>
      </w:r>
      <w:r>
        <w:rPr>
          <w:rFonts w:ascii="Verdana" w:hAnsi="Verdana"/>
          <w:sz w:val="18"/>
          <w:szCs w:val="18"/>
        </w:rPr>
        <w:t xml:space="preserve">leidt tot een verlaging van </w:t>
      </w:r>
      <w:r w:rsidRPr="00F119EE">
        <w:rPr>
          <w:rFonts w:ascii="Verdana" w:hAnsi="Verdana"/>
          <w:sz w:val="18"/>
          <w:szCs w:val="18"/>
        </w:rPr>
        <w:t>de grondslag voor de</w:t>
      </w:r>
      <w:r>
        <w:rPr>
          <w:rFonts w:ascii="Verdana" w:hAnsi="Verdana"/>
          <w:sz w:val="18"/>
          <w:szCs w:val="18"/>
        </w:rPr>
        <w:t xml:space="preserve"> box 3-</w:t>
      </w:r>
      <w:r w:rsidRPr="00F119EE">
        <w:rPr>
          <w:rFonts w:ascii="Verdana" w:hAnsi="Verdana"/>
          <w:sz w:val="18"/>
          <w:szCs w:val="18"/>
        </w:rPr>
        <w:t xml:space="preserve">heffing </w:t>
      </w:r>
      <w:r w:rsidR="0021611F">
        <w:rPr>
          <w:rFonts w:ascii="Verdana" w:hAnsi="Verdana"/>
          <w:sz w:val="18"/>
          <w:szCs w:val="18"/>
        </w:rPr>
        <w:t>ter grootte van</w:t>
      </w:r>
      <w:r w:rsidRPr="00F119EE">
        <w:rPr>
          <w:rFonts w:ascii="Verdana" w:hAnsi="Verdana"/>
          <w:sz w:val="18"/>
          <w:szCs w:val="18"/>
        </w:rPr>
        <w:t xml:space="preserve"> de contante waarde van de overgedragen huurtermijnen.</w:t>
      </w:r>
      <w:r w:rsidRPr="00F119EE">
        <w:rPr>
          <w:rFonts w:ascii="Verdana" w:hAnsi="Verdana"/>
          <w:sz w:val="18"/>
          <w:szCs w:val="18"/>
          <w:vertAlign w:val="superscript"/>
        </w:rPr>
        <w:footnoteReference w:id="4"/>
      </w:r>
      <w:r w:rsidRPr="00F119EE">
        <w:rPr>
          <w:rFonts w:ascii="Verdana" w:hAnsi="Verdana"/>
          <w:sz w:val="18"/>
          <w:szCs w:val="18"/>
        </w:rPr>
        <w:t xml:space="preserve"> In de conclusie</w:t>
      </w:r>
      <w:r w:rsidR="00BA3F59">
        <w:rPr>
          <w:rFonts w:ascii="Verdana" w:hAnsi="Verdana"/>
          <w:sz w:val="18"/>
          <w:szCs w:val="18"/>
        </w:rPr>
        <w:t xml:space="preserve"> van de Advocaat-Generaal</w:t>
      </w:r>
      <w:r w:rsidRPr="00F119EE">
        <w:rPr>
          <w:rFonts w:ascii="Verdana" w:hAnsi="Verdana"/>
          <w:sz w:val="18"/>
          <w:szCs w:val="18"/>
        </w:rPr>
        <w:t xml:space="preserve"> bij het arrest </w:t>
      </w:r>
      <w:r w:rsidRPr="00F119EE">
        <w:rPr>
          <w:rFonts w:ascii="Verdana" w:hAnsi="Verdana"/>
          <w:sz w:val="18"/>
          <w:szCs w:val="18"/>
        </w:rPr>
        <w:lastRenderedPageBreak/>
        <w:t>wordt uitgebreid</w:t>
      </w:r>
      <w:r w:rsidR="00DE32B2">
        <w:rPr>
          <w:rFonts w:ascii="Verdana" w:hAnsi="Verdana"/>
          <w:sz w:val="18"/>
          <w:szCs w:val="18"/>
        </w:rPr>
        <w:t>er</w:t>
      </w:r>
      <w:r w:rsidRPr="00F119EE">
        <w:rPr>
          <w:rFonts w:ascii="Verdana" w:hAnsi="Verdana"/>
          <w:sz w:val="18"/>
          <w:szCs w:val="18"/>
        </w:rPr>
        <w:t xml:space="preserve"> op </w:t>
      </w:r>
      <w:r w:rsidR="00DE32B2">
        <w:rPr>
          <w:rFonts w:ascii="Verdana" w:hAnsi="Verdana"/>
          <w:sz w:val="18"/>
          <w:szCs w:val="18"/>
        </w:rPr>
        <w:t xml:space="preserve">box 3 </w:t>
      </w:r>
      <w:r w:rsidRPr="00F119EE">
        <w:rPr>
          <w:rFonts w:ascii="Verdana" w:hAnsi="Verdana"/>
          <w:sz w:val="18"/>
          <w:szCs w:val="18"/>
        </w:rPr>
        <w:t>ingegaan.</w:t>
      </w:r>
      <w:r>
        <w:rPr>
          <w:rStyle w:val="Voetnootmarkering"/>
          <w:rFonts w:ascii="Verdana" w:hAnsi="Verdana"/>
          <w:sz w:val="18"/>
          <w:szCs w:val="18"/>
        </w:rPr>
        <w:footnoteReference w:id="5"/>
      </w:r>
      <w:r w:rsidR="0065652F">
        <w:rPr>
          <w:rFonts w:ascii="Verdana" w:hAnsi="Verdana"/>
          <w:sz w:val="18"/>
          <w:szCs w:val="18"/>
        </w:rPr>
        <w:t xml:space="preserve"> Volgens de conclusie wordt de verlaging van de grondslag van de box 3-heffing veroorzaakt doordat d</w:t>
      </w:r>
      <w:r w:rsidRPr="0065652F" w:rsidR="0065652F">
        <w:rPr>
          <w:rFonts w:ascii="Verdana" w:hAnsi="Verdana"/>
          <w:sz w:val="18"/>
          <w:szCs w:val="18"/>
        </w:rPr>
        <w:t>e cessie van de huurtermijnen de waarde in het economische verkeer</w:t>
      </w:r>
      <w:r w:rsidR="0065652F">
        <w:rPr>
          <w:rFonts w:ascii="Verdana" w:hAnsi="Verdana"/>
          <w:sz w:val="18"/>
          <w:szCs w:val="18"/>
        </w:rPr>
        <w:t xml:space="preserve"> van de onroerende zaken verlaagt</w:t>
      </w:r>
      <w:r w:rsidRPr="0065652F" w:rsidR="0065652F">
        <w:rPr>
          <w:rFonts w:ascii="Verdana" w:hAnsi="Verdana"/>
          <w:sz w:val="18"/>
          <w:szCs w:val="18"/>
        </w:rPr>
        <w:t xml:space="preserve">, hetzij als </w:t>
      </w:r>
      <w:proofErr w:type="spellStart"/>
      <w:r w:rsidRPr="0065652F" w:rsidR="0065652F">
        <w:rPr>
          <w:rFonts w:ascii="Verdana" w:hAnsi="Verdana"/>
          <w:sz w:val="18"/>
          <w:szCs w:val="18"/>
        </w:rPr>
        <w:t>waardedrukkend</w:t>
      </w:r>
      <w:proofErr w:type="spellEnd"/>
      <w:r w:rsidRPr="0065652F" w:rsidR="0065652F">
        <w:rPr>
          <w:rFonts w:ascii="Verdana" w:hAnsi="Verdana"/>
          <w:sz w:val="18"/>
          <w:szCs w:val="18"/>
        </w:rPr>
        <w:t xml:space="preserve"> 'genotsrecht'</w:t>
      </w:r>
      <w:r w:rsidR="00063D57">
        <w:rPr>
          <w:rFonts w:ascii="Verdana" w:hAnsi="Verdana"/>
          <w:sz w:val="18"/>
          <w:szCs w:val="18"/>
        </w:rPr>
        <w:t>,</w:t>
      </w:r>
      <w:r w:rsidR="0065652F">
        <w:rPr>
          <w:rStyle w:val="Voetnootmarkering"/>
          <w:rFonts w:ascii="Verdana" w:hAnsi="Verdana"/>
          <w:sz w:val="18"/>
          <w:szCs w:val="18"/>
        </w:rPr>
        <w:footnoteReference w:id="6"/>
      </w:r>
      <w:r w:rsidRPr="0065652F" w:rsidR="0065652F">
        <w:rPr>
          <w:rFonts w:ascii="Verdana" w:hAnsi="Verdana"/>
          <w:sz w:val="18"/>
          <w:szCs w:val="18"/>
        </w:rPr>
        <w:t xml:space="preserve"> hetzij als met de bezitting samenhangende schuld</w:t>
      </w:r>
      <w:r w:rsidR="00063D57">
        <w:rPr>
          <w:rFonts w:ascii="Verdana" w:hAnsi="Verdana"/>
          <w:sz w:val="18"/>
          <w:szCs w:val="18"/>
        </w:rPr>
        <w:t>,</w:t>
      </w:r>
      <w:r w:rsidR="0065652F">
        <w:rPr>
          <w:rStyle w:val="Voetnootmarkering"/>
          <w:rFonts w:ascii="Verdana" w:hAnsi="Verdana"/>
          <w:sz w:val="18"/>
          <w:szCs w:val="18"/>
        </w:rPr>
        <w:footnoteReference w:id="7"/>
      </w:r>
      <w:r w:rsidRPr="0065652F" w:rsidR="0065652F">
        <w:rPr>
          <w:rFonts w:ascii="Verdana" w:hAnsi="Verdana"/>
          <w:sz w:val="18"/>
          <w:szCs w:val="18"/>
        </w:rPr>
        <w:t xml:space="preserve"> hetzij als reguliere schuld</w:t>
      </w:r>
      <w:r w:rsidR="0065652F">
        <w:rPr>
          <w:rFonts w:ascii="Verdana" w:hAnsi="Verdana"/>
          <w:sz w:val="18"/>
          <w:szCs w:val="18"/>
        </w:rPr>
        <w:t>.</w:t>
      </w:r>
      <w:r w:rsidR="0065652F">
        <w:rPr>
          <w:rStyle w:val="Voetnootmarkering"/>
          <w:rFonts w:ascii="Verdana" w:hAnsi="Verdana"/>
          <w:sz w:val="18"/>
          <w:szCs w:val="18"/>
        </w:rPr>
        <w:footnoteReference w:id="8"/>
      </w:r>
      <w:r w:rsidR="00371AF1">
        <w:rPr>
          <w:rFonts w:ascii="Verdana" w:hAnsi="Verdana"/>
          <w:sz w:val="18"/>
          <w:szCs w:val="18"/>
        </w:rPr>
        <w:t xml:space="preserve"> Gelet op de ruime definitie van genotsrechten die </w:t>
      </w:r>
      <w:r w:rsidR="00236512">
        <w:rPr>
          <w:rFonts w:ascii="Verdana" w:hAnsi="Verdana"/>
          <w:sz w:val="18"/>
          <w:szCs w:val="18"/>
        </w:rPr>
        <w:t>voor</w:t>
      </w:r>
      <w:r w:rsidR="00371AF1">
        <w:rPr>
          <w:rFonts w:ascii="Verdana" w:hAnsi="Verdana"/>
          <w:sz w:val="18"/>
          <w:szCs w:val="18"/>
        </w:rPr>
        <w:t xml:space="preserve"> de inkomstenbelasting wordt gehanteerd, gaat de </w:t>
      </w:r>
      <w:r w:rsidR="00BA3F59">
        <w:rPr>
          <w:rFonts w:ascii="Verdana" w:hAnsi="Verdana"/>
          <w:sz w:val="18"/>
          <w:szCs w:val="18"/>
        </w:rPr>
        <w:t>Advocaat</w:t>
      </w:r>
      <w:r w:rsidR="00371AF1">
        <w:rPr>
          <w:rFonts w:ascii="Verdana" w:hAnsi="Verdana"/>
          <w:sz w:val="18"/>
          <w:szCs w:val="18"/>
        </w:rPr>
        <w:t>-Generaal er in de conclusie van</w:t>
      </w:r>
      <w:r w:rsidR="00236512">
        <w:rPr>
          <w:rFonts w:ascii="Verdana" w:hAnsi="Verdana"/>
          <w:sz w:val="18"/>
          <w:szCs w:val="18"/>
        </w:rPr>
        <w:t xml:space="preserve"> </w:t>
      </w:r>
      <w:r w:rsidR="00371AF1">
        <w:rPr>
          <w:rFonts w:ascii="Verdana" w:hAnsi="Verdana"/>
          <w:sz w:val="18"/>
          <w:szCs w:val="18"/>
        </w:rPr>
        <w:t xml:space="preserve">uit dat er sprake is van een </w:t>
      </w:r>
      <w:proofErr w:type="spellStart"/>
      <w:r w:rsidRPr="00371AF1" w:rsidR="00371AF1">
        <w:rPr>
          <w:rFonts w:ascii="Verdana" w:hAnsi="Verdana"/>
          <w:sz w:val="18"/>
          <w:szCs w:val="18"/>
        </w:rPr>
        <w:t>waardedrukkend</w:t>
      </w:r>
      <w:proofErr w:type="spellEnd"/>
      <w:r w:rsidRPr="00371AF1" w:rsidR="00371AF1">
        <w:rPr>
          <w:rFonts w:ascii="Verdana" w:hAnsi="Verdana"/>
          <w:sz w:val="18"/>
          <w:szCs w:val="18"/>
        </w:rPr>
        <w:t xml:space="preserve"> persoonlijk genotsrecht</w:t>
      </w:r>
      <w:r w:rsidR="00371AF1">
        <w:rPr>
          <w:rFonts w:ascii="Verdana" w:hAnsi="Verdana"/>
          <w:sz w:val="18"/>
          <w:szCs w:val="18"/>
        </w:rPr>
        <w:t>.</w:t>
      </w:r>
      <w:r w:rsidR="00977F07">
        <w:rPr>
          <w:rStyle w:val="Voetnootmarkering"/>
          <w:rFonts w:ascii="Verdana" w:hAnsi="Verdana"/>
          <w:sz w:val="18"/>
          <w:szCs w:val="18"/>
        </w:rPr>
        <w:footnoteReference w:id="9"/>
      </w:r>
      <w:r w:rsidR="00371AF1">
        <w:rPr>
          <w:rFonts w:ascii="Verdana" w:hAnsi="Verdana"/>
          <w:sz w:val="18"/>
          <w:szCs w:val="18"/>
        </w:rPr>
        <w:t xml:space="preserve"> De definitie van een genotsrecht voor de inkomstenbelasting is “</w:t>
      </w:r>
      <w:r w:rsidR="007C3ED6">
        <w:rPr>
          <w:rFonts w:ascii="Verdana" w:hAnsi="Verdana"/>
          <w:sz w:val="18"/>
          <w:szCs w:val="18"/>
        </w:rPr>
        <w:t>elke gerechtigdheid tot voordelen uit goederen”.</w:t>
      </w:r>
      <w:r w:rsidR="007C3ED6">
        <w:rPr>
          <w:rStyle w:val="Voetnootmarkering"/>
          <w:rFonts w:ascii="Verdana" w:hAnsi="Verdana"/>
          <w:sz w:val="18"/>
          <w:szCs w:val="18"/>
        </w:rPr>
        <w:footnoteReference w:id="10"/>
      </w:r>
      <w:r w:rsidR="00BC7EFB">
        <w:rPr>
          <w:rFonts w:ascii="Verdana" w:hAnsi="Verdana"/>
          <w:sz w:val="18"/>
          <w:szCs w:val="18"/>
        </w:rPr>
        <w:t xml:space="preserve"> </w:t>
      </w:r>
      <w:r w:rsidR="00C431AB">
        <w:rPr>
          <w:rFonts w:ascii="Verdana" w:hAnsi="Verdana"/>
          <w:sz w:val="18"/>
          <w:szCs w:val="18"/>
        </w:rPr>
        <w:t xml:space="preserve">Deze definitie is van toepassing bij een cessie van toekomstige huurtermijnen, aangezien het recht op toekomstige huurtermijnen een gerechtigdheid tot voordelen is </w:t>
      </w:r>
      <w:r w:rsidR="00693275">
        <w:rPr>
          <w:rFonts w:ascii="Verdana" w:hAnsi="Verdana"/>
          <w:sz w:val="18"/>
          <w:szCs w:val="18"/>
        </w:rPr>
        <w:t>(</w:t>
      </w:r>
      <w:r w:rsidR="00C431AB">
        <w:rPr>
          <w:rFonts w:ascii="Verdana" w:hAnsi="Verdana"/>
          <w:sz w:val="18"/>
          <w:szCs w:val="18"/>
        </w:rPr>
        <w:t xml:space="preserve">en </w:t>
      </w:r>
      <w:r w:rsidR="00693275">
        <w:rPr>
          <w:rFonts w:ascii="Verdana" w:hAnsi="Verdana"/>
          <w:sz w:val="18"/>
          <w:szCs w:val="18"/>
        </w:rPr>
        <w:t xml:space="preserve">uiteraard </w:t>
      </w:r>
      <w:r w:rsidR="00C431AB">
        <w:rPr>
          <w:rFonts w:ascii="Verdana" w:hAnsi="Verdana"/>
          <w:sz w:val="18"/>
          <w:szCs w:val="18"/>
        </w:rPr>
        <w:t>een onroerende zaak een goed</w:t>
      </w:r>
      <w:r w:rsidR="00BA3F59">
        <w:rPr>
          <w:rFonts w:ascii="Verdana" w:hAnsi="Verdana"/>
          <w:sz w:val="18"/>
          <w:szCs w:val="18"/>
        </w:rPr>
        <w:t xml:space="preserve"> is</w:t>
      </w:r>
      <w:r w:rsidR="00693275">
        <w:rPr>
          <w:rFonts w:ascii="Verdana" w:hAnsi="Verdana"/>
          <w:sz w:val="18"/>
          <w:szCs w:val="18"/>
        </w:rPr>
        <w:t>)</w:t>
      </w:r>
      <w:r w:rsidR="00C431AB">
        <w:rPr>
          <w:rFonts w:ascii="Verdana" w:hAnsi="Verdana"/>
          <w:sz w:val="18"/>
          <w:szCs w:val="18"/>
        </w:rPr>
        <w:t xml:space="preserve">. </w:t>
      </w:r>
      <w:r w:rsidR="00D012A0">
        <w:rPr>
          <w:rFonts w:ascii="Verdana" w:hAnsi="Verdana"/>
          <w:sz w:val="18"/>
          <w:szCs w:val="18"/>
        </w:rPr>
        <w:t>Volgens de parlementaire geschiedenis is d</w:t>
      </w:r>
      <w:r w:rsidR="00693275">
        <w:rPr>
          <w:rFonts w:ascii="Verdana" w:hAnsi="Verdana"/>
          <w:sz w:val="18"/>
          <w:szCs w:val="18"/>
        </w:rPr>
        <w:t xml:space="preserve">e definitie van een genotsrecht </w:t>
      </w:r>
      <w:r w:rsidRPr="00D012A0" w:rsidR="00D012A0">
        <w:rPr>
          <w:rFonts w:ascii="Verdana" w:hAnsi="Verdana"/>
          <w:sz w:val="18"/>
          <w:szCs w:val="18"/>
        </w:rPr>
        <w:t>een ruime, materieel geformuleerde</w:t>
      </w:r>
      <w:r w:rsidR="00693275">
        <w:rPr>
          <w:rFonts w:ascii="Verdana" w:hAnsi="Verdana"/>
          <w:sz w:val="18"/>
          <w:szCs w:val="18"/>
        </w:rPr>
        <w:t xml:space="preserve"> </w:t>
      </w:r>
      <w:r w:rsidRPr="00D012A0" w:rsidR="00D012A0">
        <w:rPr>
          <w:rFonts w:ascii="Verdana" w:hAnsi="Verdana"/>
          <w:sz w:val="18"/>
          <w:szCs w:val="18"/>
        </w:rPr>
        <w:t>omschrijving die niet beperkt is tot bijvoorbeeld het recht van vruchtgebruik</w:t>
      </w:r>
      <w:r w:rsidR="00D012A0">
        <w:rPr>
          <w:rFonts w:ascii="Verdana" w:hAnsi="Verdana"/>
          <w:sz w:val="18"/>
          <w:szCs w:val="18"/>
        </w:rPr>
        <w:t xml:space="preserve"> </w:t>
      </w:r>
      <w:r w:rsidRPr="00D012A0" w:rsidR="00D012A0">
        <w:rPr>
          <w:rFonts w:ascii="Verdana" w:hAnsi="Verdana"/>
          <w:sz w:val="18"/>
          <w:szCs w:val="18"/>
        </w:rPr>
        <w:t>of andere beperkte zakelijke rechten uit het Burgerlijk Wetboek.</w:t>
      </w:r>
      <w:r w:rsidR="00D012A0">
        <w:rPr>
          <w:rStyle w:val="Voetnootmarkering"/>
          <w:rFonts w:ascii="Verdana" w:hAnsi="Verdana"/>
          <w:sz w:val="18"/>
          <w:szCs w:val="18"/>
        </w:rPr>
        <w:footnoteReference w:id="11"/>
      </w:r>
      <w:r w:rsidR="00D012A0">
        <w:rPr>
          <w:rFonts w:ascii="Verdana" w:hAnsi="Verdana"/>
          <w:sz w:val="18"/>
          <w:szCs w:val="18"/>
        </w:rPr>
        <w:t xml:space="preserve"> </w:t>
      </w:r>
      <w:r w:rsidR="00BC7EFB">
        <w:rPr>
          <w:rFonts w:ascii="Verdana" w:hAnsi="Verdana"/>
          <w:sz w:val="18"/>
          <w:szCs w:val="18"/>
        </w:rPr>
        <w:t>Deze definitie geldt niet alleen voor het forfaitaire systeem, maar ook voor het bepalen van het werkelijke rendement in box 3.</w:t>
      </w:r>
      <w:r w:rsidR="00B24A3E">
        <w:rPr>
          <w:rFonts w:ascii="Verdana" w:hAnsi="Verdana"/>
          <w:sz w:val="18"/>
          <w:szCs w:val="18"/>
        </w:rPr>
        <w:t xml:space="preserve"> </w:t>
      </w:r>
      <w:r w:rsidR="00E92BA0">
        <w:rPr>
          <w:rFonts w:ascii="Verdana" w:hAnsi="Verdana"/>
          <w:sz w:val="18"/>
          <w:szCs w:val="18"/>
        </w:rPr>
        <w:t>D</w:t>
      </w:r>
      <w:r w:rsidR="0071300F">
        <w:rPr>
          <w:rFonts w:ascii="Verdana" w:hAnsi="Verdana"/>
          <w:sz w:val="18"/>
          <w:szCs w:val="18"/>
        </w:rPr>
        <w:t xml:space="preserve">e verkoop van toekomstige huurtermijnen </w:t>
      </w:r>
      <w:r w:rsidR="00E92BA0">
        <w:rPr>
          <w:rFonts w:ascii="Verdana" w:hAnsi="Verdana"/>
          <w:sz w:val="18"/>
          <w:szCs w:val="18"/>
        </w:rPr>
        <w:t xml:space="preserve">leidt </w:t>
      </w:r>
      <w:r w:rsidR="008215BF">
        <w:rPr>
          <w:rFonts w:ascii="Verdana" w:hAnsi="Verdana"/>
          <w:sz w:val="18"/>
          <w:szCs w:val="18"/>
        </w:rPr>
        <w:t xml:space="preserve">in box 3 </w:t>
      </w:r>
      <w:r w:rsidR="00E92BA0">
        <w:rPr>
          <w:rFonts w:ascii="Verdana" w:hAnsi="Verdana"/>
          <w:sz w:val="18"/>
          <w:szCs w:val="18"/>
        </w:rPr>
        <w:t xml:space="preserve">dus </w:t>
      </w:r>
      <w:r w:rsidR="0071300F">
        <w:rPr>
          <w:rFonts w:ascii="Verdana" w:hAnsi="Verdana"/>
          <w:sz w:val="18"/>
          <w:szCs w:val="18"/>
        </w:rPr>
        <w:t>zo</w:t>
      </w:r>
      <w:r w:rsidR="00B24A3E">
        <w:rPr>
          <w:rFonts w:ascii="Verdana" w:hAnsi="Verdana"/>
          <w:sz w:val="18"/>
          <w:szCs w:val="18"/>
        </w:rPr>
        <w:t xml:space="preserve">wel bij het bepalen van het forfaitaire rendement als bij het bepalen van het werkelijke rendement tot de vestiging van een genotsrecht op de onroerende zaak. </w:t>
      </w:r>
      <w:r w:rsidR="00C17E56">
        <w:rPr>
          <w:rFonts w:ascii="Verdana" w:hAnsi="Verdana"/>
          <w:sz w:val="18"/>
          <w:szCs w:val="18"/>
        </w:rPr>
        <w:t>Hierna wordt nader toegelicht wat de precieze gevolgen zijn van de vestiging van dit genotsrecht voor het bepalen van het werkelijke rendement van de verhuurder.</w:t>
      </w:r>
      <w:r w:rsidR="00A17E2E">
        <w:rPr>
          <w:rFonts w:ascii="Verdana" w:hAnsi="Verdana"/>
          <w:sz w:val="18"/>
          <w:szCs w:val="18"/>
        </w:rPr>
        <w:t xml:space="preserve"> Voor de volledigheid wordt ook ingegaan op het werkelijke rendement van de cessionaris. Hierbij wordt ervan uitgegaan dat zowel de verhuurder als de cessionaris box 3-belastingplichtigen zijn. </w:t>
      </w:r>
    </w:p>
    <w:p w:rsidR="00C17E56" w:rsidP="00D012A0" w:rsidRDefault="00C17E56" w14:paraId="214D3288" w14:textId="77777777">
      <w:pPr>
        <w:spacing w:after="0"/>
        <w:rPr>
          <w:rFonts w:ascii="Verdana" w:hAnsi="Verdana"/>
          <w:sz w:val="18"/>
          <w:szCs w:val="18"/>
        </w:rPr>
      </w:pPr>
    </w:p>
    <w:p w:rsidR="00DD69AD" w:rsidP="00DD69AD" w:rsidRDefault="005C5A7A" w14:paraId="2B1B351B" w14:textId="4E612333">
      <w:pPr>
        <w:spacing w:after="0"/>
        <w:rPr>
          <w:rFonts w:ascii="Verdana" w:hAnsi="Verdana"/>
          <w:sz w:val="18"/>
          <w:szCs w:val="18"/>
        </w:rPr>
      </w:pPr>
      <w:r>
        <w:rPr>
          <w:rFonts w:ascii="Verdana" w:hAnsi="Verdana"/>
          <w:sz w:val="18"/>
          <w:szCs w:val="18"/>
        </w:rPr>
        <w:t xml:space="preserve">Een recht op toekomstige huurtermijnen </w:t>
      </w:r>
      <w:r w:rsidR="00B24A3E">
        <w:rPr>
          <w:rFonts w:ascii="Verdana" w:hAnsi="Verdana"/>
          <w:sz w:val="18"/>
          <w:szCs w:val="18"/>
        </w:rPr>
        <w:t>is een bezitting in box 3.</w:t>
      </w:r>
      <w:r w:rsidR="00B24A3E">
        <w:rPr>
          <w:rStyle w:val="Voetnootmarkering"/>
          <w:rFonts w:ascii="Verdana" w:hAnsi="Verdana"/>
          <w:sz w:val="18"/>
          <w:szCs w:val="18"/>
        </w:rPr>
        <w:footnoteReference w:id="12"/>
      </w:r>
      <w:r w:rsidR="00B24A3E">
        <w:rPr>
          <w:rFonts w:ascii="Verdana" w:hAnsi="Verdana"/>
          <w:sz w:val="18"/>
          <w:szCs w:val="18"/>
        </w:rPr>
        <w:t xml:space="preserve"> </w:t>
      </w:r>
      <w:r>
        <w:rPr>
          <w:rFonts w:ascii="Verdana" w:hAnsi="Verdana"/>
          <w:sz w:val="18"/>
          <w:szCs w:val="18"/>
        </w:rPr>
        <w:t xml:space="preserve">De verkoop van een recht op toekomstige huurtermijnen </w:t>
      </w:r>
      <w:r w:rsidR="00E86506">
        <w:rPr>
          <w:rFonts w:ascii="Verdana" w:hAnsi="Verdana"/>
          <w:sz w:val="18"/>
          <w:szCs w:val="18"/>
        </w:rPr>
        <w:t>is dus de verkoop van een bezitting.</w:t>
      </w:r>
      <w:r w:rsidRPr="00E86506" w:rsidR="00E86506">
        <w:rPr>
          <w:rFonts w:ascii="Verdana" w:hAnsi="Verdana"/>
          <w:sz w:val="18"/>
          <w:szCs w:val="18"/>
        </w:rPr>
        <w:t xml:space="preserve"> </w:t>
      </w:r>
      <w:r w:rsidR="00C7156A">
        <w:rPr>
          <w:rFonts w:ascii="Verdana" w:hAnsi="Verdana"/>
          <w:sz w:val="18"/>
          <w:szCs w:val="18"/>
        </w:rPr>
        <w:t xml:space="preserve">Als gevolg van deze verkoop ontstaat een genotsrecht op de onroerende zaak, </w:t>
      </w:r>
      <w:r w:rsidR="00BA3F59">
        <w:rPr>
          <w:rFonts w:ascii="Verdana" w:hAnsi="Verdana"/>
          <w:sz w:val="18"/>
          <w:szCs w:val="18"/>
        </w:rPr>
        <w:t xml:space="preserve">dit leidt tot een waardedaling van de onroerende zaak en dus ook </w:t>
      </w:r>
      <w:r w:rsidR="0068663D">
        <w:rPr>
          <w:rFonts w:ascii="Verdana" w:hAnsi="Verdana"/>
          <w:sz w:val="18"/>
          <w:szCs w:val="18"/>
        </w:rPr>
        <w:t xml:space="preserve">tot </w:t>
      </w:r>
      <w:r w:rsidR="00BA3F59">
        <w:rPr>
          <w:rFonts w:ascii="Verdana" w:hAnsi="Verdana"/>
          <w:sz w:val="18"/>
          <w:szCs w:val="18"/>
        </w:rPr>
        <w:t xml:space="preserve">een waardedaling van </w:t>
      </w:r>
      <w:r w:rsidR="00C7156A">
        <w:rPr>
          <w:rFonts w:ascii="Verdana" w:hAnsi="Verdana"/>
          <w:sz w:val="18"/>
          <w:szCs w:val="18"/>
        </w:rPr>
        <w:t>het box 3-vermogen van de verhuurder.</w:t>
      </w:r>
      <w:r w:rsidR="00FB7AE3">
        <w:rPr>
          <w:rStyle w:val="Voetnootmarkering"/>
          <w:rFonts w:ascii="Verdana" w:hAnsi="Verdana"/>
          <w:sz w:val="18"/>
          <w:szCs w:val="18"/>
        </w:rPr>
        <w:footnoteReference w:id="13"/>
      </w:r>
      <w:r w:rsidR="00C7156A">
        <w:rPr>
          <w:rFonts w:ascii="Verdana" w:hAnsi="Verdana"/>
          <w:sz w:val="18"/>
          <w:szCs w:val="18"/>
        </w:rPr>
        <w:t xml:space="preserve"> </w:t>
      </w:r>
      <w:r w:rsidRPr="00894213" w:rsidR="00E86506">
        <w:rPr>
          <w:rFonts w:ascii="Verdana" w:hAnsi="Verdana"/>
          <w:sz w:val="18"/>
          <w:szCs w:val="18"/>
        </w:rPr>
        <w:t>De</w:t>
      </w:r>
      <w:r w:rsidR="00C7156A">
        <w:rPr>
          <w:rFonts w:ascii="Verdana" w:hAnsi="Verdana"/>
          <w:sz w:val="18"/>
          <w:szCs w:val="18"/>
        </w:rPr>
        <w:t>ze</w:t>
      </w:r>
      <w:r w:rsidR="00E86506">
        <w:rPr>
          <w:rFonts w:ascii="Verdana" w:hAnsi="Verdana"/>
          <w:sz w:val="18"/>
          <w:szCs w:val="18"/>
        </w:rPr>
        <w:t xml:space="preserve"> </w:t>
      </w:r>
      <w:r w:rsidRPr="00894213" w:rsidR="00E86506">
        <w:rPr>
          <w:rFonts w:ascii="Verdana" w:hAnsi="Verdana"/>
          <w:sz w:val="18"/>
          <w:szCs w:val="18"/>
        </w:rPr>
        <w:t>waardedaling is het directe gevolg van het niet meer tot het box 3-vermogen behoren van een bezitting en vormt daarom een onttrekking.</w:t>
      </w:r>
      <w:r w:rsidRPr="00894213" w:rsidR="00E86506">
        <w:rPr>
          <w:rFonts w:ascii="Verdana" w:hAnsi="Verdana"/>
          <w:sz w:val="18"/>
          <w:szCs w:val="18"/>
          <w:vertAlign w:val="superscript"/>
        </w:rPr>
        <w:footnoteReference w:id="14"/>
      </w:r>
      <w:r w:rsidR="00E86506">
        <w:rPr>
          <w:rFonts w:ascii="Verdana" w:hAnsi="Verdana"/>
          <w:sz w:val="18"/>
          <w:szCs w:val="18"/>
        </w:rPr>
        <w:t xml:space="preserve"> </w:t>
      </w:r>
      <w:r w:rsidR="00E677B4">
        <w:rPr>
          <w:rFonts w:ascii="Verdana" w:hAnsi="Verdana"/>
          <w:sz w:val="18"/>
          <w:szCs w:val="18"/>
        </w:rPr>
        <w:t>B</w:t>
      </w:r>
      <w:r w:rsidRPr="00E12BCF" w:rsidR="00E12BCF">
        <w:rPr>
          <w:rFonts w:ascii="Verdana" w:hAnsi="Verdana"/>
          <w:sz w:val="18"/>
          <w:szCs w:val="18"/>
        </w:rPr>
        <w:t xml:space="preserve">ij het bepalen van de vermogensaanwas </w:t>
      </w:r>
      <w:r w:rsidR="00A510A4">
        <w:rPr>
          <w:rFonts w:ascii="Verdana" w:hAnsi="Verdana"/>
          <w:sz w:val="18"/>
          <w:szCs w:val="18"/>
        </w:rPr>
        <w:t xml:space="preserve">wordt </w:t>
      </w:r>
      <w:r w:rsidRPr="00E12BCF" w:rsidR="00E12BCF">
        <w:rPr>
          <w:rFonts w:ascii="Verdana" w:hAnsi="Verdana"/>
          <w:sz w:val="18"/>
          <w:szCs w:val="18"/>
        </w:rPr>
        <w:t>het saldo van bezittingen en schulden vermeerderd met de onttrekkingen.</w:t>
      </w:r>
      <w:r w:rsidR="00E12BCF">
        <w:rPr>
          <w:rStyle w:val="Voetnootmarkering"/>
          <w:rFonts w:ascii="Verdana" w:hAnsi="Verdana"/>
          <w:sz w:val="18"/>
          <w:szCs w:val="18"/>
        </w:rPr>
        <w:footnoteReference w:id="15"/>
      </w:r>
      <w:r w:rsidR="007C74E8">
        <w:rPr>
          <w:rFonts w:ascii="Verdana" w:hAnsi="Verdana"/>
          <w:sz w:val="18"/>
          <w:szCs w:val="18"/>
        </w:rPr>
        <w:t xml:space="preserve"> </w:t>
      </w:r>
      <w:r w:rsidRPr="00894213" w:rsidR="00E86506">
        <w:rPr>
          <w:rFonts w:ascii="Verdana" w:hAnsi="Verdana"/>
          <w:sz w:val="18"/>
          <w:szCs w:val="18"/>
        </w:rPr>
        <w:t>De waardedaling op het tijdstip van de cessie heeft daarom niet tot gevolg dat er sprake is van negatieve vermogensaanwas.</w:t>
      </w:r>
      <w:r w:rsidR="00E86506">
        <w:rPr>
          <w:rFonts w:ascii="Verdana" w:hAnsi="Verdana"/>
          <w:sz w:val="18"/>
          <w:szCs w:val="18"/>
        </w:rPr>
        <w:t xml:space="preserve"> </w:t>
      </w:r>
    </w:p>
    <w:p w:rsidR="00DD69AD" w:rsidP="00DD69AD" w:rsidRDefault="00DD69AD" w14:paraId="671E7584" w14:textId="77777777">
      <w:pPr>
        <w:spacing w:after="0"/>
        <w:rPr>
          <w:rFonts w:ascii="Verdana" w:hAnsi="Verdana"/>
          <w:sz w:val="18"/>
          <w:szCs w:val="18"/>
        </w:rPr>
      </w:pPr>
    </w:p>
    <w:p w:rsidR="00655232" w:rsidP="00CB398B" w:rsidRDefault="00DD69AD" w14:paraId="7F7858E0" w14:textId="5712E17E">
      <w:pPr>
        <w:spacing w:after="0"/>
        <w:rPr>
          <w:rFonts w:ascii="Verdana" w:hAnsi="Verdana"/>
          <w:sz w:val="18"/>
          <w:szCs w:val="18"/>
        </w:rPr>
      </w:pPr>
      <w:r w:rsidRPr="00EE50CF">
        <w:rPr>
          <w:rFonts w:ascii="Verdana" w:hAnsi="Verdana"/>
          <w:sz w:val="18"/>
          <w:szCs w:val="18"/>
        </w:rPr>
        <w:t xml:space="preserve">De </w:t>
      </w:r>
      <w:r>
        <w:rPr>
          <w:rFonts w:ascii="Verdana" w:hAnsi="Verdana"/>
          <w:sz w:val="18"/>
          <w:szCs w:val="18"/>
        </w:rPr>
        <w:t>overdrachtsprijs die de verhuurder ontvangt</w:t>
      </w:r>
      <w:r w:rsidR="005C20D9">
        <w:rPr>
          <w:rFonts w:ascii="Verdana" w:hAnsi="Verdana"/>
          <w:sz w:val="18"/>
          <w:szCs w:val="18"/>
        </w:rPr>
        <w:t xml:space="preserve"> in ruil voor de verkoop van het recht op toekomstige huurtermijnen</w:t>
      </w:r>
      <w:r>
        <w:rPr>
          <w:rFonts w:ascii="Verdana" w:hAnsi="Verdana"/>
          <w:sz w:val="18"/>
          <w:szCs w:val="18"/>
        </w:rPr>
        <w:t>,</w:t>
      </w:r>
      <w:r w:rsidRPr="00EE50CF">
        <w:rPr>
          <w:rFonts w:ascii="Verdana" w:hAnsi="Verdana"/>
          <w:sz w:val="18"/>
          <w:szCs w:val="18"/>
        </w:rPr>
        <w:t xml:space="preserve"> verhoogt </w:t>
      </w:r>
      <w:r>
        <w:rPr>
          <w:rFonts w:ascii="Verdana" w:hAnsi="Verdana"/>
          <w:sz w:val="18"/>
          <w:szCs w:val="18"/>
        </w:rPr>
        <w:t xml:space="preserve">op het tijdstip van de betaling </w:t>
      </w:r>
      <w:r w:rsidRPr="00EE50CF">
        <w:rPr>
          <w:rFonts w:ascii="Verdana" w:hAnsi="Verdana"/>
          <w:sz w:val="18"/>
          <w:szCs w:val="18"/>
        </w:rPr>
        <w:t xml:space="preserve">bij de verhuurder de banktegoeden. Hetzelfde bedrag wordt </w:t>
      </w:r>
      <w:r>
        <w:rPr>
          <w:rFonts w:ascii="Verdana" w:hAnsi="Verdana"/>
          <w:sz w:val="18"/>
          <w:szCs w:val="18"/>
        </w:rPr>
        <w:t xml:space="preserve">bij het bepalen van het werkelijke rendement </w:t>
      </w:r>
      <w:r w:rsidRPr="00EE50CF">
        <w:rPr>
          <w:rFonts w:ascii="Verdana" w:hAnsi="Verdana"/>
          <w:sz w:val="18"/>
          <w:szCs w:val="18"/>
        </w:rPr>
        <w:t xml:space="preserve">als storting in aanmerking genomen, waardoor </w:t>
      </w:r>
      <w:r>
        <w:rPr>
          <w:rFonts w:ascii="Verdana" w:hAnsi="Verdana"/>
          <w:sz w:val="18"/>
          <w:szCs w:val="18"/>
        </w:rPr>
        <w:t>op het tijdstip</w:t>
      </w:r>
      <w:r w:rsidRPr="00EE50CF">
        <w:rPr>
          <w:rFonts w:ascii="Verdana" w:hAnsi="Verdana"/>
          <w:sz w:val="18"/>
          <w:szCs w:val="18"/>
        </w:rPr>
        <w:t xml:space="preserve"> van </w:t>
      </w:r>
      <w:r>
        <w:rPr>
          <w:rFonts w:ascii="Verdana" w:hAnsi="Verdana"/>
          <w:sz w:val="18"/>
          <w:szCs w:val="18"/>
        </w:rPr>
        <w:t>deze betaling</w:t>
      </w:r>
      <w:r w:rsidRPr="00EE50CF">
        <w:rPr>
          <w:rFonts w:ascii="Verdana" w:hAnsi="Verdana"/>
          <w:sz w:val="18"/>
          <w:szCs w:val="18"/>
        </w:rPr>
        <w:t xml:space="preserve"> </w:t>
      </w:r>
      <w:r w:rsidR="004F6912">
        <w:rPr>
          <w:rFonts w:ascii="Verdana" w:hAnsi="Verdana"/>
          <w:sz w:val="18"/>
          <w:szCs w:val="18"/>
        </w:rPr>
        <w:t>(</w:t>
      </w:r>
      <w:r w:rsidR="00BB4915">
        <w:rPr>
          <w:rFonts w:ascii="Verdana" w:hAnsi="Verdana"/>
          <w:sz w:val="18"/>
          <w:szCs w:val="18"/>
        </w:rPr>
        <w:t>nog</w:t>
      </w:r>
      <w:r w:rsidR="004F6912">
        <w:rPr>
          <w:rFonts w:ascii="Verdana" w:hAnsi="Verdana"/>
          <w:sz w:val="18"/>
          <w:szCs w:val="18"/>
        </w:rPr>
        <w:t>)</w:t>
      </w:r>
      <w:r w:rsidR="00BB4915">
        <w:rPr>
          <w:rFonts w:ascii="Verdana" w:hAnsi="Verdana"/>
          <w:sz w:val="18"/>
          <w:szCs w:val="18"/>
        </w:rPr>
        <w:t xml:space="preserve"> </w:t>
      </w:r>
      <w:r w:rsidRPr="00EE50CF">
        <w:rPr>
          <w:rFonts w:ascii="Verdana" w:hAnsi="Verdana"/>
          <w:sz w:val="18"/>
          <w:szCs w:val="18"/>
        </w:rPr>
        <w:t>geen sprake is van vermogensaanwas.</w:t>
      </w:r>
      <w:r>
        <w:rPr>
          <w:rStyle w:val="Voetnootmarkering"/>
          <w:rFonts w:ascii="Verdana" w:hAnsi="Verdana"/>
          <w:sz w:val="18"/>
          <w:szCs w:val="18"/>
        </w:rPr>
        <w:footnoteReference w:id="16"/>
      </w:r>
      <w:r>
        <w:rPr>
          <w:rFonts w:ascii="Verdana" w:hAnsi="Verdana"/>
          <w:sz w:val="18"/>
          <w:szCs w:val="18"/>
        </w:rPr>
        <w:t xml:space="preserve"> </w:t>
      </w:r>
      <w:r w:rsidRPr="00364FC9" w:rsidR="00364FC9">
        <w:rPr>
          <w:rFonts w:ascii="Verdana" w:hAnsi="Verdana"/>
          <w:sz w:val="18"/>
          <w:szCs w:val="18"/>
        </w:rPr>
        <w:t xml:space="preserve">De overdrachtsprijs die wordt betaald bij de verkoop van een bezitting is geen regulier voordeel. </w:t>
      </w:r>
      <w:r w:rsidRPr="00E836B8" w:rsidR="00E836B8">
        <w:rPr>
          <w:rFonts w:ascii="Verdana" w:hAnsi="Verdana"/>
          <w:sz w:val="18"/>
          <w:szCs w:val="18"/>
        </w:rPr>
        <w:t>In de tegenbewijsregeling voor box 3 staat: de reguliere voordelen die worden getrokken uit bezittingen en schulden.</w:t>
      </w:r>
      <w:r w:rsidR="00E836B8">
        <w:rPr>
          <w:rStyle w:val="Voetnootmarkering"/>
          <w:rFonts w:ascii="Verdana" w:hAnsi="Verdana"/>
          <w:sz w:val="18"/>
          <w:szCs w:val="18"/>
        </w:rPr>
        <w:footnoteReference w:id="17"/>
      </w:r>
      <w:r w:rsidRPr="00E836B8" w:rsidR="00E836B8">
        <w:rPr>
          <w:rFonts w:ascii="Verdana" w:hAnsi="Verdana"/>
          <w:sz w:val="18"/>
          <w:szCs w:val="18"/>
        </w:rPr>
        <w:t xml:space="preserve"> De bron </w:t>
      </w:r>
      <w:r w:rsidR="00E836B8">
        <w:rPr>
          <w:rFonts w:ascii="Verdana" w:hAnsi="Verdana"/>
          <w:sz w:val="18"/>
          <w:szCs w:val="18"/>
        </w:rPr>
        <w:t xml:space="preserve">waaruit reguliere voordelen worden getrokken </w:t>
      </w:r>
      <w:r w:rsidRPr="00E836B8" w:rsidR="00E836B8">
        <w:rPr>
          <w:rFonts w:ascii="Verdana" w:hAnsi="Verdana"/>
          <w:sz w:val="18"/>
          <w:szCs w:val="18"/>
        </w:rPr>
        <w:t>bestaat dus uit alle bezittingen en schulden in box 3. De verkoop van een bezitting leidt ertoe dat de bron niet in stand blijft en er dus geen sprake is van een regulier voordeel.</w:t>
      </w:r>
      <w:r w:rsidR="00E836B8">
        <w:rPr>
          <w:rStyle w:val="Voetnootmarkering"/>
          <w:rFonts w:ascii="Verdana" w:hAnsi="Verdana"/>
          <w:sz w:val="18"/>
          <w:szCs w:val="18"/>
        </w:rPr>
        <w:footnoteReference w:id="18"/>
      </w:r>
      <w:r w:rsidR="006B194A">
        <w:rPr>
          <w:rFonts w:ascii="Verdana" w:hAnsi="Verdana"/>
          <w:sz w:val="18"/>
          <w:szCs w:val="18"/>
        </w:rPr>
        <w:t xml:space="preserve"> </w:t>
      </w:r>
      <w:r w:rsidRPr="00364FC9" w:rsidR="00364FC9">
        <w:rPr>
          <w:rFonts w:ascii="Verdana" w:hAnsi="Verdana"/>
          <w:sz w:val="18"/>
          <w:szCs w:val="18"/>
        </w:rPr>
        <w:t>In een vermogenswinstbelasting zou de verkoop van een bezitting</w:t>
      </w:r>
      <w:r w:rsidR="004C6837">
        <w:rPr>
          <w:rFonts w:ascii="Verdana" w:hAnsi="Verdana"/>
          <w:sz w:val="18"/>
          <w:szCs w:val="18"/>
        </w:rPr>
        <w:t xml:space="preserve"> (zoals bijvoorbeeld de vestiging van </w:t>
      </w:r>
      <w:r w:rsidR="004C6837">
        <w:rPr>
          <w:rFonts w:ascii="Verdana" w:hAnsi="Verdana"/>
          <w:sz w:val="18"/>
          <w:szCs w:val="18"/>
        </w:rPr>
        <w:lastRenderedPageBreak/>
        <w:t>een genotsrecht)</w:t>
      </w:r>
      <w:r w:rsidRPr="00364FC9" w:rsidR="00364FC9">
        <w:rPr>
          <w:rFonts w:ascii="Verdana" w:hAnsi="Verdana"/>
          <w:sz w:val="18"/>
          <w:szCs w:val="18"/>
        </w:rPr>
        <w:t xml:space="preserve"> tot een vervreemdingsvoordeel leiden.</w:t>
      </w:r>
      <w:r w:rsidR="00F3591C">
        <w:rPr>
          <w:rStyle w:val="Voetnootmarkering"/>
          <w:rFonts w:ascii="Verdana" w:hAnsi="Verdana"/>
          <w:sz w:val="18"/>
          <w:szCs w:val="18"/>
        </w:rPr>
        <w:footnoteReference w:id="19"/>
      </w:r>
      <w:r w:rsidRPr="00364FC9" w:rsidR="00364FC9">
        <w:rPr>
          <w:rFonts w:ascii="Verdana" w:hAnsi="Verdana"/>
          <w:sz w:val="18"/>
          <w:szCs w:val="18"/>
        </w:rPr>
        <w:t xml:space="preserve"> Bij een vermogensaanwassystematiek moeten de gevolgen voor de vermogensaanwas worden bepaald.</w:t>
      </w:r>
      <w:r w:rsidR="00364FC9">
        <w:rPr>
          <w:rFonts w:ascii="Verdana" w:hAnsi="Verdana"/>
          <w:sz w:val="18"/>
          <w:szCs w:val="18"/>
        </w:rPr>
        <w:t xml:space="preserve"> </w:t>
      </w:r>
      <w:r w:rsidR="00393CD9">
        <w:rPr>
          <w:rFonts w:ascii="Verdana" w:hAnsi="Verdana"/>
          <w:sz w:val="18"/>
          <w:szCs w:val="18"/>
        </w:rPr>
        <w:t>Alhoewel er op het tijdstip van de betaling van de overdrachtsprijs geen sprake is van vermogensaanwas, ontstaat er bij de verhuurder wel een jaarl</w:t>
      </w:r>
      <w:r w:rsidR="000437EB">
        <w:rPr>
          <w:rFonts w:ascii="Verdana" w:hAnsi="Verdana"/>
          <w:sz w:val="18"/>
          <w:szCs w:val="18"/>
        </w:rPr>
        <w:t>ij</w:t>
      </w:r>
      <w:r w:rsidR="00393CD9">
        <w:rPr>
          <w:rFonts w:ascii="Verdana" w:hAnsi="Verdana"/>
          <w:sz w:val="18"/>
          <w:szCs w:val="18"/>
        </w:rPr>
        <w:t xml:space="preserve">kse vermogensaanwas als gevolg van de cessie. </w:t>
      </w:r>
      <w:r w:rsidRPr="004406FC" w:rsidR="002B4735">
        <w:rPr>
          <w:rFonts w:ascii="Verdana" w:hAnsi="Verdana"/>
          <w:sz w:val="18"/>
          <w:szCs w:val="18"/>
        </w:rPr>
        <w:t>D</w:t>
      </w:r>
      <w:r w:rsidR="00834756">
        <w:rPr>
          <w:rFonts w:ascii="Verdana" w:hAnsi="Verdana"/>
          <w:sz w:val="18"/>
          <w:szCs w:val="18"/>
        </w:rPr>
        <w:t>at komt doordat d</w:t>
      </w:r>
      <w:r w:rsidRPr="004406FC" w:rsidR="002B4735">
        <w:rPr>
          <w:rFonts w:ascii="Verdana" w:hAnsi="Verdana"/>
          <w:sz w:val="18"/>
          <w:szCs w:val="18"/>
        </w:rPr>
        <w:t xml:space="preserve">e </w:t>
      </w:r>
      <w:r w:rsidR="009919CA">
        <w:rPr>
          <w:rFonts w:ascii="Verdana" w:hAnsi="Verdana"/>
          <w:sz w:val="18"/>
          <w:szCs w:val="18"/>
        </w:rPr>
        <w:t xml:space="preserve">waarde van </w:t>
      </w:r>
      <w:r w:rsidR="00303D68">
        <w:rPr>
          <w:rFonts w:ascii="Verdana" w:hAnsi="Verdana"/>
          <w:sz w:val="18"/>
          <w:szCs w:val="18"/>
        </w:rPr>
        <w:t>het genotsrecht</w:t>
      </w:r>
      <w:r w:rsidR="009919CA">
        <w:rPr>
          <w:rFonts w:ascii="Verdana" w:hAnsi="Verdana"/>
          <w:sz w:val="18"/>
          <w:szCs w:val="18"/>
        </w:rPr>
        <w:t xml:space="preserve"> </w:t>
      </w:r>
      <w:r w:rsidR="00C5315D">
        <w:rPr>
          <w:rFonts w:ascii="Verdana" w:hAnsi="Verdana"/>
          <w:sz w:val="18"/>
          <w:szCs w:val="18"/>
        </w:rPr>
        <w:t>gedurende de looptijd van de cessie</w:t>
      </w:r>
      <w:r w:rsidRPr="004406FC" w:rsidR="002B4735">
        <w:rPr>
          <w:rFonts w:ascii="Verdana" w:hAnsi="Verdana"/>
          <w:sz w:val="18"/>
          <w:szCs w:val="18"/>
        </w:rPr>
        <w:t xml:space="preserve"> af</w:t>
      </w:r>
      <w:r w:rsidR="00834756">
        <w:rPr>
          <w:rFonts w:ascii="Verdana" w:hAnsi="Verdana"/>
          <w:sz w:val="18"/>
          <w:szCs w:val="18"/>
        </w:rPr>
        <w:t>neemt</w:t>
      </w:r>
      <w:r w:rsidRPr="004406FC" w:rsidR="002B4735">
        <w:rPr>
          <w:rFonts w:ascii="Verdana" w:hAnsi="Verdana"/>
          <w:sz w:val="18"/>
          <w:szCs w:val="18"/>
        </w:rPr>
        <w:t xml:space="preserve"> totdat deze eindigt op nihil.</w:t>
      </w:r>
      <w:r w:rsidR="00E2162E">
        <w:rPr>
          <w:rStyle w:val="Voetnootmarkering"/>
          <w:rFonts w:ascii="Verdana" w:hAnsi="Verdana"/>
          <w:sz w:val="18"/>
          <w:szCs w:val="18"/>
        </w:rPr>
        <w:footnoteReference w:id="20"/>
      </w:r>
      <w:r w:rsidR="00C5315D">
        <w:rPr>
          <w:rFonts w:ascii="Verdana" w:hAnsi="Verdana"/>
          <w:sz w:val="18"/>
          <w:szCs w:val="18"/>
        </w:rPr>
        <w:t xml:space="preserve"> </w:t>
      </w:r>
      <w:r w:rsidR="00AE40A4">
        <w:rPr>
          <w:rFonts w:ascii="Verdana" w:hAnsi="Verdana"/>
          <w:sz w:val="18"/>
          <w:szCs w:val="18"/>
        </w:rPr>
        <w:t xml:space="preserve">De waardedaling van </w:t>
      </w:r>
      <w:r w:rsidR="0016442A">
        <w:rPr>
          <w:rFonts w:ascii="Verdana" w:hAnsi="Verdana"/>
          <w:sz w:val="18"/>
          <w:szCs w:val="18"/>
        </w:rPr>
        <w:t>het genotsrecht</w:t>
      </w:r>
      <w:r w:rsidR="00AE40A4">
        <w:rPr>
          <w:rFonts w:ascii="Verdana" w:hAnsi="Verdana"/>
          <w:sz w:val="18"/>
          <w:szCs w:val="18"/>
        </w:rPr>
        <w:t xml:space="preserve"> leidt tot een </w:t>
      </w:r>
      <w:r w:rsidR="00242110">
        <w:rPr>
          <w:rFonts w:ascii="Verdana" w:hAnsi="Verdana"/>
          <w:sz w:val="18"/>
          <w:szCs w:val="18"/>
        </w:rPr>
        <w:t>waarde</w:t>
      </w:r>
      <w:r w:rsidR="00AE40A4">
        <w:rPr>
          <w:rFonts w:ascii="Verdana" w:hAnsi="Verdana"/>
          <w:sz w:val="18"/>
          <w:szCs w:val="18"/>
        </w:rPr>
        <w:t xml:space="preserve">stijging van </w:t>
      </w:r>
      <w:r w:rsidR="00242110">
        <w:rPr>
          <w:rFonts w:ascii="Verdana" w:hAnsi="Verdana"/>
          <w:sz w:val="18"/>
          <w:szCs w:val="18"/>
        </w:rPr>
        <w:t xml:space="preserve">de onroerende zaak en daarmee ook tot een waardestijging van </w:t>
      </w:r>
      <w:r w:rsidR="00AE40A4">
        <w:rPr>
          <w:rFonts w:ascii="Verdana" w:hAnsi="Verdana"/>
          <w:sz w:val="18"/>
          <w:szCs w:val="18"/>
        </w:rPr>
        <w:t>het box 3-vermogen van de verhuurder.</w:t>
      </w:r>
      <w:r w:rsidRPr="00CB398B" w:rsidR="00914D17">
        <w:rPr>
          <w:rFonts w:ascii="Verdana" w:hAnsi="Verdana"/>
          <w:sz w:val="18"/>
          <w:szCs w:val="18"/>
        </w:rPr>
        <w:t xml:space="preserve"> De</w:t>
      </w:r>
      <w:r w:rsidR="00085488">
        <w:rPr>
          <w:rFonts w:ascii="Verdana" w:hAnsi="Verdana"/>
          <w:sz w:val="18"/>
          <w:szCs w:val="18"/>
        </w:rPr>
        <w:t>ze</w:t>
      </w:r>
      <w:r w:rsidRPr="00CB398B" w:rsidR="00914D17">
        <w:rPr>
          <w:rFonts w:ascii="Verdana" w:hAnsi="Verdana"/>
          <w:sz w:val="18"/>
          <w:szCs w:val="18"/>
        </w:rPr>
        <w:t xml:space="preserve"> waardestijging wordt jaarlijks in de heffing betrokken als vermogensaanwas.</w:t>
      </w:r>
      <w:r w:rsidR="00914D17">
        <w:rPr>
          <w:rFonts w:ascii="Verdana" w:hAnsi="Verdana"/>
          <w:sz w:val="18"/>
          <w:szCs w:val="18"/>
        </w:rPr>
        <w:t xml:space="preserve"> </w:t>
      </w:r>
    </w:p>
    <w:p w:rsidR="00817564" w:rsidP="00CB398B" w:rsidRDefault="00817564" w14:paraId="20577B2C" w14:textId="77777777">
      <w:pPr>
        <w:spacing w:after="0"/>
        <w:rPr>
          <w:rFonts w:ascii="Verdana" w:hAnsi="Verdana"/>
          <w:sz w:val="18"/>
          <w:szCs w:val="18"/>
        </w:rPr>
      </w:pPr>
    </w:p>
    <w:p w:rsidR="00E4765D" w:rsidP="00CB398B" w:rsidRDefault="004D4149" w14:paraId="01A46C37" w14:textId="50A0DE7B">
      <w:pPr>
        <w:spacing w:after="0"/>
        <w:rPr>
          <w:rFonts w:ascii="Verdana" w:hAnsi="Verdana"/>
          <w:sz w:val="18"/>
          <w:szCs w:val="18"/>
        </w:rPr>
      </w:pPr>
      <w:r>
        <w:rPr>
          <w:rFonts w:ascii="Verdana" w:hAnsi="Verdana"/>
          <w:sz w:val="18"/>
          <w:szCs w:val="18"/>
        </w:rPr>
        <w:t>Na de cessie</w:t>
      </w:r>
      <w:r w:rsidRPr="00E4765D">
        <w:rPr>
          <w:rFonts w:ascii="Verdana" w:hAnsi="Verdana"/>
          <w:sz w:val="18"/>
          <w:szCs w:val="18"/>
        </w:rPr>
        <w:t xml:space="preserve"> bezit de cessionaris een genotsrecht, waardoor het box 3-vermogen van de cessionaris in waarde stijgt. Deze waardestijging is het directe gevolg van het tot het box 3-vermogen</w:t>
      </w:r>
      <w:r>
        <w:rPr>
          <w:rFonts w:ascii="Verdana" w:hAnsi="Verdana"/>
          <w:sz w:val="18"/>
          <w:szCs w:val="18"/>
        </w:rPr>
        <w:t xml:space="preserve"> gaan</w:t>
      </w:r>
      <w:r w:rsidRPr="00E4765D">
        <w:rPr>
          <w:rFonts w:ascii="Verdana" w:hAnsi="Verdana"/>
          <w:sz w:val="18"/>
          <w:szCs w:val="18"/>
        </w:rPr>
        <w:t xml:space="preserve"> behoren van een bezitting en vormt daarom een storting.</w:t>
      </w:r>
      <w:r>
        <w:rPr>
          <w:rStyle w:val="Voetnootmarkering"/>
          <w:rFonts w:ascii="Verdana" w:hAnsi="Verdana"/>
          <w:sz w:val="18"/>
          <w:szCs w:val="18"/>
        </w:rPr>
        <w:footnoteReference w:id="21"/>
      </w:r>
      <w:r w:rsidRPr="00E4765D">
        <w:rPr>
          <w:rFonts w:ascii="Verdana" w:hAnsi="Verdana"/>
          <w:sz w:val="18"/>
          <w:szCs w:val="18"/>
        </w:rPr>
        <w:t xml:space="preserve"> </w:t>
      </w:r>
      <w:r>
        <w:rPr>
          <w:rFonts w:ascii="Verdana" w:hAnsi="Verdana"/>
          <w:sz w:val="18"/>
          <w:szCs w:val="18"/>
        </w:rPr>
        <w:t>Daa</w:t>
      </w:r>
      <w:r w:rsidRPr="00EE50CF">
        <w:rPr>
          <w:rFonts w:ascii="Verdana" w:hAnsi="Verdana"/>
          <w:sz w:val="18"/>
          <w:szCs w:val="18"/>
        </w:rPr>
        <w:t xml:space="preserve">rdoor </w:t>
      </w:r>
      <w:r>
        <w:rPr>
          <w:rFonts w:ascii="Verdana" w:hAnsi="Verdana"/>
          <w:sz w:val="18"/>
          <w:szCs w:val="18"/>
        </w:rPr>
        <w:t>is op het tijdstip</w:t>
      </w:r>
      <w:r w:rsidRPr="00EE50CF">
        <w:rPr>
          <w:rFonts w:ascii="Verdana" w:hAnsi="Verdana"/>
          <w:sz w:val="18"/>
          <w:szCs w:val="18"/>
        </w:rPr>
        <w:t xml:space="preserve"> van </w:t>
      </w:r>
      <w:r>
        <w:rPr>
          <w:rFonts w:ascii="Verdana" w:hAnsi="Verdana"/>
          <w:sz w:val="18"/>
          <w:szCs w:val="18"/>
        </w:rPr>
        <w:t>de vestiging van het genotsrecht</w:t>
      </w:r>
      <w:r w:rsidRPr="00EE50CF">
        <w:rPr>
          <w:rFonts w:ascii="Verdana" w:hAnsi="Verdana"/>
          <w:sz w:val="18"/>
          <w:szCs w:val="18"/>
        </w:rPr>
        <w:t xml:space="preserve"> </w:t>
      </w:r>
      <w:r>
        <w:rPr>
          <w:rFonts w:ascii="Verdana" w:hAnsi="Verdana"/>
          <w:sz w:val="18"/>
          <w:szCs w:val="18"/>
        </w:rPr>
        <w:t xml:space="preserve">(nog) </w:t>
      </w:r>
      <w:r w:rsidRPr="00EE50CF">
        <w:rPr>
          <w:rFonts w:ascii="Verdana" w:hAnsi="Verdana"/>
          <w:sz w:val="18"/>
          <w:szCs w:val="18"/>
        </w:rPr>
        <w:t>geen sprake is van vermogensaanwas.</w:t>
      </w:r>
      <w:r>
        <w:rPr>
          <w:rStyle w:val="Voetnootmarkering"/>
          <w:rFonts w:ascii="Verdana" w:hAnsi="Verdana"/>
          <w:sz w:val="18"/>
          <w:szCs w:val="18"/>
        </w:rPr>
        <w:footnoteReference w:id="22"/>
      </w:r>
      <w:r>
        <w:rPr>
          <w:rFonts w:ascii="Verdana" w:hAnsi="Verdana"/>
          <w:sz w:val="18"/>
          <w:szCs w:val="18"/>
        </w:rPr>
        <w:t xml:space="preserve"> </w:t>
      </w:r>
      <w:r w:rsidRPr="00E4765D" w:rsidR="00E4765D">
        <w:rPr>
          <w:rFonts w:ascii="Verdana" w:hAnsi="Verdana"/>
          <w:sz w:val="18"/>
          <w:szCs w:val="18"/>
        </w:rPr>
        <w:t>De overdrachtsprijs die de cessionaris betaalt voor de aankoop van het recht op toekomstige</w:t>
      </w:r>
      <w:r w:rsidR="00B04ED0">
        <w:rPr>
          <w:rFonts w:ascii="Verdana" w:hAnsi="Verdana"/>
          <w:sz w:val="18"/>
          <w:szCs w:val="18"/>
        </w:rPr>
        <w:t xml:space="preserve"> </w:t>
      </w:r>
      <w:r w:rsidRPr="00E4765D" w:rsidR="00E4765D">
        <w:rPr>
          <w:rFonts w:ascii="Verdana" w:hAnsi="Verdana"/>
          <w:sz w:val="18"/>
          <w:szCs w:val="18"/>
        </w:rPr>
        <w:t xml:space="preserve">huurtermijnen, verlaagt op het tijdstip van de betaling bij de cessionaris de banktegoeden. </w:t>
      </w:r>
      <w:r w:rsidRPr="00894213" w:rsidR="00817564">
        <w:rPr>
          <w:rFonts w:ascii="Verdana" w:hAnsi="Verdana"/>
          <w:sz w:val="18"/>
          <w:szCs w:val="18"/>
        </w:rPr>
        <w:t>De</w:t>
      </w:r>
      <w:r w:rsidR="00817564">
        <w:rPr>
          <w:rFonts w:ascii="Verdana" w:hAnsi="Verdana"/>
          <w:sz w:val="18"/>
          <w:szCs w:val="18"/>
        </w:rPr>
        <w:t xml:space="preserve">ze </w:t>
      </w:r>
      <w:r w:rsidRPr="00894213" w:rsidR="00817564">
        <w:rPr>
          <w:rFonts w:ascii="Verdana" w:hAnsi="Verdana"/>
          <w:sz w:val="18"/>
          <w:szCs w:val="18"/>
        </w:rPr>
        <w:t>waardedaling is het directe gevolg van het niet meer tot het box 3-vermogen behoren van een bezitting en vormt daarom een onttrekking.</w:t>
      </w:r>
      <w:r w:rsidRPr="00894213" w:rsidR="00817564">
        <w:rPr>
          <w:rFonts w:ascii="Verdana" w:hAnsi="Verdana"/>
          <w:sz w:val="18"/>
          <w:szCs w:val="18"/>
          <w:vertAlign w:val="superscript"/>
        </w:rPr>
        <w:footnoteReference w:id="23"/>
      </w:r>
      <w:r w:rsidR="00817564">
        <w:rPr>
          <w:rFonts w:ascii="Verdana" w:hAnsi="Verdana"/>
          <w:sz w:val="18"/>
          <w:szCs w:val="18"/>
        </w:rPr>
        <w:t xml:space="preserve"> </w:t>
      </w:r>
      <w:r w:rsidRPr="00894213" w:rsidR="004B6BF7">
        <w:rPr>
          <w:rFonts w:ascii="Verdana" w:hAnsi="Verdana"/>
          <w:sz w:val="18"/>
          <w:szCs w:val="18"/>
        </w:rPr>
        <w:t xml:space="preserve">De waardedaling op het tijdstip van de </w:t>
      </w:r>
      <w:r w:rsidR="004B6BF7">
        <w:rPr>
          <w:rFonts w:ascii="Verdana" w:hAnsi="Verdana"/>
          <w:sz w:val="18"/>
          <w:szCs w:val="18"/>
        </w:rPr>
        <w:t>betaling</w:t>
      </w:r>
      <w:r w:rsidRPr="00894213" w:rsidR="004B6BF7">
        <w:rPr>
          <w:rFonts w:ascii="Verdana" w:hAnsi="Verdana"/>
          <w:sz w:val="18"/>
          <w:szCs w:val="18"/>
        </w:rPr>
        <w:t xml:space="preserve"> heeft daarom niet tot gevolg dat er sprake is van negatieve vermogensaanwas.</w:t>
      </w:r>
      <w:r w:rsidR="004B6BF7">
        <w:rPr>
          <w:rStyle w:val="Voetnootmarkering"/>
          <w:rFonts w:ascii="Verdana" w:hAnsi="Verdana"/>
          <w:sz w:val="18"/>
          <w:szCs w:val="18"/>
        </w:rPr>
        <w:footnoteReference w:id="24"/>
      </w:r>
      <w:r w:rsidR="004B6BF7">
        <w:rPr>
          <w:rFonts w:ascii="Verdana" w:hAnsi="Verdana"/>
          <w:sz w:val="18"/>
          <w:szCs w:val="18"/>
        </w:rPr>
        <w:t xml:space="preserve"> </w:t>
      </w:r>
      <w:r w:rsidRPr="00E4765D" w:rsidR="00E4765D">
        <w:rPr>
          <w:rFonts w:ascii="Verdana" w:hAnsi="Verdana"/>
          <w:sz w:val="18"/>
          <w:szCs w:val="18"/>
        </w:rPr>
        <w:t>De huur</w:t>
      </w:r>
      <w:r w:rsidR="00E4765D">
        <w:rPr>
          <w:rFonts w:ascii="Verdana" w:hAnsi="Verdana"/>
          <w:sz w:val="18"/>
          <w:szCs w:val="18"/>
        </w:rPr>
        <w:t>termijnen</w:t>
      </w:r>
      <w:r w:rsidRPr="00E4765D" w:rsidR="00E4765D">
        <w:rPr>
          <w:rFonts w:ascii="Verdana" w:hAnsi="Verdana"/>
          <w:sz w:val="18"/>
          <w:szCs w:val="18"/>
        </w:rPr>
        <w:t xml:space="preserve"> die de cessionaris </w:t>
      </w:r>
      <w:r w:rsidR="00E4765D">
        <w:rPr>
          <w:rFonts w:ascii="Verdana" w:hAnsi="Verdana"/>
          <w:sz w:val="18"/>
          <w:szCs w:val="18"/>
        </w:rPr>
        <w:t xml:space="preserve">periodiek </w:t>
      </w:r>
      <w:r w:rsidRPr="00E4765D" w:rsidR="00E4765D">
        <w:rPr>
          <w:rFonts w:ascii="Verdana" w:hAnsi="Verdana"/>
          <w:sz w:val="18"/>
          <w:szCs w:val="18"/>
        </w:rPr>
        <w:t xml:space="preserve">ontvangt </w:t>
      </w:r>
      <w:r w:rsidR="00E4765D">
        <w:rPr>
          <w:rFonts w:ascii="Verdana" w:hAnsi="Verdana"/>
          <w:sz w:val="18"/>
          <w:szCs w:val="18"/>
        </w:rPr>
        <w:t>van de huurder (bij een openbare cessie) of van de verhuurder (bij een stille cessie) zij</w:t>
      </w:r>
      <w:r w:rsidRPr="00E4765D" w:rsidR="00E4765D">
        <w:rPr>
          <w:rFonts w:ascii="Verdana" w:hAnsi="Verdana"/>
          <w:sz w:val="18"/>
          <w:szCs w:val="18"/>
        </w:rPr>
        <w:t>n regulier</w:t>
      </w:r>
      <w:r w:rsidR="00E4765D">
        <w:rPr>
          <w:rFonts w:ascii="Verdana" w:hAnsi="Verdana"/>
          <w:sz w:val="18"/>
          <w:szCs w:val="18"/>
        </w:rPr>
        <w:t>e</w:t>
      </w:r>
      <w:r w:rsidRPr="00E4765D" w:rsidR="00E4765D">
        <w:rPr>
          <w:rFonts w:ascii="Verdana" w:hAnsi="Verdana"/>
          <w:sz w:val="18"/>
          <w:szCs w:val="18"/>
        </w:rPr>
        <w:t xml:space="preserve"> voordelen.</w:t>
      </w:r>
      <w:r w:rsidR="005041A2">
        <w:rPr>
          <w:rStyle w:val="Voetnootmarkering"/>
          <w:rFonts w:ascii="Verdana" w:hAnsi="Verdana"/>
          <w:sz w:val="18"/>
          <w:szCs w:val="18"/>
        </w:rPr>
        <w:footnoteReference w:id="25"/>
      </w:r>
      <w:r w:rsidRPr="00E4765D" w:rsidR="00E4765D">
        <w:rPr>
          <w:rFonts w:ascii="Verdana" w:hAnsi="Verdana"/>
          <w:sz w:val="18"/>
          <w:szCs w:val="18"/>
        </w:rPr>
        <w:t xml:space="preserve"> Daarnaast zal het genotsrecht</w:t>
      </w:r>
      <w:r w:rsidR="00E4765D">
        <w:rPr>
          <w:rFonts w:ascii="Verdana" w:hAnsi="Verdana"/>
          <w:sz w:val="18"/>
          <w:szCs w:val="18"/>
        </w:rPr>
        <w:t xml:space="preserve"> van de cessionaris</w:t>
      </w:r>
      <w:r w:rsidRPr="00E4765D" w:rsidR="00E4765D">
        <w:rPr>
          <w:rFonts w:ascii="Verdana" w:hAnsi="Verdana"/>
          <w:sz w:val="18"/>
          <w:szCs w:val="18"/>
        </w:rPr>
        <w:t xml:space="preserve"> in de loop van de tijd in waarde afnemen tot nihil.</w:t>
      </w:r>
      <w:r w:rsidR="008A23AC">
        <w:rPr>
          <w:rStyle w:val="Voetnootmarkering"/>
          <w:rFonts w:ascii="Verdana" w:hAnsi="Verdana"/>
          <w:sz w:val="18"/>
          <w:szCs w:val="18"/>
        </w:rPr>
        <w:footnoteReference w:id="26"/>
      </w:r>
      <w:r w:rsidR="008A23AC">
        <w:rPr>
          <w:rFonts w:ascii="Verdana" w:hAnsi="Verdana"/>
          <w:sz w:val="18"/>
          <w:szCs w:val="18"/>
        </w:rPr>
        <w:t xml:space="preserve"> </w:t>
      </w:r>
      <w:r w:rsidRPr="00E4765D" w:rsidR="00E4765D">
        <w:rPr>
          <w:rFonts w:ascii="Verdana" w:hAnsi="Verdana"/>
          <w:sz w:val="18"/>
          <w:szCs w:val="18"/>
        </w:rPr>
        <w:t xml:space="preserve">De waardedaling van het genotsrecht leidt tot een daling van het box 3-vermogen van de cessionaris. Deze waardedaling wordt jaarlijks in de heffing betrokken als </w:t>
      </w:r>
      <w:r w:rsidR="00E4765D">
        <w:rPr>
          <w:rFonts w:ascii="Verdana" w:hAnsi="Verdana"/>
          <w:sz w:val="18"/>
          <w:szCs w:val="18"/>
        </w:rPr>
        <w:t xml:space="preserve">negatieve </w:t>
      </w:r>
      <w:r w:rsidRPr="00E4765D" w:rsidR="00E4765D">
        <w:rPr>
          <w:rFonts w:ascii="Verdana" w:hAnsi="Verdana"/>
          <w:sz w:val="18"/>
          <w:szCs w:val="18"/>
        </w:rPr>
        <w:t>vermogensaanwas.</w:t>
      </w:r>
      <w:r w:rsidR="00E4765D">
        <w:rPr>
          <w:rFonts w:ascii="Verdana" w:hAnsi="Verdana"/>
          <w:sz w:val="18"/>
          <w:szCs w:val="18"/>
        </w:rPr>
        <w:t xml:space="preserve"> </w:t>
      </w:r>
    </w:p>
    <w:p w:rsidR="00473F60" w:rsidP="00CB398B" w:rsidRDefault="00473F60" w14:paraId="6533A767" w14:textId="77777777">
      <w:pPr>
        <w:spacing w:after="0"/>
        <w:rPr>
          <w:rFonts w:ascii="Verdana" w:hAnsi="Verdana"/>
          <w:sz w:val="18"/>
          <w:szCs w:val="18"/>
        </w:rPr>
      </w:pPr>
    </w:p>
    <w:p w:rsidR="00473F60" w:rsidP="00CB398B" w:rsidRDefault="00F558CA" w14:paraId="5EC34D59" w14:textId="5086EECF">
      <w:pPr>
        <w:spacing w:after="0"/>
        <w:rPr>
          <w:rFonts w:ascii="Verdana" w:hAnsi="Verdana"/>
          <w:sz w:val="18"/>
          <w:szCs w:val="18"/>
        </w:rPr>
      </w:pPr>
      <w:r>
        <w:rPr>
          <w:rFonts w:ascii="Verdana" w:hAnsi="Verdana"/>
          <w:sz w:val="18"/>
          <w:szCs w:val="18"/>
        </w:rPr>
        <w:t>In het kader van de cessie van huurtermijnen wordt in het geciteerde bericht aandacht gevraagd voor het overgangsrecht dat geldt bij de invoering van</w:t>
      </w:r>
      <w:r w:rsidRPr="005C52BD" w:rsidR="00473F60">
        <w:rPr>
          <w:rFonts w:ascii="Verdana" w:hAnsi="Verdana"/>
          <w:sz w:val="18"/>
          <w:szCs w:val="18"/>
        </w:rPr>
        <w:t xml:space="preserve"> het toekomstige stelsel voor box 3</w:t>
      </w:r>
      <w:r w:rsidR="00473F60">
        <w:rPr>
          <w:rFonts w:ascii="Verdana" w:hAnsi="Verdana"/>
          <w:sz w:val="18"/>
          <w:szCs w:val="18"/>
        </w:rPr>
        <w:t xml:space="preserve">. </w:t>
      </w:r>
      <w:r w:rsidR="00C33FE0">
        <w:rPr>
          <w:rFonts w:ascii="Verdana" w:hAnsi="Verdana"/>
          <w:sz w:val="18"/>
          <w:szCs w:val="18"/>
        </w:rPr>
        <w:t xml:space="preserve">Om die reden </w:t>
      </w:r>
      <w:r w:rsidRPr="005C52BD" w:rsidR="00473F60">
        <w:rPr>
          <w:rFonts w:ascii="Verdana" w:hAnsi="Verdana"/>
          <w:sz w:val="18"/>
          <w:szCs w:val="18"/>
        </w:rPr>
        <w:t xml:space="preserve">is dat overgangsrecht nogmaals zorgvuldig bekeken. Dat heeft geleid tot de conclusie dat er een kleine aanpassing nodig is, aangezien in </w:t>
      </w:r>
      <w:r w:rsidR="00906F2B">
        <w:rPr>
          <w:rFonts w:ascii="Verdana" w:hAnsi="Verdana"/>
          <w:sz w:val="18"/>
          <w:szCs w:val="18"/>
        </w:rPr>
        <w:t>de bepaling</w:t>
      </w:r>
      <w:r w:rsidRPr="005C52BD" w:rsidR="00473F60">
        <w:rPr>
          <w:rFonts w:ascii="Verdana" w:hAnsi="Verdana"/>
          <w:sz w:val="18"/>
          <w:szCs w:val="18"/>
        </w:rPr>
        <w:t xml:space="preserve"> over de inbrengwaarde van onroerende zaken in de vermogenswinstbelasting per 1 januari 2028 een verwijzing naar </w:t>
      </w:r>
      <w:r w:rsidR="00906F2B">
        <w:rPr>
          <w:rFonts w:ascii="Verdana" w:hAnsi="Verdana"/>
          <w:sz w:val="18"/>
          <w:szCs w:val="18"/>
        </w:rPr>
        <w:t>het artikel</w:t>
      </w:r>
      <w:r w:rsidRPr="005C52BD" w:rsidR="00473F60">
        <w:rPr>
          <w:rFonts w:ascii="Verdana" w:hAnsi="Verdana"/>
          <w:sz w:val="18"/>
          <w:szCs w:val="18"/>
        </w:rPr>
        <w:t xml:space="preserve"> over genotsrechten ontbreekt. Zoals al is aangekondigd in de memorie van toelichting bij het wetsvoorstel Wet werkelijk rendement box 3, zal er een separaat wetgevingstraject volgen voor een aanpassingswet, waarin wetstechnische wijzigingen worden voorgesteld die nodig zijn in het kader van het wetsvoorstel Wet werkelijk rendement box 3.</w:t>
      </w:r>
      <w:r w:rsidRPr="005C52BD" w:rsidR="00473F60">
        <w:rPr>
          <w:rFonts w:ascii="Verdana" w:hAnsi="Verdana"/>
          <w:sz w:val="18"/>
          <w:szCs w:val="18"/>
          <w:vertAlign w:val="superscript"/>
        </w:rPr>
        <w:footnoteReference w:id="27"/>
      </w:r>
      <w:r w:rsidRPr="005C52BD" w:rsidR="00473F60">
        <w:rPr>
          <w:rFonts w:ascii="Verdana" w:hAnsi="Verdana"/>
          <w:sz w:val="18"/>
          <w:szCs w:val="18"/>
        </w:rPr>
        <w:t xml:space="preserve"> In deze aanpassingswetgeving zal een aanpassing worden opgenomen met betrekking tot de inbrengwaarde van onroerende zaken in de vermogenswinstbelasting per 1 januari 2028 om de nu nog ontbrekende verwijzing naar het artikel over genotsrechten toe te voegen.</w:t>
      </w:r>
      <w:r w:rsidR="009E6459">
        <w:rPr>
          <w:rFonts w:ascii="Verdana" w:hAnsi="Verdana"/>
          <w:sz w:val="18"/>
          <w:szCs w:val="18"/>
        </w:rPr>
        <w:t xml:space="preserve"> Daardoor zal het </w:t>
      </w:r>
      <w:proofErr w:type="spellStart"/>
      <w:r w:rsidR="009E6459">
        <w:rPr>
          <w:rFonts w:ascii="Verdana" w:hAnsi="Verdana"/>
          <w:sz w:val="18"/>
          <w:szCs w:val="18"/>
        </w:rPr>
        <w:t>waardedrukkende</w:t>
      </w:r>
      <w:proofErr w:type="spellEnd"/>
      <w:r w:rsidR="009E6459">
        <w:rPr>
          <w:rFonts w:ascii="Verdana" w:hAnsi="Verdana"/>
          <w:sz w:val="18"/>
          <w:szCs w:val="18"/>
        </w:rPr>
        <w:t xml:space="preserve"> effect van op onroerende zaken gevestigde genotsrechten in aanmerking worden genomen bij het bepalen van deze inbrengwaarde. </w:t>
      </w:r>
    </w:p>
    <w:p w:rsidR="00655232" w:rsidP="00CB398B" w:rsidRDefault="00655232" w14:paraId="77DE28FB" w14:textId="77777777">
      <w:pPr>
        <w:spacing w:after="0"/>
        <w:rPr>
          <w:rFonts w:ascii="Verdana" w:hAnsi="Verdana"/>
          <w:sz w:val="18"/>
          <w:szCs w:val="18"/>
        </w:rPr>
      </w:pPr>
    </w:p>
    <w:p w:rsidRPr="0006240C" w:rsidR="0006240C" w:rsidP="00CB398B" w:rsidRDefault="0006240C" w14:paraId="5BEABC4F" w14:textId="50CFBF3A">
      <w:pPr>
        <w:spacing w:after="0"/>
        <w:rPr>
          <w:rFonts w:ascii="Verdana" w:hAnsi="Verdana"/>
          <w:i/>
          <w:iCs/>
          <w:sz w:val="18"/>
          <w:szCs w:val="18"/>
        </w:rPr>
      </w:pPr>
      <w:r>
        <w:rPr>
          <w:rFonts w:ascii="Verdana" w:hAnsi="Verdana"/>
          <w:i/>
          <w:iCs/>
          <w:sz w:val="18"/>
          <w:szCs w:val="18"/>
        </w:rPr>
        <w:t>Rentebetaling</w:t>
      </w:r>
    </w:p>
    <w:p w:rsidR="00CB398B" w:rsidP="00CB398B" w:rsidRDefault="00114489" w14:paraId="51FE4600" w14:textId="662AAB93">
      <w:pPr>
        <w:spacing w:after="0"/>
        <w:rPr>
          <w:rFonts w:ascii="Verdana" w:hAnsi="Verdana"/>
          <w:sz w:val="18"/>
          <w:szCs w:val="18"/>
        </w:rPr>
      </w:pPr>
      <w:r>
        <w:rPr>
          <w:rFonts w:ascii="Verdana" w:hAnsi="Verdana"/>
          <w:sz w:val="18"/>
          <w:szCs w:val="18"/>
        </w:rPr>
        <w:t xml:space="preserve">De tweede route die in het geciteerde bericht wordt genoemd, betreft </w:t>
      </w:r>
      <w:r w:rsidRPr="00CB398B" w:rsidR="00CB398B">
        <w:rPr>
          <w:rFonts w:ascii="Verdana" w:hAnsi="Verdana"/>
          <w:sz w:val="18"/>
          <w:szCs w:val="18"/>
        </w:rPr>
        <w:t>de rente die wordt ontvangen op spaarrekeningen. Het is niet uitgesloten dat er belastingplichtigen zullen zijn die via het opzeggen van een spaarrekening de uitbetaling van maximaal één rentetermijn naar voren halen</w:t>
      </w:r>
      <w:r w:rsidR="0006240C">
        <w:rPr>
          <w:rFonts w:ascii="Verdana" w:hAnsi="Verdana"/>
          <w:sz w:val="18"/>
          <w:szCs w:val="18"/>
        </w:rPr>
        <w:t>, zodat deze nog in december plaatsvindt in plaats van in januari</w:t>
      </w:r>
      <w:r w:rsidR="00236512">
        <w:rPr>
          <w:rFonts w:ascii="Verdana" w:hAnsi="Verdana"/>
          <w:sz w:val="18"/>
          <w:szCs w:val="18"/>
        </w:rPr>
        <w:t xml:space="preserve"> van het volgende jaar</w:t>
      </w:r>
      <w:r w:rsidRPr="00CB398B" w:rsidR="00CB398B">
        <w:rPr>
          <w:rFonts w:ascii="Verdana" w:hAnsi="Verdana"/>
          <w:sz w:val="18"/>
          <w:szCs w:val="18"/>
        </w:rPr>
        <w:t xml:space="preserve">. </w:t>
      </w:r>
      <w:r w:rsidRPr="00DC71FB" w:rsidR="00DC71FB">
        <w:rPr>
          <w:rFonts w:ascii="Verdana" w:hAnsi="Verdana"/>
          <w:sz w:val="18"/>
          <w:szCs w:val="18"/>
        </w:rPr>
        <w:t>Tot de invoering van het stelsel op basis van werkelijk rendement, voorzien per 1 januari 2028, zou dit dan een belastingvoordeel kunnen opleveren.</w:t>
      </w:r>
      <w:r w:rsidR="00DC71FB">
        <w:rPr>
          <w:rFonts w:ascii="Verdana" w:hAnsi="Verdana"/>
          <w:sz w:val="18"/>
          <w:szCs w:val="18"/>
        </w:rPr>
        <w:t xml:space="preserve"> </w:t>
      </w:r>
      <w:r w:rsidRPr="00CB398B" w:rsidR="00CB398B">
        <w:rPr>
          <w:rFonts w:ascii="Verdana" w:hAnsi="Verdana"/>
          <w:sz w:val="18"/>
          <w:szCs w:val="18"/>
        </w:rPr>
        <w:t>Dit is</w:t>
      </w:r>
      <w:r w:rsidR="00DC71FB">
        <w:rPr>
          <w:rFonts w:ascii="Verdana" w:hAnsi="Verdana"/>
          <w:sz w:val="18"/>
          <w:szCs w:val="18"/>
        </w:rPr>
        <w:t xml:space="preserve"> echter</w:t>
      </w:r>
      <w:r w:rsidRPr="00CB398B" w:rsidR="00CB398B">
        <w:rPr>
          <w:rFonts w:ascii="Verdana" w:hAnsi="Verdana"/>
          <w:sz w:val="18"/>
          <w:szCs w:val="18"/>
        </w:rPr>
        <w:t xml:space="preserve"> niet altijd </w:t>
      </w:r>
      <w:r w:rsidR="00DC71FB">
        <w:rPr>
          <w:rFonts w:ascii="Verdana" w:hAnsi="Verdana"/>
          <w:sz w:val="18"/>
          <w:szCs w:val="18"/>
        </w:rPr>
        <w:t>het geval</w:t>
      </w:r>
      <w:r w:rsidRPr="00CB398B" w:rsidR="00CB398B">
        <w:rPr>
          <w:rFonts w:ascii="Verdana" w:hAnsi="Verdana"/>
          <w:sz w:val="18"/>
          <w:szCs w:val="18"/>
        </w:rPr>
        <w:t xml:space="preserve">. Belastingplichtigen kunnen namelijk alleen gebruikmaken van de tegenbewijsregeling als het totale werkelijke rendement van hun hele box 3-vermogen lager is dan het forfaitaire rendement. Het rendement op beleggen is in de regel hoger dan het rendement op sparen, waardoor </w:t>
      </w:r>
      <w:r w:rsidR="00F4439D">
        <w:rPr>
          <w:rFonts w:ascii="Verdana" w:hAnsi="Verdana"/>
          <w:sz w:val="18"/>
          <w:szCs w:val="18"/>
        </w:rPr>
        <w:t>het eerder laten uitbetalen van</w:t>
      </w:r>
      <w:r w:rsidRPr="00CB398B" w:rsidR="00CB398B">
        <w:rPr>
          <w:rFonts w:ascii="Verdana" w:hAnsi="Verdana"/>
          <w:sz w:val="18"/>
          <w:szCs w:val="18"/>
        </w:rPr>
        <w:t xml:space="preserve"> </w:t>
      </w:r>
      <w:r w:rsidR="00F4439D">
        <w:rPr>
          <w:rFonts w:ascii="Verdana" w:hAnsi="Verdana"/>
          <w:sz w:val="18"/>
          <w:szCs w:val="18"/>
        </w:rPr>
        <w:t xml:space="preserve">één </w:t>
      </w:r>
      <w:r w:rsidRPr="00CB398B" w:rsidR="00CB398B">
        <w:rPr>
          <w:rFonts w:ascii="Verdana" w:hAnsi="Verdana"/>
          <w:sz w:val="18"/>
          <w:szCs w:val="18"/>
        </w:rPr>
        <w:t>rente</w:t>
      </w:r>
      <w:r w:rsidR="00F4439D">
        <w:rPr>
          <w:rFonts w:ascii="Verdana" w:hAnsi="Verdana"/>
          <w:sz w:val="18"/>
          <w:szCs w:val="18"/>
        </w:rPr>
        <w:t>termijn van een</w:t>
      </w:r>
      <w:r w:rsidRPr="00CB398B" w:rsidR="00CB398B">
        <w:rPr>
          <w:rFonts w:ascii="Verdana" w:hAnsi="Verdana"/>
          <w:sz w:val="18"/>
          <w:szCs w:val="18"/>
        </w:rPr>
        <w:t xml:space="preserve"> spaarrekening </w:t>
      </w:r>
      <w:r w:rsidR="003C0721">
        <w:rPr>
          <w:rFonts w:ascii="Verdana" w:hAnsi="Verdana"/>
          <w:sz w:val="18"/>
          <w:szCs w:val="18"/>
        </w:rPr>
        <w:t xml:space="preserve">in geval van aanwezige beleggingen </w:t>
      </w:r>
      <w:r w:rsidRPr="00CB398B" w:rsidR="00CB398B">
        <w:rPr>
          <w:rFonts w:ascii="Verdana" w:hAnsi="Verdana"/>
          <w:sz w:val="18"/>
          <w:szCs w:val="18"/>
        </w:rPr>
        <w:t xml:space="preserve">relatief weinig </w:t>
      </w:r>
      <w:r w:rsidRPr="00CB398B" w:rsidR="00CB398B">
        <w:rPr>
          <w:rFonts w:ascii="Verdana" w:hAnsi="Verdana"/>
          <w:sz w:val="18"/>
          <w:szCs w:val="18"/>
        </w:rPr>
        <w:lastRenderedPageBreak/>
        <w:t xml:space="preserve">invloed </w:t>
      </w:r>
      <w:r w:rsidR="003C0721">
        <w:rPr>
          <w:rFonts w:ascii="Verdana" w:hAnsi="Verdana"/>
          <w:sz w:val="18"/>
          <w:szCs w:val="18"/>
        </w:rPr>
        <w:t>zal hebben</w:t>
      </w:r>
      <w:r w:rsidRPr="00CB398B" w:rsidR="00CB398B">
        <w:rPr>
          <w:rFonts w:ascii="Verdana" w:hAnsi="Verdana"/>
          <w:sz w:val="18"/>
          <w:szCs w:val="18"/>
        </w:rPr>
        <w:t xml:space="preserve"> op het totale werkelijke rendement in box 3. Ook is van </w:t>
      </w:r>
      <w:r w:rsidRPr="00CB398B" w:rsidR="00623F59">
        <w:rPr>
          <w:rFonts w:ascii="Verdana" w:hAnsi="Verdana"/>
          <w:sz w:val="18"/>
          <w:szCs w:val="18"/>
        </w:rPr>
        <w:t>tevoren</w:t>
      </w:r>
      <w:r w:rsidRPr="00CB398B" w:rsidR="00CB398B">
        <w:rPr>
          <w:rFonts w:ascii="Verdana" w:hAnsi="Verdana"/>
          <w:sz w:val="18"/>
          <w:szCs w:val="18"/>
        </w:rPr>
        <w:t xml:space="preserve"> niet voorzienbaar voor belastingplichtigen hoe hoog hun </w:t>
      </w:r>
      <w:r w:rsidR="00413FB2">
        <w:rPr>
          <w:rFonts w:ascii="Verdana" w:hAnsi="Verdana"/>
          <w:sz w:val="18"/>
          <w:szCs w:val="18"/>
        </w:rPr>
        <w:t xml:space="preserve">totale </w:t>
      </w:r>
      <w:r w:rsidRPr="00CB398B" w:rsidR="00CB398B">
        <w:rPr>
          <w:rFonts w:ascii="Verdana" w:hAnsi="Verdana"/>
          <w:sz w:val="18"/>
          <w:szCs w:val="18"/>
        </w:rPr>
        <w:t xml:space="preserve">werkelijke rendement </w:t>
      </w:r>
      <w:r w:rsidR="004B0871">
        <w:rPr>
          <w:rFonts w:ascii="Verdana" w:hAnsi="Verdana"/>
          <w:sz w:val="18"/>
          <w:szCs w:val="18"/>
        </w:rPr>
        <w:t xml:space="preserve">in box 3 </w:t>
      </w:r>
      <w:r w:rsidR="00413FB2">
        <w:rPr>
          <w:rFonts w:ascii="Verdana" w:hAnsi="Verdana"/>
          <w:sz w:val="18"/>
          <w:szCs w:val="18"/>
        </w:rPr>
        <w:t xml:space="preserve">het komende jaar </w:t>
      </w:r>
      <w:r w:rsidRPr="00CB398B" w:rsidR="00CB398B">
        <w:rPr>
          <w:rFonts w:ascii="Verdana" w:hAnsi="Verdana"/>
          <w:sz w:val="18"/>
          <w:szCs w:val="18"/>
        </w:rPr>
        <w:t xml:space="preserve">zal zijn en in welk jaar het gunstig zal zijn om van </w:t>
      </w:r>
      <w:r w:rsidR="00655232">
        <w:rPr>
          <w:rFonts w:ascii="Verdana" w:hAnsi="Verdana"/>
          <w:sz w:val="18"/>
          <w:szCs w:val="18"/>
        </w:rPr>
        <w:t>d</w:t>
      </w:r>
      <w:r w:rsidRPr="00CB398B" w:rsidR="00CB398B">
        <w:rPr>
          <w:rFonts w:ascii="Verdana" w:hAnsi="Verdana"/>
          <w:sz w:val="18"/>
          <w:szCs w:val="18"/>
        </w:rPr>
        <w:t>e tegenbewijsregeling gebruik te maken.</w:t>
      </w:r>
    </w:p>
    <w:p w:rsidR="0006240C" w:rsidP="00CB398B" w:rsidRDefault="0006240C" w14:paraId="7884EEC5" w14:textId="77777777">
      <w:pPr>
        <w:spacing w:after="0"/>
        <w:rPr>
          <w:rFonts w:ascii="Verdana" w:hAnsi="Verdana"/>
          <w:sz w:val="18"/>
          <w:szCs w:val="18"/>
        </w:rPr>
      </w:pPr>
    </w:p>
    <w:p w:rsidRPr="0006240C" w:rsidR="0006240C" w:rsidP="00CB398B" w:rsidRDefault="0006240C" w14:paraId="79A4698B" w14:textId="569A034C">
      <w:pPr>
        <w:spacing w:after="0"/>
        <w:rPr>
          <w:rFonts w:ascii="Verdana" w:hAnsi="Verdana"/>
          <w:i/>
          <w:iCs/>
          <w:sz w:val="18"/>
          <w:szCs w:val="18"/>
        </w:rPr>
      </w:pPr>
      <w:r>
        <w:rPr>
          <w:rFonts w:ascii="Verdana" w:hAnsi="Verdana"/>
          <w:i/>
          <w:iCs/>
          <w:sz w:val="18"/>
          <w:szCs w:val="18"/>
        </w:rPr>
        <w:t>Toekomst box 3</w:t>
      </w:r>
    </w:p>
    <w:p w:rsidRPr="00771D10" w:rsidR="00A77F79" w:rsidP="00CB398B" w:rsidRDefault="00CB398B" w14:paraId="17518B66" w14:textId="04B4C331">
      <w:pPr>
        <w:spacing w:after="0"/>
        <w:rPr>
          <w:rFonts w:ascii="Verdana" w:hAnsi="Verdana"/>
          <w:sz w:val="18"/>
          <w:szCs w:val="18"/>
        </w:rPr>
      </w:pPr>
      <w:r w:rsidRPr="00CB398B">
        <w:rPr>
          <w:rFonts w:ascii="Verdana" w:hAnsi="Verdana"/>
          <w:sz w:val="18"/>
          <w:szCs w:val="18"/>
        </w:rPr>
        <w:t xml:space="preserve">Op dit moment kunnen belastingplichtigen in box 3 elk jaar kiezen tussen heffing over het forfaitaire rendement of </w:t>
      </w:r>
      <w:r w:rsidR="00236512">
        <w:rPr>
          <w:rFonts w:ascii="Verdana" w:hAnsi="Verdana"/>
          <w:sz w:val="18"/>
          <w:szCs w:val="18"/>
        </w:rPr>
        <w:t xml:space="preserve">over </w:t>
      </w:r>
      <w:r w:rsidRPr="00CB398B">
        <w:rPr>
          <w:rFonts w:ascii="Verdana" w:hAnsi="Verdana"/>
          <w:sz w:val="18"/>
          <w:szCs w:val="18"/>
        </w:rPr>
        <w:t xml:space="preserve">het werkelijke rendement. Een keuzeregime leidt altijd tot mogelijkheden tot belastingoptimalisatie. Belastingplichtigen met hogere werkelijke rendementen </w:t>
      </w:r>
      <w:r w:rsidR="003C0721">
        <w:rPr>
          <w:rFonts w:ascii="Verdana" w:hAnsi="Verdana"/>
          <w:sz w:val="18"/>
          <w:szCs w:val="18"/>
        </w:rPr>
        <w:t xml:space="preserve">dan de forfaitaire rendementen </w:t>
      </w:r>
      <w:r w:rsidRPr="00CB398B">
        <w:rPr>
          <w:rFonts w:ascii="Verdana" w:hAnsi="Verdana"/>
          <w:sz w:val="18"/>
          <w:szCs w:val="18"/>
        </w:rPr>
        <w:t>zullen kiezen voor het forfaitaire stelsel en belastingplichtigen met lagere werkelijke rendementen</w:t>
      </w:r>
      <w:r w:rsidR="003C0721">
        <w:rPr>
          <w:rFonts w:ascii="Verdana" w:hAnsi="Verdana"/>
          <w:sz w:val="18"/>
          <w:szCs w:val="18"/>
        </w:rPr>
        <w:t xml:space="preserve"> dan de forfaitaire rendementen</w:t>
      </w:r>
      <w:r w:rsidRPr="00CB398B">
        <w:rPr>
          <w:rFonts w:ascii="Verdana" w:hAnsi="Verdana"/>
          <w:sz w:val="18"/>
          <w:szCs w:val="18"/>
        </w:rPr>
        <w:t xml:space="preserve"> zullen gebruikmaken van de tegenbewijsregeling. Het kabinet wil daarom per 1 januari 2028 een stelsel op basis van werkelijk rendement invoeren. </w:t>
      </w:r>
      <w:r w:rsidR="003C0721">
        <w:rPr>
          <w:rFonts w:ascii="Verdana" w:hAnsi="Verdana"/>
          <w:sz w:val="18"/>
          <w:szCs w:val="18"/>
        </w:rPr>
        <w:t xml:space="preserve">Daarin is geen keuzeregime meer opgenomen. </w:t>
      </w:r>
      <w:r w:rsidRPr="00CB398B">
        <w:rPr>
          <w:rFonts w:ascii="Verdana" w:hAnsi="Verdana"/>
          <w:sz w:val="18"/>
          <w:szCs w:val="18"/>
        </w:rPr>
        <w:t>Inmiddels is het wetsvoorstel Wet werkelijk rendement box 3 ingediend bij uw Kamer en is ook de nota naar aanleiding van het verslag met uw Kamer gedeeld.</w:t>
      </w:r>
      <w:r w:rsidR="00655232">
        <w:rPr>
          <w:rStyle w:val="Voetnootmarkering"/>
          <w:rFonts w:ascii="Verdana" w:hAnsi="Verdana"/>
          <w:sz w:val="18"/>
          <w:szCs w:val="18"/>
        </w:rPr>
        <w:footnoteReference w:id="28"/>
      </w:r>
      <w:r w:rsidRPr="00CB398B">
        <w:rPr>
          <w:rFonts w:ascii="Verdana" w:hAnsi="Verdana"/>
          <w:sz w:val="18"/>
          <w:szCs w:val="18"/>
        </w:rPr>
        <w:t xml:space="preserve"> Om 1 januari 2028 te halen, is het noodzakelijk dat het wetsvoorstel op korte termijn behandeld wordt en uiterlijk 15 maart 2026 is aangenomen in de Tweede Kamer.</w:t>
      </w:r>
      <w:r>
        <w:rPr>
          <w:rFonts w:ascii="Verdana" w:hAnsi="Verdana"/>
          <w:sz w:val="18"/>
          <w:szCs w:val="18"/>
        </w:rPr>
        <w:t xml:space="preserve"> </w:t>
      </w:r>
    </w:p>
    <w:p w:rsidRPr="00771D10" w:rsidR="00A77F79" w:rsidP="00A77F79" w:rsidRDefault="00A77F79" w14:paraId="30862DE4" w14:textId="77777777">
      <w:pPr>
        <w:spacing w:after="0"/>
        <w:rPr>
          <w:rFonts w:ascii="Verdana" w:hAnsi="Verdana"/>
          <w:sz w:val="18"/>
          <w:szCs w:val="18"/>
        </w:rPr>
      </w:pPr>
    </w:p>
    <w:p w:rsidRPr="00771D10" w:rsidR="00A77F79" w:rsidP="00A77F79" w:rsidRDefault="00A77F79" w14:paraId="556CA6FC" w14:textId="301066EF">
      <w:pPr>
        <w:spacing w:after="0"/>
        <w:rPr>
          <w:rFonts w:ascii="Verdana" w:hAnsi="Verdana"/>
          <w:b/>
          <w:bCs/>
          <w:sz w:val="18"/>
          <w:szCs w:val="18"/>
        </w:rPr>
      </w:pPr>
      <w:r w:rsidRPr="00771D10">
        <w:rPr>
          <w:rFonts w:ascii="Verdana" w:hAnsi="Verdana"/>
          <w:b/>
          <w:bCs/>
          <w:sz w:val="18"/>
          <w:szCs w:val="18"/>
        </w:rPr>
        <w:t>Vraag 2</w:t>
      </w:r>
    </w:p>
    <w:p w:rsidRPr="00771D10" w:rsidR="00A77F79" w:rsidP="00A77F79" w:rsidRDefault="00A77F79" w14:paraId="25E4E165" w14:textId="77777777">
      <w:pPr>
        <w:spacing w:after="0"/>
        <w:rPr>
          <w:rFonts w:ascii="Verdana" w:hAnsi="Verdana"/>
          <w:sz w:val="18"/>
          <w:szCs w:val="18"/>
        </w:rPr>
      </w:pPr>
    </w:p>
    <w:p w:rsidR="00A77F79" w:rsidP="00A77F79" w:rsidRDefault="00A77F79" w14:paraId="2518D343" w14:textId="77777777">
      <w:pPr>
        <w:spacing w:after="0"/>
        <w:rPr>
          <w:rFonts w:ascii="Verdana" w:hAnsi="Verdana"/>
          <w:sz w:val="18"/>
          <w:szCs w:val="18"/>
        </w:rPr>
      </w:pPr>
      <w:r w:rsidRPr="00771D10">
        <w:rPr>
          <w:rFonts w:ascii="Verdana" w:hAnsi="Verdana"/>
          <w:sz w:val="18"/>
          <w:szCs w:val="18"/>
        </w:rPr>
        <w:t xml:space="preserve">Op welke schaal vermoedt u dat beleggers gebruik zullen maken van de beschreven mogelijkheden om belasting te ontwijken? Hoeveel euro kost dit de schatkist? </w:t>
      </w:r>
    </w:p>
    <w:p w:rsidR="00603321" w:rsidP="00A77F79" w:rsidRDefault="00603321" w14:paraId="53F81164" w14:textId="77777777">
      <w:pPr>
        <w:spacing w:after="0"/>
        <w:rPr>
          <w:rFonts w:ascii="Verdana" w:hAnsi="Verdana"/>
          <w:sz w:val="18"/>
          <w:szCs w:val="18"/>
        </w:rPr>
      </w:pPr>
    </w:p>
    <w:p w:rsidR="00603321" w:rsidP="00A77F79" w:rsidRDefault="00603321" w14:paraId="56BC6080" w14:textId="7BF7FAA7">
      <w:pPr>
        <w:spacing w:after="0"/>
        <w:rPr>
          <w:rFonts w:ascii="Verdana" w:hAnsi="Verdana"/>
          <w:sz w:val="18"/>
          <w:szCs w:val="18"/>
        </w:rPr>
      </w:pPr>
      <w:r>
        <w:rPr>
          <w:rFonts w:ascii="Verdana" w:hAnsi="Verdana"/>
          <w:b/>
          <w:bCs/>
          <w:sz w:val="18"/>
          <w:szCs w:val="18"/>
        </w:rPr>
        <w:t>Antwoord 2</w:t>
      </w:r>
    </w:p>
    <w:p w:rsidR="00603321" w:rsidP="00A77F79" w:rsidRDefault="00603321" w14:paraId="0C755158" w14:textId="77777777">
      <w:pPr>
        <w:spacing w:after="0"/>
        <w:rPr>
          <w:rFonts w:ascii="Verdana" w:hAnsi="Verdana"/>
          <w:sz w:val="18"/>
          <w:szCs w:val="18"/>
        </w:rPr>
      </w:pPr>
    </w:p>
    <w:p w:rsidRPr="00603321" w:rsidR="00603321" w:rsidP="00A77F79" w:rsidRDefault="00603321" w14:paraId="21BBD916" w14:textId="312F639B">
      <w:pPr>
        <w:spacing w:after="0"/>
        <w:rPr>
          <w:rFonts w:ascii="Verdana" w:hAnsi="Verdana"/>
          <w:sz w:val="18"/>
          <w:szCs w:val="18"/>
        </w:rPr>
      </w:pPr>
      <w:r>
        <w:rPr>
          <w:rFonts w:ascii="Verdana" w:hAnsi="Verdana"/>
          <w:sz w:val="18"/>
          <w:szCs w:val="18"/>
        </w:rPr>
        <w:t>Zoals in het antwoord op vraag 1 is toegelicht</w:t>
      </w:r>
      <w:r w:rsidR="00620390">
        <w:rPr>
          <w:rFonts w:ascii="Verdana" w:hAnsi="Verdana"/>
          <w:sz w:val="18"/>
          <w:szCs w:val="18"/>
        </w:rPr>
        <w:t>, is de in het geciteerde bericht beschreven ontwijkingsroute voor beleggers met betrekking tot de cessie van huurtermijnen niet mogelijk</w:t>
      </w:r>
      <w:r>
        <w:rPr>
          <w:rFonts w:ascii="Verdana" w:hAnsi="Verdana"/>
          <w:sz w:val="18"/>
          <w:szCs w:val="18"/>
        </w:rPr>
        <w:t>.</w:t>
      </w:r>
      <w:r w:rsidR="00E2680C">
        <w:rPr>
          <w:rFonts w:ascii="Verdana" w:hAnsi="Verdana"/>
          <w:sz w:val="18"/>
          <w:szCs w:val="18"/>
        </w:rPr>
        <w:t xml:space="preserve"> </w:t>
      </w:r>
      <w:r w:rsidRPr="00E2680C" w:rsidR="00E2680C">
        <w:rPr>
          <w:rFonts w:ascii="Verdana" w:hAnsi="Verdana"/>
          <w:sz w:val="18"/>
          <w:szCs w:val="18"/>
        </w:rPr>
        <w:t>Het eerder laten uitbetalen van één rentetermijn van een spaarrekening zal in geval van aanwezige beleggingen relatief weinig invloed hebben op het totale werkelijke rendement in box 3.</w:t>
      </w:r>
      <w:r w:rsidR="00E2680C">
        <w:rPr>
          <w:rFonts w:ascii="Verdana" w:hAnsi="Verdana"/>
          <w:sz w:val="18"/>
          <w:szCs w:val="18"/>
        </w:rPr>
        <w:t xml:space="preserve"> </w:t>
      </w:r>
    </w:p>
    <w:p w:rsidRPr="00771D10" w:rsidR="00A77F79" w:rsidP="00A77F79" w:rsidRDefault="00A77F79" w14:paraId="3875E169" w14:textId="77777777">
      <w:pPr>
        <w:spacing w:after="0"/>
        <w:rPr>
          <w:rFonts w:ascii="Verdana" w:hAnsi="Verdana"/>
          <w:sz w:val="18"/>
          <w:szCs w:val="18"/>
        </w:rPr>
      </w:pPr>
    </w:p>
    <w:p w:rsidRPr="00771D10" w:rsidR="00A77F79" w:rsidP="00A77F79" w:rsidRDefault="00A77F79" w14:paraId="5A6003E1" w14:textId="51BDABFB">
      <w:pPr>
        <w:spacing w:after="0"/>
        <w:rPr>
          <w:rFonts w:ascii="Verdana" w:hAnsi="Verdana"/>
          <w:b/>
          <w:bCs/>
          <w:sz w:val="18"/>
          <w:szCs w:val="18"/>
        </w:rPr>
      </w:pPr>
      <w:r w:rsidRPr="00771D10">
        <w:rPr>
          <w:rFonts w:ascii="Verdana" w:hAnsi="Verdana"/>
          <w:b/>
          <w:bCs/>
          <w:sz w:val="18"/>
          <w:szCs w:val="18"/>
        </w:rPr>
        <w:t>Vraag 3</w:t>
      </w:r>
    </w:p>
    <w:p w:rsidRPr="00771D10" w:rsidR="00A77F79" w:rsidP="00A77F79" w:rsidRDefault="00A77F79" w14:paraId="7A637978" w14:textId="77777777">
      <w:pPr>
        <w:spacing w:after="0"/>
        <w:rPr>
          <w:rFonts w:ascii="Verdana" w:hAnsi="Verdana"/>
          <w:sz w:val="18"/>
          <w:szCs w:val="18"/>
        </w:rPr>
      </w:pPr>
    </w:p>
    <w:p w:rsidR="00A77F79" w:rsidP="00A77F79" w:rsidRDefault="00A77F79" w14:paraId="47FF73B5" w14:textId="77777777">
      <w:pPr>
        <w:spacing w:after="0"/>
        <w:rPr>
          <w:rFonts w:ascii="Verdana" w:hAnsi="Verdana"/>
          <w:sz w:val="18"/>
          <w:szCs w:val="18"/>
        </w:rPr>
      </w:pPr>
      <w:r w:rsidRPr="00771D10">
        <w:rPr>
          <w:rFonts w:ascii="Verdana" w:hAnsi="Verdana"/>
          <w:sz w:val="18"/>
          <w:szCs w:val="18"/>
        </w:rPr>
        <w:t xml:space="preserve">Kunt u reageren op de twijfel die fiscalisten hebben bij de zienswijze van het ministerie van Financiën dat met de verkoop van huurtermijnen geen belasting in box 3 kan worden ontweken en bent u bereid dit nader uit te laten zoeken, zodat aan de voorkant duidelijkheid bestaat over deze constructie om te voorkomen dat mensen achteraf bij de rechter gelijk krijgen? </w:t>
      </w:r>
    </w:p>
    <w:p w:rsidR="00603321" w:rsidP="00A77F79" w:rsidRDefault="00603321" w14:paraId="5E87C6F7" w14:textId="77777777">
      <w:pPr>
        <w:spacing w:after="0"/>
        <w:rPr>
          <w:rFonts w:ascii="Verdana" w:hAnsi="Verdana"/>
          <w:sz w:val="18"/>
          <w:szCs w:val="18"/>
        </w:rPr>
      </w:pPr>
    </w:p>
    <w:p w:rsidR="00603321" w:rsidP="00A77F79" w:rsidRDefault="00603321" w14:paraId="16C48473" w14:textId="67FD67A1">
      <w:pPr>
        <w:spacing w:after="0"/>
        <w:rPr>
          <w:rFonts w:ascii="Verdana" w:hAnsi="Verdana"/>
          <w:sz w:val="18"/>
          <w:szCs w:val="18"/>
        </w:rPr>
      </w:pPr>
      <w:r>
        <w:rPr>
          <w:rFonts w:ascii="Verdana" w:hAnsi="Verdana"/>
          <w:b/>
          <w:bCs/>
          <w:sz w:val="18"/>
          <w:szCs w:val="18"/>
        </w:rPr>
        <w:t>Antwoord 3</w:t>
      </w:r>
    </w:p>
    <w:p w:rsidR="00603321" w:rsidP="00A77F79" w:rsidRDefault="00603321" w14:paraId="0B17BCFF" w14:textId="77777777">
      <w:pPr>
        <w:spacing w:after="0"/>
        <w:rPr>
          <w:rFonts w:ascii="Verdana" w:hAnsi="Verdana"/>
          <w:sz w:val="18"/>
          <w:szCs w:val="18"/>
        </w:rPr>
      </w:pPr>
    </w:p>
    <w:p w:rsidRPr="00603321" w:rsidR="00603321" w:rsidP="00A77F79" w:rsidRDefault="00F00AC7" w14:paraId="0E022272" w14:textId="11EE8316">
      <w:pPr>
        <w:spacing w:after="0"/>
        <w:rPr>
          <w:rFonts w:ascii="Verdana" w:hAnsi="Verdana"/>
          <w:sz w:val="18"/>
          <w:szCs w:val="18"/>
        </w:rPr>
      </w:pPr>
      <w:r>
        <w:rPr>
          <w:rFonts w:ascii="Verdana" w:hAnsi="Verdana"/>
          <w:sz w:val="18"/>
          <w:szCs w:val="18"/>
        </w:rPr>
        <w:t>De zienswijze</w:t>
      </w:r>
      <w:r w:rsidR="00C7664F">
        <w:rPr>
          <w:rFonts w:ascii="Verdana" w:hAnsi="Verdana"/>
          <w:sz w:val="18"/>
          <w:szCs w:val="18"/>
        </w:rPr>
        <w:t xml:space="preserve"> van het ministerie van Financiën</w:t>
      </w:r>
      <w:r>
        <w:rPr>
          <w:rFonts w:ascii="Verdana" w:hAnsi="Verdana"/>
          <w:sz w:val="18"/>
          <w:szCs w:val="18"/>
        </w:rPr>
        <w:t xml:space="preserve"> is voorafgaand aan de beantwoording van deze Kamervragen nog niet uitgebreid toegelicht.</w:t>
      </w:r>
      <w:r w:rsidR="00C7664F">
        <w:rPr>
          <w:rFonts w:ascii="Verdana" w:hAnsi="Verdana"/>
          <w:sz w:val="18"/>
          <w:szCs w:val="18"/>
        </w:rPr>
        <w:t xml:space="preserve"> Er is voor gekozen om de benodigde duidelijkheid te verschaffen door bij de beantwoording van vraag 1 een uitgebreide onderbouwing te geven</w:t>
      </w:r>
      <w:r w:rsidR="00DF3FFA">
        <w:rPr>
          <w:rFonts w:ascii="Verdana" w:hAnsi="Verdana"/>
          <w:sz w:val="18"/>
          <w:szCs w:val="18"/>
        </w:rPr>
        <w:t xml:space="preserve"> van de fiscaal-juridische gevolgen in box 3 van een cessie van huurtermijnen</w:t>
      </w:r>
      <w:r w:rsidR="00C7664F">
        <w:rPr>
          <w:rFonts w:ascii="Verdana" w:hAnsi="Verdana"/>
          <w:sz w:val="18"/>
          <w:szCs w:val="18"/>
        </w:rPr>
        <w:t>.</w:t>
      </w:r>
    </w:p>
    <w:p w:rsidRPr="00771D10" w:rsidR="00A77F79" w:rsidP="00A77F79" w:rsidRDefault="00A77F79" w14:paraId="5644FFCD" w14:textId="77777777">
      <w:pPr>
        <w:spacing w:after="0"/>
        <w:rPr>
          <w:rFonts w:ascii="Verdana" w:hAnsi="Verdana"/>
          <w:sz w:val="18"/>
          <w:szCs w:val="18"/>
        </w:rPr>
      </w:pPr>
    </w:p>
    <w:p w:rsidRPr="00771D10" w:rsidR="00A77F79" w:rsidP="00A77F79" w:rsidRDefault="00A77F79" w14:paraId="144E90DF" w14:textId="77777777">
      <w:pPr>
        <w:spacing w:after="0"/>
        <w:rPr>
          <w:rFonts w:ascii="Verdana" w:hAnsi="Verdana"/>
          <w:b/>
          <w:bCs/>
          <w:sz w:val="18"/>
          <w:szCs w:val="18"/>
        </w:rPr>
      </w:pPr>
      <w:r w:rsidRPr="00771D10">
        <w:rPr>
          <w:rFonts w:ascii="Verdana" w:hAnsi="Verdana"/>
          <w:b/>
          <w:bCs/>
          <w:sz w:val="18"/>
          <w:szCs w:val="18"/>
        </w:rPr>
        <w:t>Vraag 4</w:t>
      </w:r>
    </w:p>
    <w:p w:rsidRPr="00771D10" w:rsidR="00A77F79" w:rsidP="00A77F79" w:rsidRDefault="00A77F79" w14:paraId="38B79C07" w14:textId="77777777">
      <w:pPr>
        <w:spacing w:after="0"/>
        <w:rPr>
          <w:rFonts w:ascii="Verdana" w:hAnsi="Verdana"/>
          <w:sz w:val="18"/>
          <w:szCs w:val="18"/>
        </w:rPr>
      </w:pPr>
    </w:p>
    <w:p w:rsidR="00A77F79" w:rsidP="00A77F79" w:rsidRDefault="00A77F79" w14:paraId="7706A946" w14:textId="77777777">
      <w:pPr>
        <w:spacing w:after="0"/>
        <w:rPr>
          <w:rFonts w:ascii="Verdana" w:hAnsi="Verdana"/>
          <w:sz w:val="18"/>
          <w:szCs w:val="18"/>
        </w:rPr>
      </w:pPr>
      <w:r w:rsidRPr="00771D10">
        <w:rPr>
          <w:rFonts w:ascii="Verdana" w:hAnsi="Verdana"/>
          <w:sz w:val="18"/>
          <w:szCs w:val="18"/>
        </w:rPr>
        <w:t xml:space="preserve">Deelt u de mening dat het ongeacht de schaal onacceptabel is dat de beschreven ontwijkingsroutes mogelijk worden met de invoering van de nieuwe box-3 heffing? </w:t>
      </w:r>
    </w:p>
    <w:p w:rsidR="001A03B7" w:rsidP="00A77F79" w:rsidRDefault="001A03B7" w14:paraId="294252AE" w14:textId="77777777">
      <w:pPr>
        <w:spacing w:after="0"/>
        <w:rPr>
          <w:rFonts w:ascii="Verdana" w:hAnsi="Verdana"/>
          <w:sz w:val="18"/>
          <w:szCs w:val="18"/>
        </w:rPr>
      </w:pPr>
    </w:p>
    <w:p w:rsidRPr="00771D10" w:rsidR="00A77F79" w:rsidP="00A77F79" w:rsidRDefault="00A77F79" w14:paraId="7AFDD9F5" w14:textId="77777777">
      <w:pPr>
        <w:spacing w:after="0"/>
        <w:rPr>
          <w:rFonts w:ascii="Verdana" w:hAnsi="Verdana"/>
          <w:b/>
          <w:bCs/>
          <w:sz w:val="18"/>
          <w:szCs w:val="18"/>
        </w:rPr>
      </w:pPr>
      <w:r w:rsidRPr="00771D10">
        <w:rPr>
          <w:rFonts w:ascii="Verdana" w:hAnsi="Verdana"/>
          <w:b/>
          <w:bCs/>
          <w:sz w:val="18"/>
          <w:szCs w:val="18"/>
        </w:rPr>
        <w:t>Vraag 5</w:t>
      </w:r>
    </w:p>
    <w:p w:rsidRPr="00771D10" w:rsidR="00A77F79" w:rsidP="00A77F79" w:rsidRDefault="00A77F79" w14:paraId="3ECFBF35" w14:textId="77777777">
      <w:pPr>
        <w:spacing w:after="0"/>
        <w:rPr>
          <w:rFonts w:ascii="Verdana" w:hAnsi="Verdana"/>
          <w:sz w:val="18"/>
          <w:szCs w:val="18"/>
        </w:rPr>
      </w:pPr>
    </w:p>
    <w:p w:rsidRPr="00771D10" w:rsidR="00A77F79" w:rsidP="00A77F79" w:rsidRDefault="00A77F79" w14:paraId="36C6C416" w14:textId="77777777">
      <w:pPr>
        <w:spacing w:after="0"/>
        <w:rPr>
          <w:rFonts w:ascii="Verdana" w:hAnsi="Verdana"/>
          <w:sz w:val="18"/>
          <w:szCs w:val="18"/>
        </w:rPr>
      </w:pPr>
      <w:r w:rsidRPr="00771D10">
        <w:rPr>
          <w:rFonts w:ascii="Verdana" w:hAnsi="Verdana"/>
          <w:sz w:val="18"/>
          <w:szCs w:val="18"/>
        </w:rPr>
        <w:t xml:space="preserve">Deelt u de bevindingen uit het artikel dat de mogelijkheid voor beleggers om belasting te ontwijken bij de invoering van de nieuwe box 3-heffing lastig te ondervangen is? Zo ja, wat maakt het moeilijk? </w:t>
      </w:r>
    </w:p>
    <w:p w:rsidRPr="00771D10" w:rsidR="00A77F79" w:rsidP="00A77F79" w:rsidRDefault="00A77F79" w14:paraId="50356A1B" w14:textId="77777777">
      <w:pPr>
        <w:spacing w:after="0"/>
        <w:rPr>
          <w:rFonts w:ascii="Verdana" w:hAnsi="Verdana"/>
          <w:sz w:val="18"/>
          <w:szCs w:val="18"/>
        </w:rPr>
      </w:pPr>
    </w:p>
    <w:p w:rsidRPr="00771D10" w:rsidR="00A77F79" w:rsidP="00A77F79" w:rsidRDefault="00A77F79" w14:paraId="49F2900A" w14:textId="77777777">
      <w:pPr>
        <w:spacing w:after="0"/>
        <w:rPr>
          <w:rFonts w:ascii="Verdana" w:hAnsi="Verdana"/>
          <w:b/>
          <w:bCs/>
          <w:sz w:val="18"/>
          <w:szCs w:val="18"/>
        </w:rPr>
      </w:pPr>
      <w:r w:rsidRPr="00771D10">
        <w:rPr>
          <w:rFonts w:ascii="Verdana" w:hAnsi="Verdana"/>
          <w:b/>
          <w:bCs/>
          <w:sz w:val="18"/>
          <w:szCs w:val="18"/>
        </w:rPr>
        <w:t>Vraag 6</w:t>
      </w:r>
    </w:p>
    <w:p w:rsidRPr="00771D10" w:rsidR="00A77F79" w:rsidP="00A77F79" w:rsidRDefault="00A77F79" w14:paraId="23C17EF8" w14:textId="77777777">
      <w:pPr>
        <w:spacing w:after="0"/>
        <w:rPr>
          <w:rFonts w:ascii="Verdana" w:hAnsi="Verdana"/>
          <w:sz w:val="18"/>
          <w:szCs w:val="18"/>
        </w:rPr>
      </w:pPr>
    </w:p>
    <w:p w:rsidR="00A77F79" w:rsidP="00A77F79" w:rsidRDefault="00A77F79" w14:paraId="537598E6" w14:textId="77777777">
      <w:pPr>
        <w:spacing w:after="0"/>
        <w:rPr>
          <w:rFonts w:ascii="Verdana" w:hAnsi="Verdana"/>
          <w:sz w:val="18"/>
          <w:szCs w:val="18"/>
        </w:rPr>
      </w:pPr>
      <w:r w:rsidRPr="00771D10">
        <w:rPr>
          <w:rFonts w:ascii="Verdana" w:hAnsi="Verdana"/>
          <w:sz w:val="18"/>
          <w:szCs w:val="18"/>
        </w:rPr>
        <w:lastRenderedPageBreak/>
        <w:t xml:space="preserve">Bent u het ermee eens dat de wetgever een lek in het belastingstelsel aan de voorkant zou moeten repareren? Zo ja, hoe bent u dit van plan te doen? </w:t>
      </w:r>
    </w:p>
    <w:p w:rsidR="001A03B7" w:rsidP="00A77F79" w:rsidRDefault="001A03B7" w14:paraId="5DCAE3BB" w14:textId="77777777">
      <w:pPr>
        <w:spacing w:after="0"/>
        <w:rPr>
          <w:rFonts w:ascii="Verdana" w:hAnsi="Verdana"/>
          <w:sz w:val="18"/>
          <w:szCs w:val="18"/>
        </w:rPr>
      </w:pPr>
    </w:p>
    <w:p w:rsidRPr="001A03B7" w:rsidR="001A03B7" w:rsidP="001A03B7" w:rsidRDefault="001A03B7" w14:paraId="4BBB2B67" w14:textId="11E6BFC2">
      <w:pPr>
        <w:spacing w:after="0"/>
        <w:rPr>
          <w:rFonts w:ascii="Verdana" w:hAnsi="Verdana"/>
          <w:b/>
          <w:bCs/>
          <w:sz w:val="18"/>
          <w:szCs w:val="18"/>
        </w:rPr>
      </w:pPr>
      <w:r w:rsidRPr="001A03B7">
        <w:rPr>
          <w:rFonts w:ascii="Verdana" w:hAnsi="Verdana"/>
          <w:b/>
          <w:bCs/>
          <w:sz w:val="18"/>
          <w:szCs w:val="18"/>
        </w:rPr>
        <w:t>Antwoord 4</w:t>
      </w:r>
      <w:r>
        <w:rPr>
          <w:rFonts w:ascii="Verdana" w:hAnsi="Verdana"/>
          <w:b/>
          <w:bCs/>
          <w:sz w:val="18"/>
          <w:szCs w:val="18"/>
        </w:rPr>
        <w:t>, 5 en 6</w:t>
      </w:r>
    </w:p>
    <w:p w:rsidRPr="001A03B7" w:rsidR="001A03B7" w:rsidP="001A03B7" w:rsidRDefault="001A03B7" w14:paraId="5FB64B5B" w14:textId="77777777">
      <w:pPr>
        <w:spacing w:after="0"/>
        <w:rPr>
          <w:rFonts w:ascii="Verdana" w:hAnsi="Verdana"/>
          <w:sz w:val="18"/>
          <w:szCs w:val="18"/>
        </w:rPr>
      </w:pPr>
    </w:p>
    <w:p w:rsidR="005C52BD" w:rsidP="001A03B7" w:rsidRDefault="004924D8" w14:paraId="53710D51" w14:textId="7211825D">
      <w:pPr>
        <w:spacing w:after="0"/>
        <w:rPr>
          <w:rFonts w:ascii="Verdana" w:hAnsi="Verdana"/>
          <w:sz w:val="18"/>
          <w:szCs w:val="18"/>
        </w:rPr>
      </w:pPr>
      <w:r>
        <w:rPr>
          <w:rFonts w:ascii="Verdana" w:hAnsi="Verdana"/>
          <w:sz w:val="18"/>
          <w:szCs w:val="18"/>
        </w:rPr>
        <w:t xml:space="preserve">Er </w:t>
      </w:r>
      <w:r w:rsidR="00827D8E">
        <w:rPr>
          <w:rFonts w:ascii="Verdana" w:hAnsi="Verdana"/>
          <w:sz w:val="18"/>
          <w:szCs w:val="18"/>
        </w:rPr>
        <w:t>is</w:t>
      </w:r>
      <w:r w:rsidR="00692930">
        <w:rPr>
          <w:rFonts w:ascii="Verdana" w:hAnsi="Verdana"/>
          <w:sz w:val="18"/>
          <w:szCs w:val="18"/>
        </w:rPr>
        <w:t xml:space="preserve"> voor de tegenbewijsregeling in box 3</w:t>
      </w:r>
      <w:r w:rsidR="00827D8E">
        <w:rPr>
          <w:rFonts w:ascii="Verdana" w:hAnsi="Verdana"/>
          <w:sz w:val="18"/>
          <w:szCs w:val="18"/>
        </w:rPr>
        <w:t xml:space="preserve"> </w:t>
      </w:r>
      <w:r>
        <w:rPr>
          <w:rFonts w:ascii="Verdana" w:hAnsi="Verdana"/>
          <w:sz w:val="18"/>
          <w:szCs w:val="18"/>
        </w:rPr>
        <w:t>g</w:t>
      </w:r>
      <w:r w:rsidR="00827D8E">
        <w:rPr>
          <w:rFonts w:ascii="Verdana" w:hAnsi="Verdana"/>
          <w:sz w:val="18"/>
          <w:szCs w:val="18"/>
        </w:rPr>
        <w:t>een reparatiewetgeving nodig</w:t>
      </w:r>
      <w:r w:rsidRPr="001A03B7" w:rsidR="001A03B7">
        <w:rPr>
          <w:rFonts w:ascii="Verdana" w:hAnsi="Verdana"/>
          <w:sz w:val="18"/>
          <w:szCs w:val="18"/>
        </w:rPr>
        <w:t>.</w:t>
      </w:r>
      <w:r w:rsidR="001A03B7">
        <w:rPr>
          <w:rFonts w:ascii="Verdana" w:hAnsi="Verdana"/>
          <w:sz w:val="18"/>
          <w:szCs w:val="18"/>
        </w:rPr>
        <w:t xml:space="preserve"> </w:t>
      </w:r>
      <w:r>
        <w:rPr>
          <w:rFonts w:ascii="Verdana" w:hAnsi="Verdana"/>
          <w:sz w:val="18"/>
          <w:szCs w:val="18"/>
        </w:rPr>
        <w:t>Een uitgebreide toelichting</w:t>
      </w:r>
      <w:r w:rsidR="00692930">
        <w:rPr>
          <w:rFonts w:ascii="Verdana" w:hAnsi="Verdana"/>
          <w:sz w:val="18"/>
          <w:szCs w:val="18"/>
        </w:rPr>
        <w:t xml:space="preserve"> hierop</w:t>
      </w:r>
      <w:r>
        <w:rPr>
          <w:rFonts w:ascii="Verdana" w:hAnsi="Verdana"/>
          <w:sz w:val="18"/>
          <w:szCs w:val="18"/>
        </w:rPr>
        <w:t xml:space="preserve"> is opgenomen in het antwoord op vraag 1.</w:t>
      </w:r>
      <w:r w:rsidR="00692930">
        <w:rPr>
          <w:rFonts w:ascii="Verdana" w:hAnsi="Verdana"/>
          <w:sz w:val="18"/>
          <w:szCs w:val="18"/>
        </w:rPr>
        <w:t xml:space="preserve"> </w:t>
      </w:r>
      <w:r w:rsidR="00573E2C">
        <w:rPr>
          <w:rFonts w:ascii="Verdana" w:hAnsi="Verdana"/>
          <w:sz w:val="18"/>
          <w:szCs w:val="18"/>
        </w:rPr>
        <w:t xml:space="preserve">In het antwoord op vraag 1 wordt ook toegelicht dat </w:t>
      </w:r>
      <w:r w:rsidR="00720CDF">
        <w:rPr>
          <w:rFonts w:ascii="Verdana" w:hAnsi="Verdana"/>
          <w:sz w:val="18"/>
          <w:szCs w:val="18"/>
        </w:rPr>
        <w:t xml:space="preserve">in </w:t>
      </w:r>
      <w:r w:rsidR="001E1B85">
        <w:rPr>
          <w:rFonts w:ascii="Verdana" w:hAnsi="Verdana"/>
          <w:sz w:val="18"/>
          <w:szCs w:val="18"/>
        </w:rPr>
        <w:t xml:space="preserve">een separaat wetgevingstraject voor de </w:t>
      </w:r>
      <w:r w:rsidRPr="005C52BD" w:rsidR="00573E2C">
        <w:rPr>
          <w:rFonts w:ascii="Verdana" w:hAnsi="Verdana"/>
          <w:sz w:val="18"/>
          <w:szCs w:val="18"/>
        </w:rPr>
        <w:t>aanpassingswetgeving</w:t>
      </w:r>
      <w:r w:rsidR="001E1B85">
        <w:rPr>
          <w:rFonts w:ascii="Verdana" w:hAnsi="Verdana"/>
          <w:sz w:val="18"/>
          <w:szCs w:val="18"/>
        </w:rPr>
        <w:t xml:space="preserve"> in verban</w:t>
      </w:r>
      <w:r w:rsidR="00F3265F">
        <w:rPr>
          <w:rFonts w:ascii="Verdana" w:hAnsi="Verdana"/>
          <w:sz w:val="18"/>
          <w:szCs w:val="18"/>
        </w:rPr>
        <w:t>d</w:t>
      </w:r>
      <w:r w:rsidR="001E1B85">
        <w:rPr>
          <w:rFonts w:ascii="Verdana" w:hAnsi="Verdana"/>
          <w:sz w:val="18"/>
          <w:szCs w:val="18"/>
        </w:rPr>
        <w:t xml:space="preserve"> met het</w:t>
      </w:r>
      <w:r w:rsidR="00573E2C">
        <w:rPr>
          <w:rFonts w:ascii="Verdana" w:hAnsi="Verdana"/>
          <w:sz w:val="18"/>
          <w:szCs w:val="18"/>
        </w:rPr>
        <w:t xml:space="preserve"> toekomstige stelsel </w:t>
      </w:r>
      <w:r w:rsidRPr="005C52BD" w:rsidR="00573E2C">
        <w:rPr>
          <w:rFonts w:ascii="Verdana" w:hAnsi="Verdana"/>
          <w:sz w:val="18"/>
          <w:szCs w:val="18"/>
        </w:rPr>
        <w:t>een aanpassing word</w:t>
      </w:r>
      <w:r w:rsidR="00573E2C">
        <w:rPr>
          <w:rFonts w:ascii="Verdana" w:hAnsi="Verdana"/>
          <w:sz w:val="18"/>
          <w:szCs w:val="18"/>
        </w:rPr>
        <w:t xml:space="preserve">t </w:t>
      </w:r>
      <w:r w:rsidRPr="005C52BD" w:rsidR="00573E2C">
        <w:rPr>
          <w:rFonts w:ascii="Verdana" w:hAnsi="Verdana"/>
          <w:sz w:val="18"/>
          <w:szCs w:val="18"/>
        </w:rPr>
        <w:t>opgenomen met betrekking tot de inbrengwaarde van onroerende zaken in de vermogenswinstbelasting per 1 januari 2028 om de nu nog ontbrekende verwijzing naar het artikel over genotsrechten toe te voegen.</w:t>
      </w:r>
    </w:p>
    <w:p w:rsidR="00364D2F" w:rsidP="001A03B7" w:rsidRDefault="00364D2F" w14:paraId="14B08B8D" w14:textId="77777777">
      <w:pPr>
        <w:spacing w:after="0"/>
        <w:rPr>
          <w:rFonts w:ascii="Verdana" w:hAnsi="Verdana"/>
          <w:sz w:val="18"/>
          <w:szCs w:val="18"/>
        </w:rPr>
      </w:pPr>
    </w:p>
    <w:p w:rsidRPr="00771D10" w:rsidR="00A77F79" w:rsidP="00A77F79" w:rsidRDefault="00A77F79" w14:paraId="345FD3FA" w14:textId="77777777">
      <w:pPr>
        <w:spacing w:after="0"/>
        <w:rPr>
          <w:rFonts w:ascii="Verdana" w:hAnsi="Verdana"/>
          <w:b/>
          <w:bCs/>
          <w:sz w:val="18"/>
          <w:szCs w:val="18"/>
        </w:rPr>
      </w:pPr>
      <w:r w:rsidRPr="00771D10">
        <w:rPr>
          <w:rFonts w:ascii="Verdana" w:hAnsi="Verdana"/>
          <w:b/>
          <w:bCs/>
          <w:sz w:val="18"/>
          <w:szCs w:val="18"/>
        </w:rPr>
        <w:t>Vraag 7</w:t>
      </w:r>
    </w:p>
    <w:p w:rsidRPr="00771D10" w:rsidR="00A77F79" w:rsidP="00A77F79" w:rsidRDefault="00A77F79" w14:paraId="3B7F8C0A" w14:textId="77777777">
      <w:pPr>
        <w:spacing w:after="0"/>
        <w:rPr>
          <w:rFonts w:ascii="Verdana" w:hAnsi="Verdana"/>
          <w:sz w:val="18"/>
          <w:szCs w:val="18"/>
        </w:rPr>
      </w:pPr>
    </w:p>
    <w:p w:rsidR="001F7D91" w:rsidP="00A77F79" w:rsidRDefault="00A77F79" w14:paraId="7E2A17F9" w14:textId="5B53DE2F">
      <w:pPr>
        <w:spacing w:after="0"/>
        <w:rPr>
          <w:rFonts w:ascii="Verdana" w:hAnsi="Verdana"/>
          <w:sz w:val="18"/>
          <w:szCs w:val="18"/>
        </w:rPr>
      </w:pPr>
      <w:r w:rsidRPr="00771D10">
        <w:rPr>
          <w:rFonts w:ascii="Verdana" w:hAnsi="Verdana"/>
          <w:sz w:val="18"/>
          <w:szCs w:val="18"/>
        </w:rPr>
        <w:t xml:space="preserve">Bent u bereid een externe fiscaal-juridische analyse uit te laten voeren over de mogelijkheid van beschreven constructies en oplossingen in kaart te laten brengen om deze te mitigeren? </w:t>
      </w:r>
    </w:p>
    <w:p w:rsidR="001A03B7" w:rsidP="00A77F79" w:rsidRDefault="001A03B7" w14:paraId="17E49DA4" w14:textId="77777777">
      <w:pPr>
        <w:spacing w:after="0"/>
        <w:rPr>
          <w:rFonts w:ascii="Verdana" w:hAnsi="Verdana"/>
          <w:sz w:val="18"/>
          <w:szCs w:val="18"/>
        </w:rPr>
      </w:pPr>
    </w:p>
    <w:p w:rsidR="001A03B7" w:rsidP="00A77F79" w:rsidRDefault="001A03B7" w14:paraId="30325C3D" w14:textId="04F48641">
      <w:pPr>
        <w:spacing w:after="0"/>
        <w:rPr>
          <w:rFonts w:ascii="Verdana" w:hAnsi="Verdana"/>
          <w:sz w:val="18"/>
          <w:szCs w:val="18"/>
        </w:rPr>
      </w:pPr>
      <w:r>
        <w:rPr>
          <w:rFonts w:ascii="Verdana" w:hAnsi="Verdana"/>
          <w:b/>
          <w:bCs/>
          <w:sz w:val="18"/>
          <w:szCs w:val="18"/>
        </w:rPr>
        <w:t>Antwoord 7</w:t>
      </w:r>
    </w:p>
    <w:p w:rsidR="001A03B7" w:rsidP="00A77F79" w:rsidRDefault="001A03B7" w14:paraId="2B19A756" w14:textId="77777777">
      <w:pPr>
        <w:spacing w:after="0"/>
        <w:rPr>
          <w:rFonts w:ascii="Verdana" w:hAnsi="Verdana"/>
          <w:sz w:val="18"/>
          <w:szCs w:val="18"/>
        </w:rPr>
      </w:pPr>
    </w:p>
    <w:p w:rsidRPr="001A03B7" w:rsidR="001A03B7" w:rsidP="00A77F79" w:rsidRDefault="00027230" w14:paraId="20A9CBA2" w14:textId="036D2D44">
      <w:pPr>
        <w:spacing w:after="0"/>
        <w:rPr>
          <w:rFonts w:ascii="Verdana" w:hAnsi="Verdana"/>
          <w:sz w:val="18"/>
          <w:szCs w:val="18"/>
        </w:rPr>
      </w:pPr>
      <w:r>
        <w:rPr>
          <w:rFonts w:ascii="Verdana" w:hAnsi="Verdana"/>
          <w:sz w:val="18"/>
          <w:szCs w:val="18"/>
        </w:rPr>
        <w:t>Ik neem</w:t>
      </w:r>
      <w:r w:rsidRPr="001A03B7" w:rsidR="001A03B7">
        <w:rPr>
          <w:rFonts w:ascii="Verdana" w:hAnsi="Verdana"/>
          <w:sz w:val="18"/>
          <w:szCs w:val="18"/>
        </w:rPr>
        <w:t xml:space="preserve"> signalen over </w:t>
      </w:r>
      <w:r w:rsidR="00827D8E">
        <w:rPr>
          <w:rFonts w:ascii="Verdana" w:hAnsi="Verdana"/>
          <w:sz w:val="18"/>
          <w:szCs w:val="18"/>
        </w:rPr>
        <w:t xml:space="preserve">fiscale constructies </w:t>
      </w:r>
      <w:r w:rsidRPr="001A03B7" w:rsidR="001A03B7">
        <w:rPr>
          <w:rFonts w:ascii="Verdana" w:hAnsi="Verdana"/>
          <w:sz w:val="18"/>
          <w:szCs w:val="18"/>
        </w:rPr>
        <w:t>serieus e</w:t>
      </w:r>
      <w:r>
        <w:rPr>
          <w:rFonts w:ascii="Verdana" w:hAnsi="Verdana"/>
          <w:sz w:val="18"/>
          <w:szCs w:val="18"/>
        </w:rPr>
        <w:t xml:space="preserve">n </w:t>
      </w:r>
      <w:r w:rsidR="001A03B7">
        <w:rPr>
          <w:rFonts w:ascii="Verdana" w:hAnsi="Verdana"/>
          <w:sz w:val="18"/>
          <w:szCs w:val="18"/>
        </w:rPr>
        <w:t xml:space="preserve">artikelen over </w:t>
      </w:r>
      <w:r w:rsidR="004A7850">
        <w:rPr>
          <w:rFonts w:ascii="Verdana" w:hAnsi="Verdana"/>
          <w:sz w:val="18"/>
          <w:szCs w:val="18"/>
        </w:rPr>
        <w:t>belastingontwijkingsmogelijkheden</w:t>
      </w:r>
      <w:r w:rsidR="001A03B7">
        <w:rPr>
          <w:rFonts w:ascii="Verdana" w:hAnsi="Verdana"/>
          <w:sz w:val="18"/>
          <w:szCs w:val="18"/>
        </w:rPr>
        <w:t xml:space="preserve"> worden op het Ministerie van Financiën zorgvuldig bestudeerd</w:t>
      </w:r>
      <w:r w:rsidRPr="001A03B7" w:rsidR="001A03B7">
        <w:rPr>
          <w:rFonts w:ascii="Verdana" w:hAnsi="Verdana"/>
          <w:sz w:val="18"/>
          <w:szCs w:val="18"/>
        </w:rPr>
        <w:t>.</w:t>
      </w:r>
      <w:r w:rsidR="001A03B7">
        <w:rPr>
          <w:rFonts w:ascii="Verdana" w:hAnsi="Verdana"/>
          <w:sz w:val="18"/>
          <w:szCs w:val="18"/>
        </w:rPr>
        <w:t xml:space="preserve"> </w:t>
      </w:r>
      <w:r>
        <w:rPr>
          <w:rFonts w:ascii="Verdana" w:hAnsi="Verdana"/>
          <w:sz w:val="18"/>
          <w:szCs w:val="18"/>
        </w:rPr>
        <w:t>Er is</w:t>
      </w:r>
      <w:r w:rsidR="001A03B7">
        <w:rPr>
          <w:rFonts w:ascii="Verdana" w:hAnsi="Verdana"/>
          <w:sz w:val="18"/>
          <w:szCs w:val="18"/>
        </w:rPr>
        <w:t xml:space="preserve"> geen aanleiding </w:t>
      </w:r>
      <w:r>
        <w:rPr>
          <w:rFonts w:ascii="Verdana" w:hAnsi="Verdana"/>
          <w:sz w:val="18"/>
          <w:szCs w:val="18"/>
        </w:rPr>
        <w:t>voor</w:t>
      </w:r>
      <w:r w:rsidR="001A03B7">
        <w:rPr>
          <w:rFonts w:ascii="Verdana" w:hAnsi="Verdana"/>
          <w:sz w:val="18"/>
          <w:szCs w:val="18"/>
        </w:rPr>
        <w:t xml:space="preserve"> het inhuren van een externe adviseur. </w:t>
      </w:r>
    </w:p>
    <w:sectPr w:rsidRPr="001A03B7" w:rsidR="001A03B7">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AABC75" w14:textId="77777777" w:rsidR="005B6862" w:rsidRDefault="005B6862" w:rsidP="005B6862">
      <w:pPr>
        <w:spacing w:after="0" w:line="240" w:lineRule="auto"/>
      </w:pPr>
      <w:r>
        <w:separator/>
      </w:r>
    </w:p>
  </w:endnote>
  <w:endnote w:type="continuationSeparator" w:id="0">
    <w:p w14:paraId="6121CBD1" w14:textId="77777777" w:rsidR="005B6862" w:rsidRDefault="005B6862" w:rsidP="005B68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5D3696" w14:textId="77777777" w:rsidR="005B6862" w:rsidRDefault="005B6862" w:rsidP="005B6862">
      <w:pPr>
        <w:spacing w:after="0" w:line="240" w:lineRule="auto"/>
      </w:pPr>
      <w:r>
        <w:separator/>
      </w:r>
    </w:p>
  </w:footnote>
  <w:footnote w:type="continuationSeparator" w:id="0">
    <w:p w14:paraId="43D6599A" w14:textId="77777777" w:rsidR="005B6862" w:rsidRDefault="005B6862" w:rsidP="005B6862">
      <w:pPr>
        <w:spacing w:after="0" w:line="240" w:lineRule="auto"/>
      </w:pPr>
      <w:r>
        <w:continuationSeparator/>
      </w:r>
    </w:p>
  </w:footnote>
  <w:footnote w:id="1">
    <w:p w14:paraId="2B3406A8" w14:textId="224A922F" w:rsidR="004B2335" w:rsidRPr="003A4AB7" w:rsidRDefault="004B2335" w:rsidP="004B2335">
      <w:pPr>
        <w:pStyle w:val="Voetnoottekst"/>
        <w:rPr>
          <w:rFonts w:ascii="Verdana" w:hAnsi="Verdana"/>
          <w:sz w:val="14"/>
          <w:szCs w:val="14"/>
        </w:rPr>
      </w:pPr>
      <w:r w:rsidRPr="003A4AB7">
        <w:rPr>
          <w:rStyle w:val="Voetnootmarkering"/>
          <w:rFonts w:ascii="Verdana" w:hAnsi="Verdana"/>
          <w:sz w:val="14"/>
          <w:szCs w:val="14"/>
        </w:rPr>
        <w:footnoteRef/>
      </w:r>
      <w:r w:rsidRPr="003A4AB7">
        <w:rPr>
          <w:rFonts w:ascii="Verdana" w:hAnsi="Verdana"/>
          <w:sz w:val="14"/>
          <w:szCs w:val="14"/>
        </w:rPr>
        <w:t xml:space="preserve"> Financieel Dagblad, 21 september 2025, </w:t>
      </w:r>
      <w:r w:rsidRPr="003A4AB7">
        <w:rPr>
          <w:rFonts w:ascii="Verdana" w:hAnsi="Verdana"/>
          <w:i/>
          <w:iCs/>
          <w:sz w:val="14"/>
          <w:szCs w:val="14"/>
        </w:rPr>
        <w:t>Spaarders en woningbeleggers kunnen vermogenstaks</w:t>
      </w:r>
      <w:r w:rsidR="00655232" w:rsidRPr="003A4AB7">
        <w:rPr>
          <w:rFonts w:ascii="Verdana" w:hAnsi="Verdana"/>
          <w:i/>
          <w:iCs/>
          <w:sz w:val="14"/>
          <w:szCs w:val="14"/>
        </w:rPr>
        <w:t xml:space="preserve"> </w:t>
      </w:r>
      <w:r w:rsidRPr="003A4AB7">
        <w:rPr>
          <w:rFonts w:ascii="Verdana" w:hAnsi="Verdana"/>
          <w:i/>
          <w:iCs/>
          <w:sz w:val="14"/>
          <w:szCs w:val="14"/>
        </w:rPr>
        <w:t>eenvoudig ontwijken</w:t>
      </w:r>
      <w:r w:rsidRPr="003A4AB7">
        <w:rPr>
          <w:rFonts w:ascii="Verdana" w:hAnsi="Verdana"/>
          <w:sz w:val="14"/>
          <w:szCs w:val="14"/>
        </w:rPr>
        <w:t>.</w:t>
      </w:r>
    </w:p>
  </w:footnote>
  <w:footnote w:id="2">
    <w:p w14:paraId="2B09AEED" w14:textId="12DFF902" w:rsidR="00F119EE" w:rsidRPr="003A4AB7" w:rsidRDefault="00F119EE" w:rsidP="00F119EE">
      <w:pPr>
        <w:pStyle w:val="Voetnoottekst"/>
        <w:rPr>
          <w:rFonts w:ascii="Verdana" w:hAnsi="Verdana"/>
          <w:sz w:val="14"/>
          <w:szCs w:val="14"/>
        </w:rPr>
      </w:pPr>
      <w:r w:rsidRPr="003A4AB7">
        <w:rPr>
          <w:rStyle w:val="Voetnootmarkering"/>
          <w:rFonts w:ascii="Verdana" w:hAnsi="Verdana"/>
          <w:sz w:val="14"/>
          <w:szCs w:val="14"/>
        </w:rPr>
        <w:footnoteRef/>
      </w:r>
      <w:r w:rsidRPr="003A4AB7">
        <w:rPr>
          <w:rFonts w:ascii="Verdana" w:hAnsi="Verdana"/>
          <w:sz w:val="14"/>
          <w:szCs w:val="14"/>
        </w:rPr>
        <w:t xml:space="preserve"> Hoge Raad 9 oktober 2009, ECLI:NL:HR:2009:BF3856.</w:t>
      </w:r>
    </w:p>
  </w:footnote>
  <w:footnote w:id="3">
    <w:p w14:paraId="2D887AC3" w14:textId="3560828A" w:rsidR="00F119EE" w:rsidRPr="003A4AB7" w:rsidRDefault="00F119EE" w:rsidP="00F119EE">
      <w:pPr>
        <w:pStyle w:val="Voetnoottekst"/>
        <w:rPr>
          <w:rFonts w:ascii="Verdana" w:hAnsi="Verdana"/>
          <w:sz w:val="14"/>
          <w:szCs w:val="14"/>
        </w:rPr>
      </w:pPr>
      <w:r w:rsidRPr="003A4AB7">
        <w:rPr>
          <w:rStyle w:val="Voetnootmarkering"/>
          <w:rFonts w:ascii="Verdana" w:hAnsi="Verdana"/>
          <w:sz w:val="14"/>
          <w:szCs w:val="14"/>
        </w:rPr>
        <w:footnoteRef/>
      </w:r>
      <w:r w:rsidRPr="003A4AB7">
        <w:rPr>
          <w:rFonts w:ascii="Verdana" w:hAnsi="Verdana"/>
          <w:sz w:val="14"/>
          <w:szCs w:val="14"/>
        </w:rPr>
        <w:t xml:space="preserve"> Parket bij de Hoge Raad 18 september 2008, ECLI:</w:t>
      </w:r>
      <w:proofErr w:type="gramStart"/>
      <w:r w:rsidRPr="003A4AB7">
        <w:rPr>
          <w:rFonts w:ascii="Verdana" w:hAnsi="Verdana"/>
          <w:sz w:val="14"/>
          <w:szCs w:val="14"/>
        </w:rPr>
        <w:t>NL:PHR</w:t>
      </w:r>
      <w:proofErr w:type="gramEnd"/>
      <w:r w:rsidRPr="003A4AB7">
        <w:rPr>
          <w:rFonts w:ascii="Verdana" w:hAnsi="Verdana"/>
          <w:sz w:val="14"/>
          <w:szCs w:val="14"/>
        </w:rPr>
        <w:t xml:space="preserve">:2009:BF3856. </w:t>
      </w:r>
    </w:p>
  </w:footnote>
  <w:footnote w:id="4">
    <w:p w14:paraId="67DA5B50" w14:textId="527CC68B" w:rsidR="00F119EE" w:rsidRPr="003A4AB7" w:rsidRDefault="00F119EE" w:rsidP="00F119EE">
      <w:pPr>
        <w:pStyle w:val="Voetnoottekst"/>
        <w:rPr>
          <w:rFonts w:ascii="Verdana" w:hAnsi="Verdana"/>
          <w:sz w:val="14"/>
          <w:szCs w:val="14"/>
        </w:rPr>
      </w:pPr>
      <w:r w:rsidRPr="003A4AB7">
        <w:rPr>
          <w:rStyle w:val="Voetnootmarkering"/>
          <w:rFonts w:ascii="Verdana" w:hAnsi="Verdana"/>
          <w:sz w:val="14"/>
          <w:szCs w:val="14"/>
        </w:rPr>
        <w:footnoteRef/>
      </w:r>
      <w:r w:rsidRPr="003A4AB7">
        <w:rPr>
          <w:rFonts w:ascii="Verdana" w:hAnsi="Verdana"/>
          <w:sz w:val="14"/>
          <w:szCs w:val="14"/>
        </w:rPr>
        <w:t xml:space="preserve"> Hoge Raad 9 oktober 2009, ECLI:NL:HR:2009:BF3856, </w:t>
      </w:r>
      <w:proofErr w:type="spellStart"/>
      <w:r w:rsidRPr="003A4AB7">
        <w:rPr>
          <w:rFonts w:ascii="Verdana" w:hAnsi="Verdana"/>
          <w:sz w:val="14"/>
          <w:szCs w:val="14"/>
        </w:rPr>
        <w:t>r.o.</w:t>
      </w:r>
      <w:proofErr w:type="spellEnd"/>
      <w:r w:rsidRPr="003A4AB7">
        <w:rPr>
          <w:rFonts w:ascii="Verdana" w:hAnsi="Verdana"/>
          <w:sz w:val="14"/>
          <w:szCs w:val="14"/>
        </w:rPr>
        <w:t xml:space="preserve"> 3.5.2. </w:t>
      </w:r>
    </w:p>
  </w:footnote>
  <w:footnote w:id="5">
    <w:p w14:paraId="2BD1A944" w14:textId="1DEB12FC" w:rsidR="00F119EE" w:rsidRPr="003A4AB7" w:rsidRDefault="00F119EE">
      <w:pPr>
        <w:pStyle w:val="Voetnoottekst"/>
        <w:rPr>
          <w:rFonts w:ascii="Verdana" w:hAnsi="Verdana"/>
          <w:sz w:val="14"/>
          <w:szCs w:val="14"/>
        </w:rPr>
      </w:pPr>
      <w:r w:rsidRPr="003A4AB7">
        <w:rPr>
          <w:rStyle w:val="Voetnootmarkering"/>
          <w:rFonts w:ascii="Verdana" w:hAnsi="Verdana"/>
          <w:sz w:val="14"/>
          <w:szCs w:val="14"/>
        </w:rPr>
        <w:footnoteRef/>
      </w:r>
      <w:r w:rsidRPr="003A4AB7">
        <w:rPr>
          <w:rFonts w:ascii="Verdana" w:hAnsi="Verdana"/>
          <w:sz w:val="14"/>
          <w:szCs w:val="14"/>
        </w:rPr>
        <w:t xml:space="preserve"> Parket bij de Hoge Raad 18 september 2008, ECLI:</w:t>
      </w:r>
      <w:proofErr w:type="gramStart"/>
      <w:r w:rsidRPr="003A4AB7">
        <w:rPr>
          <w:rFonts w:ascii="Verdana" w:hAnsi="Verdana"/>
          <w:sz w:val="14"/>
          <w:szCs w:val="14"/>
        </w:rPr>
        <w:t>NL:PHR</w:t>
      </w:r>
      <w:proofErr w:type="gramEnd"/>
      <w:r w:rsidRPr="003A4AB7">
        <w:rPr>
          <w:rFonts w:ascii="Verdana" w:hAnsi="Verdana"/>
          <w:sz w:val="14"/>
          <w:szCs w:val="14"/>
        </w:rPr>
        <w:t>:2009:BF3856, vanaf overweging 4.23.</w:t>
      </w:r>
    </w:p>
  </w:footnote>
  <w:footnote w:id="6">
    <w:p w14:paraId="462CD390" w14:textId="21D11F31" w:rsidR="0065652F" w:rsidRPr="003A4AB7" w:rsidRDefault="0065652F">
      <w:pPr>
        <w:pStyle w:val="Voetnoottekst"/>
        <w:rPr>
          <w:rFonts w:ascii="Verdana" w:hAnsi="Verdana"/>
          <w:sz w:val="14"/>
          <w:szCs w:val="14"/>
        </w:rPr>
      </w:pPr>
      <w:r w:rsidRPr="003A4AB7">
        <w:rPr>
          <w:rStyle w:val="Voetnootmarkering"/>
          <w:rFonts w:ascii="Verdana" w:hAnsi="Verdana"/>
          <w:sz w:val="14"/>
          <w:szCs w:val="14"/>
        </w:rPr>
        <w:footnoteRef/>
      </w:r>
      <w:r w:rsidRPr="003A4AB7">
        <w:rPr>
          <w:rFonts w:ascii="Verdana" w:hAnsi="Verdana"/>
          <w:sz w:val="14"/>
          <w:szCs w:val="14"/>
        </w:rPr>
        <w:t xml:space="preserve"> Artikel 5.22, derde lid, Wet IB 2001.</w:t>
      </w:r>
    </w:p>
  </w:footnote>
  <w:footnote w:id="7">
    <w:p w14:paraId="0A719B41" w14:textId="0D322E03" w:rsidR="0065652F" w:rsidRPr="003A4AB7" w:rsidRDefault="0065652F">
      <w:pPr>
        <w:pStyle w:val="Voetnoottekst"/>
        <w:rPr>
          <w:rFonts w:ascii="Verdana" w:hAnsi="Verdana"/>
          <w:sz w:val="14"/>
          <w:szCs w:val="14"/>
        </w:rPr>
      </w:pPr>
      <w:r w:rsidRPr="003A4AB7">
        <w:rPr>
          <w:rStyle w:val="Voetnootmarkering"/>
          <w:rFonts w:ascii="Verdana" w:hAnsi="Verdana"/>
          <w:sz w:val="14"/>
          <w:szCs w:val="14"/>
        </w:rPr>
        <w:footnoteRef/>
      </w:r>
      <w:r w:rsidRPr="003A4AB7">
        <w:rPr>
          <w:rFonts w:ascii="Verdana" w:hAnsi="Verdana"/>
          <w:sz w:val="14"/>
          <w:szCs w:val="14"/>
        </w:rPr>
        <w:t xml:space="preserve"> Artikel 5.19, tweede lid, Wet IB 2001.</w:t>
      </w:r>
    </w:p>
  </w:footnote>
  <w:footnote w:id="8">
    <w:p w14:paraId="330289C1" w14:textId="10B160EF" w:rsidR="0065652F" w:rsidRPr="003A4AB7" w:rsidRDefault="0065652F">
      <w:pPr>
        <w:pStyle w:val="Voetnoottekst"/>
        <w:rPr>
          <w:rFonts w:ascii="Verdana" w:hAnsi="Verdana"/>
          <w:sz w:val="14"/>
          <w:szCs w:val="14"/>
        </w:rPr>
      </w:pPr>
      <w:r w:rsidRPr="003A4AB7">
        <w:rPr>
          <w:rStyle w:val="Voetnootmarkering"/>
          <w:rFonts w:ascii="Verdana" w:hAnsi="Verdana"/>
          <w:sz w:val="14"/>
          <w:szCs w:val="14"/>
        </w:rPr>
        <w:footnoteRef/>
      </w:r>
      <w:r w:rsidRPr="003A4AB7">
        <w:rPr>
          <w:rFonts w:ascii="Verdana" w:hAnsi="Verdana"/>
          <w:sz w:val="14"/>
          <w:szCs w:val="14"/>
        </w:rPr>
        <w:t xml:space="preserve"> Artikel 5.3, derde lid, Wet IB 2001.</w:t>
      </w:r>
    </w:p>
  </w:footnote>
  <w:footnote w:id="9">
    <w:p w14:paraId="1A01D75A" w14:textId="5E442224" w:rsidR="00977F07" w:rsidRPr="003A4AB7" w:rsidRDefault="00977F07" w:rsidP="00977F07">
      <w:pPr>
        <w:pStyle w:val="Voetnoottekst"/>
        <w:rPr>
          <w:rFonts w:ascii="Verdana" w:hAnsi="Verdana"/>
          <w:sz w:val="14"/>
          <w:szCs w:val="14"/>
        </w:rPr>
      </w:pPr>
      <w:r w:rsidRPr="003A4AB7">
        <w:rPr>
          <w:rStyle w:val="Voetnootmarkering"/>
          <w:rFonts w:ascii="Verdana" w:hAnsi="Verdana"/>
          <w:sz w:val="14"/>
          <w:szCs w:val="14"/>
        </w:rPr>
        <w:footnoteRef/>
      </w:r>
      <w:r w:rsidRPr="003A4AB7">
        <w:rPr>
          <w:rFonts w:ascii="Verdana" w:hAnsi="Verdana"/>
          <w:sz w:val="14"/>
          <w:szCs w:val="14"/>
        </w:rPr>
        <w:t xml:space="preserve"> Parket bij de Hoge Raad 18 september 2008, ECLI:</w:t>
      </w:r>
      <w:proofErr w:type="gramStart"/>
      <w:r w:rsidRPr="003A4AB7">
        <w:rPr>
          <w:rFonts w:ascii="Verdana" w:hAnsi="Verdana"/>
          <w:sz w:val="14"/>
          <w:szCs w:val="14"/>
        </w:rPr>
        <w:t>NL:PHR</w:t>
      </w:r>
      <w:proofErr w:type="gramEnd"/>
      <w:r w:rsidRPr="003A4AB7">
        <w:rPr>
          <w:rFonts w:ascii="Verdana" w:hAnsi="Verdana"/>
          <w:sz w:val="14"/>
          <w:szCs w:val="14"/>
        </w:rPr>
        <w:t>:2009:BF3856, overweging 4.26.</w:t>
      </w:r>
    </w:p>
  </w:footnote>
  <w:footnote w:id="10">
    <w:p w14:paraId="02B34233" w14:textId="70DA5EF5" w:rsidR="007C3ED6" w:rsidRPr="003A4AB7" w:rsidRDefault="007C3ED6">
      <w:pPr>
        <w:pStyle w:val="Voetnoottekst"/>
        <w:rPr>
          <w:rFonts w:ascii="Verdana" w:hAnsi="Verdana"/>
          <w:sz w:val="14"/>
          <w:szCs w:val="14"/>
        </w:rPr>
      </w:pPr>
      <w:r w:rsidRPr="003A4AB7">
        <w:rPr>
          <w:rStyle w:val="Voetnootmarkering"/>
          <w:rFonts w:ascii="Verdana" w:hAnsi="Verdana"/>
          <w:sz w:val="14"/>
          <w:szCs w:val="14"/>
        </w:rPr>
        <w:footnoteRef/>
      </w:r>
      <w:r w:rsidRPr="003A4AB7">
        <w:rPr>
          <w:rFonts w:ascii="Verdana" w:hAnsi="Verdana"/>
          <w:sz w:val="14"/>
          <w:szCs w:val="14"/>
        </w:rPr>
        <w:t xml:space="preserve"> Artikel 5.22, derde lid, Wet IB 2001.</w:t>
      </w:r>
    </w:p>
  </w:footnote>
  <w:footnote w:id="11">
    <w:p w14:paraId="77AD1FBF" w14:textId="68CA0D77" w:rsidR="00D012A0" w:rsidRPr="003A4AB7" w:rsidRDefault="00D012A0">
      <w:pPr>
        <w:pStyle w:val="Voetnoottekst"/>
        <w:rPr>
          <w:rFonts w:ascii="Verdana" w:hAnsi="Verdana"/>
          <w:sz w:val="14"/>
          <w:szCs w:val="14"/>
        </w:rPr>
      </w:pPr>
      <w:r w:rsidRPr="003A4AB7">
        <w:rPr>
          <w:rStyle w:val="Voetnootmarkering"/>
          <w:rFonts w:ascii="Verdana" w:hAnsi="Verdana"/>
          <w:sz w:val="14"/>
          <w:szCs w:val="14"/>
        </w:rPr>
        <w:footnoteRef/>
      </w:r>
      <w:r w:rsidRPr="003A4AB7">
        <w:rPr>
          <w:rFonts w:ascii="Verdana" w:hAnsi="Verdana"/>
          <w:sz w:val="14"/>
          <w:szCs w:val="14"/>
        </w:rPr>
        <w:t xml:space="preserve"> </w:t>
      </w:r>
      <w:r w:rsidR="00B95856" w:rsidRPr="003A4AB7">
        <w:rPr>
          <w:rFonts w:ascii="Verdana" w:hAnsi="Verdana"/>
          <w:sz w:val="14"/>
          <w:szCs w:val="14"/>
        </w:rPr>
        <w:t xml:space="preserve">Kamerstukken II </w:t>
      </w:r>
      <w:r w:rsidRPr="003A4AB7">
        <w:rPr>
          <w:rFonts w:ascii="Verdana" w:hAnsi="Verdana"/>
          <w:sz w:val="14"/>
          <w:szCs w:val="14"/>
        </w:rPr>
        <w:t>1998</w:t>
      </w:r>
      <w:r w:rsidR="00B95856" w:rsidRPr="003A4AB7">
        <w:rPr>
          <w:rFonts w:ascii="Verdana" w:hAnsi="Verdana"/>
          <w:sz w:val="14"/>
          <w:szCs w:val="14"/>
        </w:rPr>
        <w:t>/</w:t>
      </w:r>
      <w:r w:rsidRPr="003A4AB7">
        <w:rPr>
          <w:rFonts w:ascii="Verdana" w:hAnsi="Verdana"/>
          <w:sz w:val="14"/>
          <w:szCs w:val="14"/>
        </w:rPr>
        <w:t>99, 26 727, nr. 3, p 248.</w:t>
      </w:r>
    </w:p>
  </w:footnote>
  <w:footnote w:id="12">
    <w:p w14:paraId="7E6C1B7C" w14:textId="039BED4F" w:rsidR="00B24A3E" w:rsidRPr="003A4AB7" w:rsidRDefault="00B24A3E">
      <w:pPr>
        <w:pStyle w:val="Voetnoottekst"/>
        <w:rPr>
          <w:rFonts w:ascii="Verdana" w:hAnsi="Verdana"/>
          <w:sz w:val="14"/>
          <w:szCs w:val="14"/>
        </w:rPr>
      </w:pPr>
      <w:r w:rsidRPr="003A4AB7">
        <w:rPr>
          <w:rStyle w:val="Voetnootmarkering"/>
          <w:rFonts w:ascii="Verdana" w:hAnsi="Verdana"/>
          <w:sz w:val="14"/>
          <w:szCs w:val="14"/>
        </w:rPr>
        <w:footnoteRef/>
      </w:r>
      <w:r w:rsidRPr="003A4AB7">
        <w:rPr>
          <w:rFonts w:ascii="Verdana" w:hAnsi="Verdana"/>
          <w:sz w:val="14"/>
          <w:szCs w:val="14"/>
        </w:rPr>
        <w:t xml:space="preserve"> De bezittingen in box 3 zijn opgesomd in artikel 5.3, tweede lid, Wet IB 2001.</w:t>
      </w:r>
    </w:p>
  </w:footnote>
  <w:footnote w:id="13">
    <w:p w14:paraId="25E4555A" w14:textId="435F871E" w:rsidR="00FB7AE3" w:rsidRPr="003A4AB7" w:rsidRDefault="00FB7AE3">
      <w:pPr>
        <w:pStyle w:val="Voetnoottekst"/>
        <w:rPr>
          <w:rFonts w:ascii="Verdana" w:hAnsi="Verdana"/>
          <w:sz w:val="14"/>
          <w:szCs w:val="14"/>
        </w:rPr>
      </w:pPr>
      <w:r w:rsidRPr="003A4AB7">
        <w:rPr>
          <w:rStyle w:val="Voetnootmarkering"/>
          <w:rFonts w:ascii="Verdana" w:hAnsi="Verdana"/>
          <w:sz w:val="14"/>
          <w:szCs w:val="14"/>
        </w:rPr>
        <w:footnoteRef/>
      </w:r>
      <w:r w:rsidRPr="003A4AB7">
        <w:rPr>
          <w:rFonts w:ascii="Verdana" w:hAnsi="Verdana"/>
          <w:sz w:val="14"/>
          <w:szCs w:val="14"/>
        </w:rPr>
        <w:t xml:space="preserve"> Artikel 5.22, tweede lid, Wet IB 2001.</w:t>
      </w:r>
    </w:p>
  </w:footnote>
  <w:footnote w:id="14">
    <w:p w14:paraId="34A45EEE" w14:textId="5818F336" w:rsidR="00E86506" w:rsidRPr="003A4AB7" w:rsidRDefault="00E86506" w:rsidP="00E86506">
      <w:pPr>
        <w:pStyle w:val="Voetnoottekst"/>
        <w:rPr>
          <w:rFonts w:ascii="Verdana" w:hAnsi="Verdana"/>
          <w:sz w:val="14"/>
          <w:szCs w:val="14"/>
        </w:rPr>
      </w:pPr>
      <w:r w:rsidRPr="003A4AB7">
        <w:rPr>
          <w:rStyle w:val="Voetnootmarkering"/>
          <w:rFonts w:ascii="Verdana" w:hAnsi="Verdana"/>
          <w:sz w:val="14"/>
          <w:szCs w:val="14"/>
        </w:rPr>
        <w:footnoteRef/>
      </w:r>
      <w:r w:rsidRPr="003A4AB7">
        <w:rPr>
          <w:rFonts w:ascii="Verdana" w:hAnsi="Verdana"/>
          <w:sz w:val="14"/>
          <w:szCs w:val="14"/>
        </w:rPr>
        <w:t xml:space="preserve"> </w:t>
      </w:r>
      <w:r w:rsidR="00E12BCF" w:rsidRPr="003A4AB7">
        <w:rPr>
          <w:rFonts w:ascii="Verdana" w:hAnsi="Verdana"/>
          <w:sz w:val="14"/>
          <w:szCs w:val="14"/>
        </w:rPr>
        <w:t>A</w:t>
      </w:r>
      <w:r w:rsidRPr="003A4AB7">
        <w:rPr>
          <w:rFonts w:ascii="Verdana" w:hAnsi="Verdana"/>
          <w:sz w:val="14"/>
          <w:szCs w:val="14"/>
        </w:rPr>
        <w:t xml:space="preserve">rtikel 5.30, eerste lid, </w:t>
      </w:r>
      <w:r w:rsidR="00E47ADC" w:rsidRPr="003A4AB7">
        <w:rPr>
          <w:rFonts w:ascii="Verdana" w:hAnsi="Verdana"/>
          <w:sz w:val="14"/>
          <w:szCs w:val="14"/>
        </w:rPr>
        <w:t xml:space="preserve">aanhef en </w:t>
      </w:r>
      <w:r w:rsidRPr="003A4AB7">
        <w:rPr>
          <w:rFonts w:ascii="Verdana" w:hAnsi="Verdana"/>
          <w:sz w:val="14"/>
          <w:szCs w:val="14"/>
        </w:rPr>
        <w:t xml:space="preserve">onderdeel a, Wet IB 2001.  </w:t>
      </w:r>
    </w:p>
  </w:footnote>
  <w:footnote w:id="15">
    <w:p w14:paraId="48023BB6" w14:textId="249ECA6D" w:rsidR="00E12BCF" w:rsidRPr="003A4AB7" w:rsidRDefault="00E12BCF">
      <w:pPr>
        <w:pStyle w:val="Voetnoottekst"/>
        <w:rPr>
          <w:rFonts w:ascii="Verdana" w:hAnsi="Verdana"/>
          <w:sz w:val="14"/>
          <w:szCs w:val="14"/>
        </w:rPr>
      </w:pPr>
      <w:r w:rsidRPr="003A4AB7">
        <w:rPr>
          <w:rStyle w:val="Voetnootmarkering"/>
          <w:rFonts w:ascii="Verdana" w:hAnsi="Verdana"/>
          <w:sz w:val="14"/>
          <w:szCs w:val="14"/>
        </w:rPr>
        <w:footnoteRef/>
      </w:r>
      <w:r w:rsidRPr="003A4AB7">
        <w:rPr>
          <w:rFonts w:ascii="Verdana" w:hAnsi="Verdana"/>
          <w:sz w:val="14"/>
          <w:szCs w:val="14"/>
        </w:rPr>
        <w:t xml:space="preserve"> Artikel 5.28, eerste lid, Wet IB 2001.</w:t>
      </w:r>
    </w:p>
  </w:footnote>
  <w:footnote w:id="16">
    <w:p w14:paraId="7C344ADE" w14:textId="77777777" w:rsidR="00DD69AD" w:rsidRPr="003A4AB7" w:rsidRDefault="00DD69AD" w:rsidP="00DD69AD">
      <w:pPr>
        <w:pStyle w:val="Voetnoottekst"/>
        <w:rPr>
          <w:rFonts w:ascii="Verdana" w:hAnsi="Verdana"/>
          <w:sz w:val="14"/>
          <w:szCs w:val="14"/>
        </w:rPr>
      </w:pPr>
      <w:r w:rsidRPr="003A4AB7">
        <w:rPr>
          <w:rStyle w:val="Voetnootmarkering"/>
          <w:rFonts w:ascii="Verdana" w:hAnsi="Verdana"/>
          <w:sz w:val="14"/>
          <w:szCs w:val="14"/>
        </w:rPr>
        <w:footnoteRef/>
      </w:r>
      <w:r w:rsidRPr="003A4AB7">
        <w:rPr>
          <w:rFonts w:ascii="Verdana" w:hAnsi="Verdana"/>
          <w:sz w:val="14"/>
          <w:szCs w:val="14"/>
        </w:rPr>
        <w:t xml:space="preserve"> De betaling van de overdrachtsprijs wordt op grond van artikel 5.29, eerste lid, aanhef en onderdeel a, Wet IB 2001 als storting in aanmerking genomen. Op grond van artikel 5.28, eerste lid, Wet IB 2001 worden stortingen in mindering gebracht bij het bepalen van de vermogensaanwas. </w:t>
      </w:r>
    </w:p>
  </w:footnote>
  <w:footnote w:id="17">
    <w:p w14:paraId="24528E88" w14:textId="19BAC802" w:rsidR="00E836B8" w:rsidRPr="00012F86" w:rsidRDefault="00E836B8">
      <w:pPr>
        <w:pStyle w:val="Voetnoottekst"/>
        <w:rPr>
          <w:rFonts w:ascii="Verdana" w:hAnsi="Verdana"/>
          <w:sz w:val="14"/>
          <w:szCs w:val="14"/>
        </w:rPr>
      </w:pPr>
      <w:r w:rsidRPr="00012F86">
        <w:rPr>
          <w:rStyle w:val="Voetnootmarkering"/>
          <w:rFonts w:ascii="Verdana" w:hAnsi="Verdana"/>
          <w:sz w:val="14"/>
          <w:szCs w:val="14"/>
        </w:rPr>
        <w:footnoteRef/>
      </w:r>
      <w:r w:rsidRPr="00012F86">
        <w:rPr>
          <w:rFonts w:ascii="Verdana" w:hAnsi="Verdana"/>
          <w:sz w:val="14"/>
          <w:szCs w:val="14"/>
        </w:rPr>
        <w:t xml:space="preserve"> Artikel 5.26, tweede lid, onderdeel a, Wet IB 2001.</w:t>
      </w:r>
    </w:p>
  </w:footnote>
  <w:footnote w:id="18">
    <w:p w14:paraId="39002556" w14:textId="6F897858" w:rsidR="00E836B8" w:rsidRDefault="00E836B8">
      <w:pPr>
        <w:pStyle w:val="Voetnoottekst"/>
      </w:pPr>
      <w:r w:rsidRPr="00012F86">
        <w:rPr>
          <w:rStyle w:val="Voetnootmarkering"/>
          <w:rFonts w:ascii="Verdana" w:hAnsi="Verdana"/>
          <w:sz w:val="14"/>
          <w:szCs w:val="14"/>
        </w:rPr>
        <w:footnoteRef/>
      </w:r>
      <w:r w:rsidRPr="00012F86">
        <w:rPr>
          <w:rFonts w:ascii="Verdana" w:hAnsi="Verdana"/>
          <w:sz w:val="14"/>
          <w:szCs w:val="14"/>
        </w:rPr>
        <w:t xml:space="preserve"> </w:t>
      </w:r>
      <w:r w:rsidR="008D2C5D">
        <w:rPr>
          <w:rFonts w:ascii="Verdana" w:hAnsi="Verdana"/>
          <w:sz w:val="14"/>
          <w:szCs w:val="14"/>
        </w:rPr>
        <w:t>Op dit punt is er</w:t>
      </w:r>
      <w:r w:rsidRPr="00012F86">
        <w:rPr>
          <w:rFonts w:ascii="Verdana" w:hAnsi="Verdana"/>
          <w:sz w:val="14"/>
          <w:szCs w:val="14"/>
        </w:rPr>
        <w:t xml:space="preserve"> een belangrijk verschil tussen de Wet IB 2001 en de Wet IB 1964. De opsomming van </w:t>
      </w:r>
      <w:r w:rsidR="00FB507E">
        <w:rPr>
          <w:rFonts w:ascii="Verdana" w:hAnsi="Verdana"/>
          <w:sz w:val="14"/>
          <w:szCs w:val="14"/>
        </w:rPr>
        <w:t>bezittingen die een bron</w:t>
      </w:r>
      <w:r w:rsidRPr="00012F86">
        <w:rPr>
          <w:rFonts w:ascii="Verdana" w:hAnsi="Verdana"/>
          <w:sz w:val="14"/>
          <w:szCs w:val="14"/>
        </w:rPr>
        <w:t xml:space="preserve"> van inkomen </w:t>
      </w:r>
      <w:r w:rsidR="00FB507E">
        <w:rPr>
          <w:rFonts w:ascii="Verdana" w:hAnsi="Verdana"/>
          <w:sz w:val="14"/>
          <w:szCs w:val="14"/>
        </w:rPr>
        <w:t xml:space="preserve">zijn, is in </w:t>
      </w:r>
      <w:r w:rsidR="00DB36CD">
        <w:rPr>
          <w:rFonts w:ascii="Verdana" w:hAnsi="Verdana"/>
          <w:sz w:val="14"/>
          <w:szCs w:val="14"/>
        </w:rPr>
        <w:t xml:space="preserve">artikel 5.3 van </w:t>
      </w:r>
      <w:r w:rsidR="00FB507E">
        <w:rPr>
          <w:rFonts w:ascii="Verdana" w:hAnsi="Verdana"/>
          <w:sz w:val="14"/>
          <w:szCs w:val="14"/>
        </w:rPr>
        <w:t xml:space="preserve">de Wet IB 2001 namelijk veel uitgebreider dan in </w:t>
      </w:r>
      <w:r w:rsidR="00DB36CD">
        <w:rPr>
          <w:rFonts w:ascii="Verdana" w:hAnsi="Verdana"/>
          <w:sz w:val="14"/>
          <w:szCs w:val="14"/>
        </w:rPr>
        <w:t>artikel 24</w:t>
      </w:r>
      <w:r w:rsidR="00222BFC">
        <w:rPr>
          <w:rFonts w:ascii="Verdana" w:hAnsi="Verdana"/>
          <w:sz w:val="14"/>
          <w:szCs w:val="14"/>
        </w:rPr>
        <w:t>, eerste lid,</w:t>
      </w:r>
      <w:r w:rsidR="00DB36CD">
        <w:rPr>
          <w:rFonts w:ascii="Verdana" w:hAnsi="Verdana"/>
          <w:sz w:val="14"/>
          <w:szCs w:val="14"/>
        </w:rPr>
        <w:t xml:space="preserve"> van </w:t>
      </w:r>
      <w:r w:rsidR="00FB507E">
        <w:rPr>
          <w:rFonts w:ascii="Verdana" w:hAnsi="Verdana"/>
          <w:sz w:val="14"/>
          <w:szCs w:val="14"/>
        </w:rPr>
        <w:t>de</w:t>
      </w:r>
      <w:r w:rsidRPr="00012F86">
        <w:rPr>
          <w:rFonts w:ascii="Verdana" w:hAnsi="Verdana"/>
          <w:sz w:val="14"/>
          <w:szCs w:val="14"/>
        </w:rPr>
        <w:t xml:space="preserve"> Wet IB 1964. </w:t>
      </w:r>
      <w:r w:rsidR="000370AF">
        <w:rPr>
          <w:rFonts w:ascii="Verdana" w:hAnsi="Verdana"/>
          <w:sz w:val="14"/>
          <w:szCs w:val="14"/>
        </w:rPr>
        <w:t>Hierdoor is er in de Wet IB 2001</w:t>
      </w:r>
      <w:r w:rsidR="00FB507E" w:rsidRPr="00FB507E">
        <w:rPr>
          <w:rFonts w:ascii="Verdana" w:hAnsi="Verdana"/>
          <w:sz w:val="14"/>
          <w:szCs w:val="14"/>
        </w:rPr>
        <w:t xml:space="preserve"> eerder sprake van dat een bron niet in stand blijft, waardoor er minder snel een regulier voordeel ontstaat</w:t>
      </w:r>
      <w:r w:rsidR="000370AF">
        <w:rPr>
          <w:rFonts w:ascii="Verdana" w:hAnsi="Verdana"/>
          <w:sz w:val="14"/>
          <w:szCs w:val="14"/>
        </w:rPr>
        <w:t xml:space="preserve"> dan op grond van de Wet IB 1964 het geval was</w:t>
      </w:r>
      <w:r w:rsidR="00FB507E" w:rsidRPr="00FB507E">
        <w:rPr>
          <w:rFonts w:ascii="Verdana" w:hAnsi="Verdana"/>
          <w:sz w:val="14"/>
          <w:szCs w:val="14"/>
        </w:rPr>
        <w:t>.</w:t>
      </w:r>
      <w:r w:rsidR="00FB507E">
        <w:rPr>
          <w:rFonts w:ascii="Verdana" w:hAnsi="Verdana"/>
          <w:sz w:val="14"/>
          <w:szCs w:val="14"/>
        </w:rPr>
        <w:t xml:space="preserve"> </w:t>
      </w:r>
      <w:r w:rsidRPr="00012F86">
        <w:rPr>
          <w:rFonts w:ascii="Verdana" w:hAnsi="Verdana"/>
          <w:sz w:val="14"/>
          <w:szCs w:val="14"/>
        </w:rPr>
        <w:t>De wetgever van de Wet IB 1964 h</w:t>
      </w:r>
      <w:r w:rsidR="000B1FEC" w:rsidRPr="00012F86">
        <w:rPr>
          <w:rFonts w:ascii="Verdana" w:hAnsi="Verdana"/>
          <w:sz w:val="14"/>
          <w:szCs w:val="14"/>
        </w:rPr>
        <w:t xml:space="preserve">ad </w:t>
      </w:r>
      <w:r w:rsidRPr="00012F86">
        <w:rPr>
          <w:rFonts w:ascii="Verdana" w:hAnsi="Verdana"/>
          <w:sz w:val="14"/>
          <w:szCs w:val="14"/>
        </w:rPr>
        <w:t>de opsomming</w:t>
      </w:r>
      <w:r w:rsidR="000B1FEC" w:rsidRPr="00012F86">
        <w:rPr>
          <w:rFonts w:ascii="Verdana" w:hAnsi="Verdana"/>
          <w:sz w:val="14"/>
          <w:szCs w:val="14"/>
        </w:rPr>
        <w:t xml:space="preserve"> van</w:t>
      </w:r>
      <w:r w:rsidRPr="00012F86">
        <w:rPr>
          <w:rFonts w:ascii="Verdana" w:hAnsi="Verdana"/>
          <w:sz w:val="14"/>
          <w:szCs w:val="14"/>
        </w:rPr>
        <w:t xml:space="preserve"> </w:t>
      </w:r>
      <w:r w:rsidR="005907D5" w:rsidRPr="00012F86">
        <w:rPr>
          <w:rFonts w:ascii="Verdana" w:hAnsi="Verdana"/>
          <w:sz w:val="14"/>
          <w:szCs w:val="14"/>
        </w:rPr>
        <w:t>bronnen</w:t>
      </w:r>
      <w:r w:rsidRPr="00012F86">
        <w:rPr>
          <w:rFonts w:ascii="Verdana" w:hAnsi="Verdana"/>
          <w:sz w:val="14"/>
          <w:szCs w:val="14"/>
        </w:rPr>
        <w:t xml:space="preserve"> expres kort gehouden, zodat </w:t>
      </w:r>
      <w:r w:rsidR="00856944">
        <w:rPr>
          <w:rFonts w:ascii="Verdana" w:hAnsi="Verdana"/>
          <w:sz w:val="14"/>
          <w:szCs w:val="14"/>
        </w:rPr>
        <w:t>zo veel mogelijk</w:t>
      </w:r>
      <w:r w:rsidRPr="00012F86">
        <w:rPr>
          <w:rFonts w:ascii="Verdana" w:hAnsi="Verdana"/>
          <w:sz w:val="14"/>
          <w:szCs w:val="14"/>
        </w:rPr>
        <w:t xml:space="preserve"> sprake zou zijn van een voordeel</w:t>
      </w:r>
      <w:r w:rsidR="000B1FEC" w:rsidRPr="00012F86">
        <w:rPr>
          <w:rFonts w:ascii="Verdana" w:hAnsi="Verdana"/>
          <w:sz w:val="14"/>
          <w:szCs w:val="14"/>
        </w:rPr>
        <w:t xml:space="preserve"> getrokken uit een bron (</w:t>
      </w:r>
      <w:r w:rsidRPr="00012F86">
        <w:rPr>
          <w:rFonts w:ascii="Verdana" w:hAnsi="Verdana"/>
          <w:sz w:val="14"/>
          <w:szCs w:val="14"/>
        </w:rPr>
        <w:t>de waardeontwikkeling van vermogen</w:t>
      </w:r>
      <w:r w:rsidR="000B1FEC" w:rsidRPr="00012F86">
        <w:rPr>
          <w:rFonts w:ascii="Verdana" w:hAnsi="Verdana"/>
          <w:sz w:val="14"/>
          <w:szCs w:val="14"/>
        </w:rPr>
        <w:t xml:space="preserve"> werd namelijk niet belast)</w:t>
      </w:r>
      <w:r w:rsidRPr="00012F86">
        <w:rPr>
          <w:rFonts w:ascii="Verdana" w:hAnsi="Verdana"/>
          <w:sz w:val="14"/>
          <w:szCs w:val="14"/>
        </w:rPr>
        <w:t>. Zie Kamerstukken II 1958/59, 5380, nr.</w:t>
      </w:r>
      <w:r w:rsidR="00C74F2E" w:rsidRPr="00012F86">
        <w:rPr>
          <w:rFonts w:ascii="Verdana" w:hAnsi="Verdana"/>
          <w:sz w:val="14"/>
          <w:szCs w:val="14"/>
        </w:rPr>
        <w:t> </w:t>
      </w:r>
      <w:r w:rsidRPr="00012F86">
        <w:rPr>
          <w:rFonts w:ascii="Verdana" w:hAnsi="Verdana"/>
          <w:sz w:val="14"/>
          <w:szCs w:val="14"/>
        </w:rPr>
        <w:t>3, p. 41.</w:t>
      </w:r>
      <w:r w:rsidR="00B4488C">
        <w:rPr>
          <w:rFonts w:ascii="Verdana" w:hAnsi="Verdana"/>
          <w:sz w:val="14"/>
          <w:szCs w:val="14"/>
        </w:rPr>
        <w:t xml:space="preserve"> </w:t>
      </w:r>
      <w:r w:rsidR="00F53D1D">
        <w:rPr>
          <w:rFonts w:ascii="Verdana" w:hAnsi="Verdana"/>
          <w:sz w:val="14"/>
          <w:szCs w:val="14"/>
        </w:rPr>
        <w:t xml:space="preserve">Daarnaast bevat het </w:t>
      </w:r>
      <w:r w:rsidR="00B4488C">
        <w:rPr>
          <w:rFonts w:ascii="Verdana" w:hAnsi="Verdana"/>
          <w:sz w:val="14"/>
          <w:szCs w:val="14"/>
        </w:rPr>
        <w:t xml:space="preserve">box 3-stelsel </w:t>
      </w:r>
      <w:r w:rsidR="00F53D1D">
        <w:rPr>
          <w:rFonts w:ascii="Verdana" w:hAnsi="Verdana"/>
          <w:sz w:val="14"/>
          <w:szCs w:val="14"/>
        </w:rPr>
        <w:t xml:space="preserve">geen regeling die </w:t>
      </w:r>
      <w:r w:rsidR="00B4488C">
        <w:rPr>
          <w:rFonts w:ascii="Verdana" w:hAnsi="Verdana"/>
          <w:sz w:val="14"/>
          <w:szCs w:val="14"/>
        </w:rPr>
        <w:t>vergelijkbaar is met artikel 31 van de Wet IB 1964.</w:t>
      </w:r>
      <w:r w:rsidR="00C74F2E">
        <w:t xml:space="preserve"> </w:t>
      </w:r>
    </w:p>
  </w:footnote>
  <w:footnote w:id="19">
    <w:p w14:paraId="19EA4708" w14:textId="2D889499" w:rsidR="00F3591C" w:rsidRPr="003A4AB7" w:rsidRDefault="00F3591C">
      <w:pPr>
        <w:pStyle w:val="Voetnoottekst"/>
        <w:rPr>
          <w:rFonts w:ascii="Verdana" w:hAnsi="Verdana"/>
          <w:sz w:val="14"/>
          <w:szCs w:val="14"/>
        </w:rPr>
      </w:pPr>
      <w:r w:rsidRPr="003A4AB7">
        <w:rPr>
          <w:rStyle w:val="Voetnootmarkering"/>
          <w:rFonts w:ascii="Verdana" w:hAnsi="Verdana"/>
          <w:sz w:val="14"/>
          <w:szCs w:val="14"/>
        </w:rPr>
        <w:footnoteRef/>
      </w:r>
      <w:r w:rsidRPr="003A4AB7">
        <w:rPr>
          <w:rFonts w:ascii="Verdana" w:hAnsi="Verdana"/>
          <w:sz w:val="14"/>
          <w:szCs w:val="14"/>
        </w:rPr>
        <w:t xml:space="preserve"> Denk bijvoorbeeld aan box 2, waar de vestiging van een genotsrecht tot een vervreemdingsvoordeel leidt dat wordt bepaald op grond van</w:t>
      </w:r>
      <w:r w:rsidR="00E60CB1" w:rsidRPr="003A4AB7">
        <w:rPr>
          <w:rFonts w:ascii="Verdana" w:hAnsi="Verdana"/>
          <w:sz w:val="14"/>
          <w:szCs w:val="14"/>
        </w:rPr>
        <w:t xml:space="preserve"> artikel</w:t>
      </w:r>
      <w:r w:rsidRPr="003A4AB7">
        <w:rPr>
          <w:rFonts w:ascii="Verdana" w:hAnsi="Verdana"/>
          <w:sz w:val="14"/>
          <w:szCs w:val="14"/>
        </w:rPr>
        <w:t xml:space="preserve"> 4.19, eerste lid, tweede zin, Wet IB 2001.</w:t>
      </w:r>
    </w:p>
  </w:footnote>
  <w:footnote w:id="20">
    <w:p w14:paraId="6E60C210" w14:textId="5FD27F8D" w:rsidR="00E2162E" w:rsidRPr="003A4AB7" w:rsidRDefault="00E2162E">
      <w:pPr>
        <w:pStyle w:val="Voetnoottekst"/>
        <w:rPr>
          <w:rFonts w:ascii="Verdana" w:hAnsi="Verdana"/>
          <w:sz w:val="14"/>
          <w:szCs w:val="14"/>
        </w:rPr>
      </w:pPr>
      <w:r w:rsidRPr="003A4AB7">
        <w:rPr>
          <w:rStyle w:val="Voetnootmarkering"/>
          <w:rFonts w:ascii="Verdana" w:hAnsi="Verdana"/>
          <w:sz w:val="14"/>
          <w:szCs w:val="14"/>
        </w:rPr>
        <w:footnoteRef/>
      </w:r>
      <w:r w:rsidRPr="003A4AB7">
        <w:rPr>
          <w:rFonts w:ascii="Verdana" w:hAnsi="Verdana"/>
          <w:sz w:val="14"/>
          <w:szCs w:val="14"/>
        </w:rPr>
        <w:t xml:space="preserve"> Artikel 5.22, eerste lid, Wet IB 2001 in samenhang met de artikelen 18 en 19, zesde lid, UBIB 2001. </w:t>
      </w:r>
    </w:p>
  </w:footnote>
  <w:footnote w:id="21">
    <w:p w14:paraId="6150FF1A" w14:textId="77777777" w:rsidR="004D4149" w:rsidRPr="003A4AB7" w:rsidRDefault="004D4149" w:rsidP="004D4149">
      <w:pPr>
        <w:pStyle w:val="Voetnoottekst"/>
        <w:rPr>
          <w:rFonts w:ascii="Verdana" w:hAnsi="Verdana"/>
          <w:sz w:val="14"/>
          <w:szCs w:val="14"/>
        </w:rPr>
      </w:pPr>
      <w:r w:rsidRPr="003A4AB7">
        <w:rPr>
          <w:rStyle w:val="Voetnootmarkering"/>
          <w:rFonts w:ascii="Verdana" w:hAnsi="Verdana"/>
          <w:sz w:val="14"/>
          <w:szCs w:val="14"/>
        </w:rPr>
        <w:footnoteRef/>
      </w:r>
      <w:r w:rsidRPr="003A4AB7">
        <w:rPr>
          <w:rFonts w:ascii="Verdana" w:hAnsi="Verdana"/>
          <w:sz w:val="14"/>
          <w:szCs w:val="14"/>
        </w:rPr>
        <w:t xml:space="preserve"> Artikel 5.29, eerste lid, aanhef en onderdeel a, Wet IB 2001. </w:t>
      </w:r>
    </w:p>
  </w:footnote>
  <w:footnote w:id="22">
    <w:p w14:paraId="7B5777EF" w14:textId="77777777" w:rsidR="004D4149" w:rsidRPr="003A4AB7" w:rsidRDefault="004D4149" w:rsidP="004D4149">
      <w:pPr>
        <w:pStyle w:val="Voetnoottekst"/>
        <w:rPr>
          <w:rFonts w:ascii="Verdana" w:hAnsi="Verdana"/>
          <w:sz w:val="14"/>
          <w:szCs w:val="14"/>
        </w:rPr>
      </w:pPr>
      <w:r w:rsidRPr="003A4AB7">
        <w:rPr>
          <w:rStyle w:val="Voetnootmarkering"/>
          <w:rFonts w:ascii="Verdana" w:hAnsi="Verdana"/>
          <w:sz w:val="14"/>
          <w:szCs w:val="14"/>
        </w:rPr>
        <w:footnoteRef/>
      </w:r>
      <w:r w:rsidRPr="003A4AB7">
        <w:rPr>
          <w:rFonts w:ascii="Verdana" w:hAnsi="Verdana"/>
          <w:sz w:val="14"/>
          <w:szCs w:val="14"/>
        </w:rPr>
        <w:t xml:space="preserve"> Artikel 5.28 Wet IB 2001. </w:t>
      </w:r>
    </w:p>
  </w:footnote>
  <w:footnote w:id="23">
    <w:p w14:paraId="43EC80EC" w14:textId="4408C17D" w:rsidR="00817564" w:rsidRPr="003A4AB7" w:rsidRDefault="00817564" w:rsidP="00817564">
      <w:pPr>
        <w:pStyle w:val="Voetnoottekst"/>
        <w:rPr>
          <w:rFonts w:ascii="Verdana" w:hAnsi="Verdana"/>
          <w:sz w:val="14"/>
          <w:szCs w:val="14"/>
        </w:rPr>
      </w:pPr>
      <w:r w:rsidRPr="003A4AB7">
        <w:rPr>
          <w:rStyle w:val="Voetnootmarkering"/>
          <w:rFonts w:ascii="Verdana" w:hAnsi="Verdana"/>
          <w:sz w:val="14"/>
          <w:szCs w:val="14"/>
        </w:rPr>
        <w:footnoteRef/>
      </w:r>
      <w:r w:rsidRPr="003A4AB7">
        <w:rPr>
          <w:rFonts w:ascii="Verdana" w:hAnsi="Verdana"/>
          <w:sz w:val="14"/>
          <w:szCs w:val="14"/>
        </w:rPr>
        <w:t xml:space="preserve"> Artikel 5.30, eerste lid, </w:t>
      </w:r>
      <w:r w:rsidR="00E47ADC" w:rsidRPr="003A4AB7">
        <w:rPr>
          <w:rFonts w:ascii="Verdana" w:hAnsi="Verdana"/>
          <w:sz w:val="14"/>
          <w:szCs w:val="14"/>
        </w:rPr>
        <w:t xml:space="preserve">aanhef en </w:t>
      </w:r>
      <w:r w:rsidRPr="003A4AB7">
        <w:rPr>
          <w:rFonts w:ascii="Verdana" w:hAnsi="Verdana"/>
          <w:sz w:val="14"/>
          <w:szCs w:val="14"/>
        </w:rPr>
        <w:t xml:space="preserve">onderdeel a, Wet IB 2001.  </w:t>
      </w:r>
    </w:p>
  </w:footnote>
  <w:footnote w:id="24">
    <w:p w14:paraId="3360B5A7" w14:textId="31BD6276" w:rsidR="004B6BF7" w:rsidRPr="000946D3" w:rsidRDefault="004B6BF7">
      <w:pPr>
        <w:pStyle w:val="Voetnoottekst"/>
        <w:rPr>
          <w:rFonts w:ascii="Verdana" w:hAnsi="Verdana"/>
          <w:sz w:val="14"/>
          <w:szCs w:val="14"/>
        </w:rPr>
      </w:pPr>
      <w:r w:rsidRPr="000946D3">
        <w:rPr>
          <w:rStyle w:val="Voetnootmarkering"/>
          <w:rFonts w:ascii="Verdana" w:hAnsi="Verdana"/>
          <w:sz w:val="14"/>
          <w:szCs w:val="14"/>
        </w:rPr>
        <w:footnoteRef/>
      </w:r>
      <w:r w:rsidRPr="000946D3">
        <w:rPr>
          <w:rFonts w:ascii="Verdana" w:hAnsi="Verdana"/>
          <w:sz w:val="14"/>
          <w:szCs w:val="14"/>
        </w:rPr>
        <w:t xml:space="preserve"> Artikel 5.28 Wet IB 2001.</w:t>
      </w:r>
    </w:p>
  </w:footnote>
  <w:footnote w:id="25">
    <w:p w14:paraId="2498E0EE" w14:textId="6C3C5882" w:rsidR="005041A2" w:rsidRPr="00012F86" w:rsidRDefault="005041A2">
      <w:pPr>
        <w:pStyle w:val="Voetnoottekst"/>
        <w:rPr>
          <w:rFonts w:ascii="Verdana" w:hAnsi="Verdana"/>
          <w:sz w:val="14"/>
          <w:szCs w:val="14"/>
        </w:rPr>
      </w:pPr>
      <w:r w:rsidRPr="00012F86">
        <w:rPr>
          <w:rStyle w:val="Voetnootmarkering"/>
          <w:rFonts w:ascii="Verdana" w:hAnsi="Verdana"/>
          <w:sz w:val="14"/>
          <w:szCs w:val="14"/>
        </w:rPr>
        <w:footnoteRef/>
      </w:r>
      <w:r w:rsidRPr="00012F86">
        <w:rPr>
          <w:rFonts w:ascii="Verdana" w:hAnsi="Verdana"/>
          <w:sz w:val="14"/>
          <w:szCs w:val="14"/>
        </w:rPr>
        <w:t xml:space="preserve"> Artikel 5.27, eerste lid, onderdeel b, Wet IB 2001.</w:t>
      </w:r>
    </w:p>
  </w:footnote>
  <w:footnote w:id="26">
    <w:p w14:paraId="6E943755" w14:textId="77777777" w:rsidR="008A23AC" w:rsidRPr="003A4AB7" w:rsidRDefault="008A23AC" w:rsidP="008A23AC">
      <w:pPr>
        <w:pStyle w:val="Voetnoottekst"/>
        <w:rPr>
          <w:rFonts w:ascii="Verdana" w:hAnsi="Verdana"/>
          <w:sz w:val="14"/>
          <w:szCs w:val="14"/>
        </w:rPr>
      </w:pPr>
      <w:r w:rsidRPr="003A4AB7">
        <w:rPr>
          <w:rStyle w:val="Voetnootmarkering"/>
          <w:rFonts w:ascii="Verdana" w:hAnsi="Verdana"/>
          <w:sz w:val="14"/>
          <w:szCs w:val="14"/>
        </w:rPr>
        <w:footnoteRef/>
      </w:r>
      <w:r w:rsidRPr="003A4AB7">
        <w:rPr>
          <w:rFonts w:ascii="Verdana" w:hAnsi="Verdana"/>
          <w:sz w:val="14"/>
          <w:szCs w:val="14"/>
        </w:rPr>
        <w:t xml:space="preserve"> Artikel 5.22, eerste lid, Wet IB 2001 in samenhang met de artikelen 18 en 19, zesde lid, UBIB 2001. </w:t>
      </w:r>
    </w:p>
  </w:footnote>
  <w:footnote w:id="27">
    <w:p w14:paraId="1B05BE5F" w14:textId="77777777" w:rsidR="00473F60" w:rsidRPr="003A4AB7" w:rsidRDefault="00473F60" w:rsidP="00473F60">
      <w:pPr>
        <w:pStyle w:val="Voetnoottekst"/>
        <w:rPr>
          <w:rFonts w:ascii="Verdana" w:hAnsi="Verdana"/>
          <w:sz w:val="14"/>
          <w:szCs w:val="14"/>
        </w:rPr>
      </w:pPr>
      <w:r w:rsidRPr="003A4AB7">
        <w:rPr>
          <w:rStyle w:val="Voetnootmarkering"/>
          <w:rFonts w:ascii="Verdana" w:hAnsi="Verdana"/>
          <w:sz w:val="14"/>
          <w:szCs w:val="14"/>
        </w:rPr>
        <w:footnoteRef/>
      </w:r>
      <w:r w:rsidRPr="003A4AB7">
        <w:rPr>
          <w:rFonts w:ascii="Verdana" w:hAnsi="Verdana"/>
          <w:sz w:val="14"/>
          <w:szCs w:val="14"/>
        </w:rPr>
        <w:t xml:space="preserve"> Kamerstukken II 2024/25, 36 748, nr. 3, p. 8.</w:t>
      </w:r>
    </w:p>
  </w:footnote>
  <w:footnote w:id="28">
    <w:p w14:paraId="66FB3A51" w14:textId="532B48DF" w:rsidR="00655232" w:rsidRPr="003A4AB7" w:rsidRDefault="00655232">
      <w:pPr>
        <w:pStyle w:val="Voetnoottekst"/>
        <w:rPr>
          <w:rFonts w:ascii="Verdana" w:hAnsi="Verdana"/>
          <w:sz w:val="14"/>
          <w:szCs w:val="14"/>
        </w:rPr>
      </w:pPr>
      <w:r w:rsidRPr="003A4AB7">
        <w:rPr>
          <w:rStyle w:val="Voetnootmarkering"/>
          <w:rFonts w:ascii="Verdana" w:hAnsi="Verdana"/>
          <w:sz w:val="14"/>
          <w:szCs w:val="14"/>
        </w:rPr>
        <w:footnoteRef/>
      </w:r>
      <w:r w:rsidRPr="003A4AB7">
        <w:rPr>
          <w:rFonts w:ascii="Verdana" w:hAnsi="Verdana"/>
          <w:sz w:val="14"/>
          <w:szCs w:val="14"/>
        </w:rPr>
        <w:t xml:space="preserve"> Kamerstukken II 2024/25, 36 748, nr. 6.</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860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F79"/>
    <w:rsid w:val="00012F86"/>
    <w:rsid w:val="000201BA"/>
    <w:rsid w:val="000220C6"/>
    <w:rsid w:val="0002267D"/>
    <w:rsid w:val="0002272D"/>
    <w:rsid w:val="00027230"/>
    <w:rsid w:val="00034659"/>
    <w:rsid w:val="000370AF"/>
    <w:rsid w:val="000437EB"/>
    <w:rsid w:val="00052DDA"/>
    <w:rsid w:val="00057257"/>
    <w:rsid w:val="0006240C"/>
    <w:rsid w:val="00062AE1"/>
    <w:rsid w:val="00063AA2"/>
    <w:rsid w:val="00063D57"/>
    <w:rsid w:val="0007017F"/>
    <w:rsid w:val="000843C6"/>
    <w:rsid w:val="00084635"/>
    <w:rsid w:val="00085488"/>
    <w:rsid w:val="000946D3"/>
    <w:rsid w:val="000B1FEC"/>
    <w:rsid w:val="000B45C2"/>
    <w:rsid w:val="000C4A92"/>
    <w:rsid w:val="000F1CE4"/>
    <w:rsid w:val="000F55D9"/>
    <w:rsid w:val="00114489"/>
    <w:rsid w:val="001173A2"/>
    <w:rsid w:val="00122228"/>
    <w:rsid w:val="00137E65"/>
    <w:rsid w:val="00143E4A"/>
    <w:rsid w:val="0016442A"/>
    <w:rsid w:val="00175674"/>
    <w:rsid w:val="00175F98"/>
    <w:rsid w:val="0018583A"/>
    <w:rsid w:val="001A03B7"/>
    <w:rsid w:val="001E1B85"/>
    <w:rsid w:val="001F034E"/>
    <w:rsid w:val="001F7D91"/>
    <w:rsid w:val="002048A9"/>
    <w:rsid w:val="0021611F"/>
    <w:rsid w:val="00222BFC"/>
    <w:rsid w:val="00224730"/>
    <w:rsid w:val="00236512"/>
    <w:rsid w:val="00242110"/>
    <w:rsid w:val="00243318"/>
    <w:rsid w:val="00245237"/>
    <w:rsid w:val="00262EF1"/>
    <w:rsid w:val="0028743F"/>
    <w:rsid w:val="00293C0A"/>
    <w:rsid w:val="00295E6F"/>
    <w:rsid w:val="002A776C"/>
    <w:rsid w:val="002A7F48"/>
    <w:rsid w:val="002B4735"/>
    <w:rsid w:val="002C267B"/>
    <w:rsid w:val="002C29EA"/>
    <w:rsid w:val="002D45DA"/>
    <w:rsid w:val="002E541C"/>
    <w:rsid w:val="002F7119"/>
    <w:rsid w:val="002F7271"/>
    <w:rsid w:val="00300039"/>
    <w:rsid w:val="00303D68"/>
    <w:rsid w:val="00326245"/>
    <w:rsid w:val="00330CA3"/>
    <w:rsid w:val="00340F1C"/>
    <w:rsid w:val="0035792D"/>
    <w:rsid w:val="00363F4B"/>
    <w:rsid w:val="00364D2F"/>
    <w:rsid w:val="00364FC9"/>
    <w:rsid w:val="00371AF1"/>
    <w:rsid w:val="00393CD9"/>
    <w:rsid w:val="003A4AB7"/>
    <w:rsid w:val="003C0721"/>
    <w:rsid w:val="003D26FD"/>
    <w:rsid w:val="003D6899"/>
    <w:rsid w:val="003D6A54"/>
    <w:rsid w:val="003E20F1"/>
    <w:rsid w:val="003F18BE"/>
    <w:rsid w:val="0040002D"/>
    <w:rsid w:val="00403180"/>
    <w:rsid w:val="00407F4E"/>
    <w:rsid w:val="00413FB2"/>
    <w:rsid w:val="004205E3"/>
    <w:rsid w:val="00426CAE"/>
    <w:rsid w:val="00432D29"/>
    <w:rsid w:val="004406FC"/>
    <w:rsid w:val="004532EB"/>
    <w:rsid w:val="00454425"/>
    <w:rsid w:val="00462CFD"/>
    <w:rsid w:val="00473F60"/>
    <w:rsid w:val="00475C0D"/>
    <w:rsid w:val="004924D8"/>
    <w:rsid w:val="004A7850"/>
    <w:rsid w:val="004B0871"/>
    <w:rsid w:val="004B2335"/>
    <w:rsid w:val="004B6BF7"/>
    <w:rsid w:val="004C6837"/>
    <w:rsid w:val="004D4149"/>
    <w:rsid w:val="004E6371"/>
    <w:rsid w:val="004F6912"/>
    <w:rsid w:val="0050044A"/>
    <w:rsid w:val="005041A2"/>
    <w:rsid w:val="00541044"/>
    <w:rsid w:val="005430D9"/>
    <w:rsid w:val="00561C65"/>
    <w:rsid w:val="00561F20"/>
    <w:rsid w:val="00565ECF"/>
    <w:rsid w:val="00566AF3"/>
    <w:rsid w:val="0057089D"/>
    <w:rsid w:val="00573E2C"/>
    <w:rsid w:val="005871C7"/>
    <w:rsid w:val="005907D5"/>
    <w:rsid w:val="00596264"/>
    <w:rsid w:val="005B1923"/>
    <w:rsid w:val="005B4A9E"/>
    <w:rsid w:val="005B6862"/>
    <w:rsid w:val="005C20D9"/>
    <w:rsid w:val="005C52BD"/>
    <w:rsid w:val="005C5A7A"/>
    <w:rsid w:val="005E6751"/>
    <w:rsid w:val="005F7430"/>
    <w:rsid w:val="00603321"/>
    <w:rsid w:val="00620390"/>
    <w:rsid w:val="006206FA"/>
    <w:rsid w:val="006212C8"/>
    <w:rsid w:val="00623F59"/>
    <w:rsid w:val="00655232"/>
    <w:rsid w:val="0065652F"/>
    <w:rsid w:val="0066632A"/>
    <w:rsid w:val="0068663D"/>
    <w:rsid w:val="00692930"/>
    <w:rsid w:val="00693275"/>
    <w:rsid w:val="006A4329"/>
    <w:rsid w:val="006A7043"/>
    <w:rsid w:val="006B194A"/>
    <w:rsid w:val="006B4514"/>
    <w:rsid w:val="006B4E78"/>
    <w:rsid w:val="006E1137"/>
    <w:rsid w:val="006E79F4"/>
    <w:rsid w:val="006F42A5"/>
    <w:rsid w:val="0071300F"/>
    <w:rsid w:val="007148CF"/>
    <w:rsid w:val="00720CDF"/>
    <w:rsid w:val="007255E2"/>
    <w:rsid w:val="00727DEE"/>
    <w:rsid w:val="00735675"/>
    <w:rsid w:val="0075240E"/>
    <w:rsid w:val="00764D4D"/>
    <w:rsid w:val="00765357"/>
    <w:rsid w:val="00771D10"/>
    <w:rsid w:val="00781B12"/>
    <w:rsid w:val="00793824"/>
    <w:rsid w:val="00795BA2"/>
    <w:rsid w:val="007A09A7"/>
    <w:rsid w:val="007B0A9B"/>
    <w:rsid w:val="007B5099"/>
    <w:rsid w:val="007C3ED6"/>
    <w:rsid w:val="007C74E8"/>
    <w:rsid w:val="007D0810"/>
    <w:rsid w:val="007E6C7C"/>
    <w:rsid w:val="00817564"/>
    <w:rsid w:val="008215BF"/>
    <w:rsid w:val="00827D8E"/>
    <w:rsid w:val="008335B7"/>
    <w:rsid w:val="00834756"/>
    <w:rsid w:val="00842987"/>
    <w:rsid w:val="00850054"/>
    <w:rsid w:val="00856944"/>
    <w:rsid w:val="00857570"/>
    <w:rsid w:val="008609DE"/>
    <w:rsid w:val="008658E5"/>
    <w:rsid w:val="00891094"/>
    <w:rsid w:val="00894213"/>
    <w:rsid w:val="00896671"/>
    <w:rsid w:val="008A0324"/>
    <w:rsid w:val="008A23AC"/>
    <w:rsid w:val="008B362D"/>
    <w:rsid w:val="008B4325"/>
    <w:rsid w:val="008C3038"/>
    <w:rsid w:val="008D2C5D"/>
    <w:rsid w:val="008E72DF"/>
    <w:rsid w:val="00904434"/>
    <w:rsid w:val="00905CA0"/>
    <w:rsid w:val="00906F2B"/>
    <w:rsid w:val="00906F59"/>
    <w:rsid w:val="00914D17"/>
    <w:rsid w:val="00922CA6"/>
    <w:rsid w:val="00954B93"/>
    <w:rsid w:val="00964D5F"/>
    <w:rsid w:val="009729CC"/>
    <w:rsid w:val="00975611"/>
    <w:rsid w:val="00977F07"/>
    <w:rsid w:val="009919CA"/>
    <w:rsid w:val="009A36E8"/>
    <w:rsid w:val="009B6E67"/>
    <w:rsid w:val="009E018F"/>
    <w:rsid w:val="009E318B"/>
    <w:rsid w:val="009E6459"/>
    <w:rsid w:val="00A17E2E"/>
    <w:rsid w:val="00A20F01"/>
    <w:rsid w:val="00A47338"/>
    <w:rsid w:val="00A510A4"/>
    <w:rsid w:val="00A55275"/>
    <w:rsid w:val="00A77F79"/>
    <w:rsid w:val="00A879A9"/>
    <w:rsid w:val="00A87B78"/>
    <w:rsid w:val="00A964BC"/>
    <w:rsid w:val="00AA3B1E"/>
    <w:rsid w:val="00AB21B3"/>
    <w:rsid w:val="00AC15D0"/>
    <w:rsid w:val="00AE40A4"/>
    <w:rsid w:val="00B018F4"/>
    <w:rsid w:val="00B04ED0"/>
    <w:rsid w:val="00B0608D"/>
    <w:rsid w:val="00B24A3E"/>
    <w:rsid w:val="00B259AF"/>
    <w:rsid w:val="00B30907"/>
    <w:rsid w:val="00B312F6"/>
    <w:rsid w:val="00B41516"/>
    <w:rsid w:val="00B4488C"/>
    <w:rsid w:val="00B523E5"/>
    <w:rsid w:val="00B62D4C"/>
    <w:rsid w:val="00B6443C"/>
    <w:rsid w:val="00B83456"/>
    <w:rsid w:val="00B83BDF"/>
    <w:rsid w:val="00B8457E"/>
    <w:rsid w:val="00B869AC"/>
    <w:rsid w:val="00B91FE0"/>
    <w:rsid w:val="00B95856"/>
    <w:rsid w:val="00BA3F59"/>
    <w:rsid w:val="00BA7FF9"/>
    <w:rsid w:val="00BB4915"/>
    <w:rsid w:val="00BB753C"/>
    <w:rsid w:val="00BC7EFB"/>
    <w:rsid w:val="00BF1604"/>
    <w:rsid w:val="00C069A8"/>
    <w:rsid w:val="00C06B2D"/>
    <w:rsid w:val="00C13DB1"/>
    <w:rsid w:val="00C141D7"/>
    <w:rsid w:val="00C17E56"/>
    <w:rsid w:val="00C22454"/>
    <w:rsid w:val="00C22E15"/>
    <w:rsid w:val="00C25C65"/>
    <w:rsid w:val="00C33FE0"/>
    <w:rsid w:val="00C36C5C"/>
    <w:rsid w:val="00C431AB"/>
    <w:rsid w:val="00C520C1"/>
    <w:rsid w:val="00C5293E"/>
    <w:rsid w:val="00C5315D"/>
    <w:rsid w:val="00C639B5"/>
    <w:rsid w:val="00C7156A"/>
    <w:rsid w:val="00C74F2E"/>
    <w:rsid w:val="00C74F98"/>
    <w:rsid w:val="00C7664F"/>
    <w:rsid w:val="00C91118"/>
    <w:rsid w:val="00CA7D8D"/>
    <w:rsid w:val="00CB398B"/>
    <w:rsid w:val="00CC1498"/>
    <w:rsid w:val="00CC4217"/>
    <w:rsid w:val="00CE2449"/>
    <w:rsid w:val="00CF6E51"/>
    <w:rsid w:val="00D012A0"/>
    <w:rsid w:val="00D124CD"/>
    <w:rsid w:val="00D16BF0"/>
    <w:rsid w:val="00D2152A"/>
    <w:rsid w:val="00D31DF9"/>
    <w:rsid w:val="00D321B7"/>
    <w:rsid w:val="00D70123"/>
    <w:rsid w:val="00D82C08"/>
    <w:rsid w:val="00D86E5D"/>
    <w:rsid w:val="00D97FE8"/>
    <w:rsid w:val="00DB36CD"/>
    <w:rsid w:val="00DC71FB"/>
    <w:rsid w:val="00DD1337"/>
    <w:rsid w:val="00DD69AD"/>
    <w:rsid w:val="00DE32B2"/>
    <w:rsid w:val="00DF3FFA"/>
    <w:rsid w:val="00E038ED"/>
    <w:rsid w:val="00E10937"/>
    <w:rsid w:val="00E12BCF"/>
    <w:rsid w:val="00E2162E"/>
    <w:rsid w:val="00E22674"/>
    <w:rsid w:val="00E2293E"/>
    <w:rsid w:val="00E2680C"/>
    <w:rsid w:val="00E35F99"/>
    <w:rsid w:val="00E36E08"/>
    <w:rsid w:val="00E4372F"/>
    <w:rsid w:val="00E4765D"/>
    <w:rsid w:val="00E47ADC"/>
    <w:rsid w:val="00E60CB1"/>
    <w:rsid w:val="00E677B4"/>
    <w:rsid w:val="00E75118"/>
    <w:rsid w:val="00E836B8"/>
    <w:rsid w:val="00E86506"/>
    <w:rsid w:val="00E92BA0"/>
    <w:rsid w:val="00EA7F8F"/>
    <w:rsid w:val="00ED5D10"/>
    <w:rsid w:val="00EE1E01"/>
    <w:rsid w:val="00EE50CF"/>
    <w:rsid w:val="00F00AC7"/>
    <w:rsid w:val="00F070F8"/>
    <w:rsid w:val="00F119EE"/>
    <w:rsid w:val="00F2635C"/>
    <w:rsid w:val="00F27464"/>
    <w:rsid w:val="00F30FA8"/>
    <w:rsid w:val="00F3265F"/>
    <w:rsid w:val="00F34FFF"/>
    <w:rsid w:val="00F3591C"/>
    <w:rsid w:val="00F35EB0"/>
    <w:rsid w:val="00F4439D"/>
    <w:rsid w:val="00F4784C"/>
    <w:rsid w:val="00F502F7"/>
    <w:rsid w:val="00F53D1D"/>
    <w:rsid w:val="00F558CA"/>
    <w:rsid w:val="00F73A02"/>
    <w:rsid w:val="00F74C41"/>
    <w:rsid w:val="00F85F65"/>
    <w:rsid w:val="00F97C01"/>
    <w:rsid w:val="00FA1722"/>
    <w:rsid w:val="00FB507E"/>
    <w:rsid w:val="00FB7AE3"/>
    <w:rsid w:val="00FC6D84"/>
    <w:rsid w:val="00FF5CE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86017"/>
    <o:shapelayout v:ext="edit">
      <o:idmap v:ext="edit" data="1"/>
    </o:shapelayout>
  </w:shapeDefaults>
  <w:decimalSymbol w:val=","/>
  <w:listSeparator w:val=";"/>
  <w14:docId w14:val="1AF93150"/>
  <w15:chartTrackingRefBased/>
  <w15:docId w15:val="{76780312-FF49-441C-8133-BEECEFCA9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77F79"/>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Kop2">
    <w:name w:val="heading 2"/>
    <w:basedOn w:val="Standaard"/>
    <w:next w:val="Standaard"/>
    <w:link w:val="Kop2Char"/>
    <w:uiPriority w:val="9"/>
    <w:semiHidden/>
    <w:unhideWhenUsed/>
    <w:qFormat/>
    <w:rsid w:val="00A77F79"/>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Kop3">
    <w:name w:val="heading 3"/>
    <w:basedOn w:val="Standaard"/>
    <w:next w:val="Standaard"/>
    <w:link w:val="Kop3Char"/>
    <w:uiPriority w:val="9"/>
    <w:semiHidden/>
    <w:unhideWhenUsed/>
    <w:qFormat/>
    <w:rsid w:val="00A77F79"/>
    <w:pPr>
      <w:keepNext/>
      <w:keepLines/>
      <w:spacing w:before="160" w:after="80"/>
      <w:outlineLvl w:val="2"/>
    </w:pPr>
    <w:rPr>
      <w:rFonts w:eastAsiaTheme="majorEastAsia" w:cstheme="majorBidi"/>
      <w:color w:val="2E74B5" w:themeColor="accent1" w:themeShade="BF"/>
      <w:sz w:val="28"/>
      <w:szCs w:val="28"/>
    </w:rPr>
  </w:style>
  <w:style w:type="paragraph" w:styleId="Kop4">
    <w:name w:val="heading 4"/>
    <w:basedOn w:val="Standaard"/>
    <w:next w:val="Standaard"/>
    <w:link w:val="Kop4Char"/>
    <w:uiPriority w:val="9"/>
    <w:semiHidden/>
    <w:unhideWhenUsed/>
    <w:qFormat/>
    <w:rsid w:val="00A77F79"/>
    <w:pPr>
      <w:keepNext/>
      <w:keepLines/>
      <w:spacing w:before="80" w:after="40"/>
      <w:outlineLvl w:val="3"/>
    </w:pPr>
    <w:rPr>
      <w:rFonts w:eastAsiaTheme="majorEastAsia" w:cstheme="majorBidi"/>
      <w:i/>
      <w:iCs/>
      <w:color w:val="2E74B5" w:themeColor="accent1" w:themeShade="BF"/>
    </w:rPr>
  </w:style>
  <w:style w:type="paragraph" w:styleId="Kop5">
    <w:name w:val="heading 5"/>
    <w:basedOn w:val="Standaard"/>
    <w:next w:val="Standaard"/>
    <w:link w:val="Kop5Char"/>
    <w:uiPriority w:val="9"/>
    <w:semiHidden/>
    <w:unhideWhenUsed/>
    <w:qFormat/>
    <w:rsid w:val="00A77F79"/>
    <w:pPr>
      <w:keepNext/>
      <w:keepLines/>
      <w:spacing w:before="80" w:after="40"/>
      <w:outlineLvl w:val="4"/>
    </w:pPr>
    <w:rPr>
      <w:rFonts w:eastAsiaTheme="majorEastAsia" w:cstheme="majorBidi"/>
      <w:color w:val="2E74B5" w:themeColor="accent1" w:themeShade="BF"/>
    </w:rPr>
  </w:style>
  <w:style w:type="paragraph" w:styleId="Kop6">
    <w:name w:val="heading 6"/>
    <w:basedOn w:val="Standaard"/>
    <w:next w:val="Standaard"/>
    <w:link w:val="Kop6Char"/>
    <w:uiPriority w:val="9"/>
    <w:semiHidden/>
    <w:unhideWhenUsed/>
    <w:qFormat/>
    <w:rsid w:val="00A77F7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77F7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77F7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77F7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77F79"/>
    <w:rPr>
      <w:rFonts w:asciiTheme="majorHAnsi" w:eastAsiaTheme="majorEastAsia" w:hAnsiTheme="majorHAnsi" w:cstheme="majorBidi"/>
      <w:color w:val="2E74B5" w:themeColor="accent1" w:themeShade="BF"/>
      <w:sz w:val="40"/>
      <w:szCs w:val="40"/>
    </w:rPr>
  </w:style>
  <w:style w:type="character" w:customStyle="1" w:styleId="Kop2Char">
    <w:name w:val="Kop 2 Char"/>
    <w:basedOn w:val="Standaardalinea-lettertype"/>
    <w:link w:val="Kop2"/>
    <w:uiPriority w:val="9"/>
    <w:semiHidden/>
    <w:rsid w:val="00A77F79"/>
    <w:rPr>
      <w:rFonts w:asciiTheme="majorHAnsi" w:eastAsiaTheme="majorEastAsia" w:hAnsiTheme="majorHAnsi" w:cstheme="majorBidi"/>
      <w:color w:val="2E74B5" w:themeColor="accent1" w:themeShade="BF"/>
      <w:sz w:val="32"/>
      <w:szCs w:val="32"/>
    </w:rPr>
  </w:style>
  <w:style w:type="character" w:customStyle="1" w:styleId="Kop3Char">
    <w:name w:val="Kop 3 Char"/>
    <w:basedOn w:val="Standaardalinea-lettertype"/>
    <w:link w:val="Kop3"/>
    <w:uiPriority w:val="9"/>
    <w:semiHidden/>
    <w:rsid w:val="00A77F79"/>
    <w:rPr>
      <w:rFonts w:eastAsiaTheme="majorEastAsia" w:cstheme="majorBidi"/>
      <w:color w:val="2E74B5" w:themeColor="accent1" w:themeShade="BF"/>
      <w:sz w:val="28"/>
      <w:szCs w:val="28"/>
    </w:rPr>
  </w:style>
  <w:style w:type="character" w:customStyle="1" w:styleId="Kop4Char">
    <w:name w:val="Kop 4 Char"/>
    <w:basedOn w:val="Standaardalinea-lettertype"/>
    <w:link w:val="Kop4"/>
    <w:uiPriority w:val="9"/>
    <w:semiHidden/>
    <w:rsid w:val="00A77F79"/>
    <w:rPr>
      <w:rFonts w:eastAsiaTheme="majorEastAsia" w:cstheme="majorBidi"/>
      <w:i/>
      <w:iCs/>
      <w:color w:val="2E74B5" w:themeColor="accent1" w:themeShade="BF"/>
    </w:rPr>
  </w:style>
  <w:style w:type="character" w:customStyle="1" w:styleId="Kop5Char">
    <w:name w:val="Kop 5 Char"/>
    <w:basedOn w:val="Standaardalinea-lettertype"/>
    <w:link w:val="Kop5"/>
    <w:uiPriority w:val="9"/>
    <w:semiHidden/>
    <w:rsid w:val="00A77F79"/>
    <w:rPr>
      <w:rFonts w:eastAsiaTheme="majorEastAsia" w:cstheme="majorBidi"/>
      <w:color w:val="2E74B5" w:themeColor="accent1" w:themeShade="BF"/>
    </w:rPr>
  </w:style>
  <w:style w:type="character" w:customStyle="1" w:styleId="Kop6Char">
    <w:name w:val="Kop 6 Char"/>
    <w:basedOn w:val="Standaardalinea-lettertype"/>
    <w:link w:val="Kop6"/>
    <w:uiPriority w:val="9"/>
    <w:semiHidden/>
    <w:rsid w:val="00A77F7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77F7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77F7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77F79"/>
    <w:rPr>
      <w:rFonts w:eastAsiaTheme="majorEastAsia" w:cstheme="majorBidi"/>
      <w:color w:val="272727" w:themeColor="text1" w:themeTint="D8"/>
    </w:rPr>
  </w:style>
  <w:style w:type="paragraph" w:styleId="Titel">
    <w:name w:val="Title"/>
    <w:basedOn w:val="Standaard"/>
    <w:next w:val="Standaard"/>
    <w:link w:val="TitelChar"/>
    <w:uiPriority w:val="10"/>
    <w:qFormat/>
    <w:rsid w:val="00A77F7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77F7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77F7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77F7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77F7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77F79"/>
    <w:rPr>
      <w:i/>
      <w:iCs/>
      <w:color w:val="404040" w:themeColor="text1" w:themeTint="BF"/>
    </w:rPr>
  </w:style>
  <w:style w:type="paragraph" w:styleId="Lijstalinea">
    <w:name w:val="List Paragraph"/>
    <w:basedOn w:val="Standaard"/>
    <w:uiPriority w:val="34"/>
    <w:qFormat/>
    <w:rsid w:val="00A77F79"/>
    <w:pPr>
      <w:ind w:left="720"/>
      <w:contextualSpacing/>
    </w:pPr>
  </w:style>
  <w:style w:type="character" w:styleId="Intensievebenadrukking">
    <w:name w:val="Intense Emphasis"/>
    <w:basedOn w:val="Standaardalinea-lettertype"/>
    <w:uiPriority w:val="21"/>
    <w:qFormat/>
    <w:rsid w:val="00A77F79"/>
    <w:rPr>
      <w:i/>
      <w:iCs/>
      <w:color w:val="2E74B5" w:themeColor="accent1" w:themeShade="BF"/>
    </w:rPr>
  </w:style>
  <w:style w:type="paragraph" w:styleId="Duidelijkcitaat">
    <w:name w:val="Intense Quote"/>
    <w:basedOn w:val="Standaard"/>
    <w:next w:val="Standaard"/>
    <w:link w:val="DuidelijkcitaatChar"/>
    <w:uiPriority w:val="30"/>
    <w:qFormat/>
    <w:rsid w:val="00A77F79"/>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DuidelijkcitaatChar">
    <w:name w:val="Duidelijk citaat Char"/>
    <w:basedOn w:val="Standaardalinea-lettertype"/>
    <w:link w:val="Duidelijkcitaat"/>
    <w:uiPriority w:val="30"/>
    <w:rsid w:val="00A77F79"/>
    <w:rPr>
      <w:i/>
      <w:iCs/>
      <w:color w:val="2E74B5" w:themeColor="accent1" w:themeShade="BF"/>
    </w:rPr>
  </w:style>
  <w:style w:type="character" w:styleId="Intensieveverwijzing">
    <w:name w:val="Intense Reference"/>
    <w:basedOn w:val="Standaardalinea-lettertype"/>
    <w:uiPriority w:val="32"/>
    <w:qFormat/>
    <w:rsid w:val="00A77F79"/>
    <w:rPr>
      <w:b/>
      <w:bCs/>
      <w:smallCaps/>
      <w:color w:val="2E74B5" w:themeColor="accent1" w:themeShade="BF"/>
      <w:spacing w:val="5"/>
    </w:rPr>
  </w:style>
  <w:style w:type="paragraph" w:styleId="Voetnoottekst">
    <w:name w:val="footnote text"/>
    <w:basedOn w:val="Standaard"/>
    <w:link w:val="VoetnoottekstChar"/>
    <w:uiPriority w:val="99"/>
    <w:semiHidden/>
    <w:unhideWhenUsed/>
    <w:rsid w:val="004B2335"/>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4B2335"/>
    <w:rPr>
      <w:sz w:val="20"/>
      <w:szCs w:val="20"/>
    </w:rPr>
  </w:style>
  <w:style w:type="character" w:styleId="Voetnootmarkering">
    <w:name w:val="footnote reference"/>
    <w:basedOn w:val="Standaardalinea-lettertype"/>
    <w:uiPriority w:val="99"/>
    <w:semiHidden/>
    <w:unhideWhenUsed/>
    <w:rsid w:val="004B2335"/>
    <w:rPr>
      <w:vertAlign w:val="superscript"/>
    </w:rPr>
  </w:style>
  <w:style w:type="paragraph" w:styleId="Revisie">
    <w:name w:val="Revision"/>
    <w:hidden/>
    <w:uiPriority w:val="99"/>
    <w:semiHidden/>
    <w:rsid w:val="0089421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0392084">
      <w:bodyDiv w:val="1"/>
      <w:marLeft w:val="0"/>
      <w:marRight w:val="0"/>
      <w:marTop w:val="0"/>
      <w:marBottom w:val="0"/>
      <w:divBdr>
        <w:top w:val="none" w:sz="0" w:space="0" w:color="auto"/>
        <w:left w:val="none" w:sz="0" w:space="0" w:color="auto"/>
        <w:bottom w:val="none" w:sz="0" w:space="0" w:color="auto"/>
        <w:right w:val="none" w:sz="0" w:space="0" w:color="auto"/>
      </w:divBdr>
    </w:div>
    <w:div w:id="1082333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2403</ap:Words>
  <ap:Characters>13222</ap:Characters>
  <ap:DocSecurity>0</ap:DocSecurity>
  <ap:Lines>110</ap:Lines>
  <ap:Paragraphs>31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15594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2026-01-14T10:44:00.0000000Z</dcterms:created>
  <dcterms:modified xsi:type="dcterms:W3CDTF">2026-01-14T10:44:00.0000000Z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aa6e22-2c82-48c6-bf24-1790f4b9c128_Enabled">
    <vt:lpwstr>true</vt:lpwstr>
  </property>
  <property fmtid="{D5CDD505-2E9C-101B-9397-08002B2CF9AE}" pid="3" name="MSIP_Label_b2aa6e22-2c82-48c6-bf24-1790f4b9c128_SetDate">
    <vt:lpwstr>2025-10-30T09:55:40Z</vt:lpwstr>
  </property>
  <property fmtid="{D5CDD505-2E9C-101B-9397-08002B2CF9AE}" pid="4" name="MSIP_Label_b2aa6e22-2c82-48c6-bf24-1790f4b9c128_Method">
    <vt:lpwstr>Standard</vt:lpwstr>
  </property>
  <property fmtid="{D5CDD505-2E9C-101B-9397-08002B2CF9AE}" pid="5" name="MSIP_Label_b2aa6e22-2c82-48c6-bf24-1790f4b9c128_Name">
    <vt:lpwstr>FIN-DGFZ-Rijksoverheid</vt:lpwstr>
  </property>
  <property fmtid="{D5CDD505-2E9C-101B-9397-08002B2CF9AE}" pid="6" name="MSIP_Label_b2aa6e22-2c82-48c6-bf24-1790f4b9c128_SiteId">
    <vt:lpwstr>84712536-f524-40a0-913b-5d25ba502732</vt:lpwstr>
  </property>
  <property fmtid="{D5CDD505-2E9C-101B-9397-08002B2CF9AE}" pid="7" name="MSIP_Label_b2aa6e22-2c82-48c6-bf24-1790f4b9c128_ActionId">
    <vt:lpwstr>2b1159ca-d204-4b28-91c8-c2d23ed11e79</vt:lpwstr>
  </property>
  <property fmtid="{D5CDD505-2E9C-101B-9397-08002B2CF9AE}" pid="8" name="MSIP_Label_b2aa6e22-2c82-48c6-bf24-1790f4b9c128_ContentBits">
    <vt:lpwstr>0</vt:lpwstr>
  </property>
</Properties>
</file>