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2026Z00465</w:t>
        <w:br/>
      </w:r>
      <w:proofErr w:type="spellEnd"/>
    </w:p>
    <w:p>
      <w:pPr>
        <w:pStyle w:val="Normal"/>
        <w:rPr>
          <w:b w:val="1"/>
          <w:bCs w:val="1"/>
        </w:rPr>
      </w:pPr>
      <w:r w:rsidR="250AE766">
        <w:rPr>
          <w:b w:val="0"/>
          <w:bCs w:val="0"/>
        </w:rPr>
        <w:t>(ingezonden 14 januari 2026)</w:t>
        <w:br/>
      </w:r>
    </w:p>
    <w:p>
      <w:r>
        <w:t xml:space="preserve">Vragen van het lid Klos (D66) aan de minister van Klimaat en Groene Groei over het artikel 'Brancheclubs mordicus tegen invoedingstarief'</w:t>
      </w:r>
      <w:r>
        <w:br/>
      </w:r>
    </w:p>
    <w:p>
      <w:pPr>
        <w:pStyle w:val="ListParagraph"/>
        <w:numPr>
          <w:ilvl w:val="0"/>
          <w:numId w:val="100494550"/>
        </w:numPr>
        <w:ind w:left="360"/>
      </w:pPr>
      <w:r>
        <w:t xml:space="preserve">Heeft u kennisgenomen van het artikel 'Brancheclubs mordicus tegen invoedingstarief', waarin wordt gesteld dat de invoering van een invoedingstarief voor elektriciteitsproducenten kan leiden tot hogere systeemkosten en hogere energierekeningen voor consumenten en bedrijven? 1)</w:t>
      </w:r>
      <w:r>
        <w:br/>
      </w:r>
    </w:p>
    <w:p>
      <w:pPr>
        <w:pStyle w:val="ListParagraph"/>
        <w:numPr>
          <w:ilvl w:val="0"/>
          <w:numId w:val="100494550"/>
        </w:numPr>
        <w:ind w:left="360"/>
      </w:pPr>
      <w:r>
        <w:t xml:space="preserve">Wat betekent een invoedingstarief voor bestaande projecten die zijn gerealiseerd zonder rekening te houden met een dergelijk tarief?</w:t>
      </w:r>
      <w:r>
        <w:br/>
      </w:r>
    </w:p>
    <w:p>
      <w:pPr>
        <w:pStyle w:val="ListParagraph"/>
        <w:numPr>
          <w:ilvl w:val="0"/>
          <w:numId w:val="100494550"/>
        </w:numPr>
        <w:ind w:left="360"/>
      </w:pPr>
      <w:r>
        <w:t xml:space="preserve">Wat is, op basis van de huidige inzichten, de verwachte impact van een invoedingstarief op de investeringsbereidheid en de businesscase van nieuwe wind- en zonne-energieprojecten, en in andere kapitaalintensieve energieprojecten zoals kerncentrales?</w:t>
      </w:r>
      <w:r>
        <w:br/>
      </w:r>
    </w:p>
    <w:p>
      <w:pPr>
        <w:pStyle w:val="ListParagraph"/>
        <w:numPr>
          <w:ilvl w:val="0"/>
          <w:numId w:val="100494550"/>
        </w:numPr>
        <w:ind w:left="360"/>
      </w:pPr>
      <w:r>
        <w:t xml:space="preserve">Welke gevolgen verwacht u dat een invoedingstarief heeft voor het tijdig halen van de klimaatdoelstellingen voor 2030, in het bijzonder met oog op de uitrol van hernieuwbare elektriciteitsproductie van eigen bodem?</w:t>
      </w:r>
      <w:r>
        <w:br/>
      </w:r>
    </w:p>
    <w:p>
      <w:pPr>
        <w:pStyle w:val="ListParagraph"/>
        <w:numPr>
          <w:ilvl w:val="0"/>
          <w:numId w:val="100494550"/>
        </w:numPr>
        <w:ind w:left="360"/>
      </w:pPr>
      <w:r>
        <w:t xml:space="preserve">Ziet u mogelijkheden om de financiële impact van een invoedingstarief voor bestaande en nieuwe projecten te mitigeren, bijvoorbeeld via de Stimulering Duurzame Energieproductie en Klimaattransitie (SDE++) of een opvolgende subsidieregeling?</w:t>
      </w:r>
      <w:r>
        <w:br/>
      </w:r>
    </w:p>
    <w:p>
      <w:pPr>
        <w:pStyle w:val="ListParagraph"/>
        <w:numPr>
          <w:ilvl w:val="0"/>
          <w:numId w:val="100494550"/>
        </w:numPr>
        <w:ind w:left="360"/>
      </w:pPr>
      <w:r>
        <w:t xml:space="preserve">Hoe beoordeelt u het risico dat kosten die via een invoedingstarief bij producenten worden neergelegd, uiteindelijk via subsidies weer moeten worden gecompenseerd, waardoor per saldo geen kostenbesparing maar juist extra systeemkosten ontstaan?</w:t>
      </w:r>
      <w:r>
        <w:br/>
      </w:r>
    </w:p>
    <w:p>
      <w:pPr>
        <w:pStyle w:val="ListParagraph"/>
        <w:numPr>
          <w:ilvl w:val="0"/>
          <w:numId w:val="100494550"/>
        </w:numPr>
        <w:ind w:left="360"/>
      </w:pPr>
      <w:r>
        <w:t xml:space="preserve">Ziet u risico’s dat een invoedingstarief, door het afremmen van investeringen in binnenlandse productie, ook een negatieve impact kan hebben op de leveringszekerheid van energie in Nederland?</w:t>
      </w:r>
      <w:r>
        <w:br/>
      </w:r>
    </w:p>
    <w:p>
      <w:pPr>
        <w:pStyle w:val="ListParagraph"/>
        <w:numPr>
          <w:ilvl w:val="0"/>
          <w:numId w:val="100494550"/>
        </w:numPr>
        <w:ind w:left="360"/>
      </w:pPr>
      <w:r>
        <w:t xml:space="preserve">Hoe verhoudt een invoedingstarief zich tot andere maatregelen die netefficiënt gedrag kunnen bevorderen?</w:t>
      </w:r>
      <w:r>
        <w:br/>
      </w:r>
    </w:p>
    <w:p>
      <w:pPr>
        <w:pStyle w:val="ListParagraph"/>
        <w:numPr>
          <w:ilvl w:val="0"/>
          <w:numId w:val="100494550"/>
        </w:numPr>
        <w:ind w:left="360"/>
      </w:pPr>
      <w:r>
        <w:t xml:space="preserve">Bent u bekend met de conclusies uit de appreciatie van het Interdepartementaal beleidsonderzoek (IBO) 'Bekostiging van de Elektriciteitsinfrastructuur' (Kamerstuk 29023, nr. 567), waarin wordt gewezen op aanzienlijke potentiële kostenbesparingen door flexibel netgebruik, en kunt u toelichten in hoeverre deze alternatieven effectiever of doelmatiger zijn dan een invoedingstarief?</w:t>
      </w:r>
      <w:r>
        <w:br/>
      </w:r>
    </w:p>
    <w:p>
      <w:pPr>
        <w:pStyle w:val="ListParagraph"/>
        <w:numPr>
          <w:ilvl w:val="0"/>
          <w:numId w:val="100494550"/>
        </w:numPr>
        <w:ind w:left="360"/>
      </w:pPr>
      <w:r>
        <w:t xml:space="preserve">In hoeverre wordt bij de afweging rond een invoedingstarief gekeken naar de concurrentiepositie van Nederland ten opzichte van andere Europese landen? Wordt een vergelijkbaar tarief elders in Europa ingevoerd, en zo ja, met welke effecten op investeringen en netcongestie?</w:t>
      </w:r>
      <w:r>
        <w:br/>
      </w:r>
    </w:p>
    <w:p>
      <w:r>
        <w:t xml:space="preserve">1) Energeia, 12 januari 2026, 'Brancheclubs mordicus tegen invoedingstarief'. (energeia.nl/brancheclubs-mordicus-tegen-invoedingstarief/)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530">
    <w:abstractNumId w:val="100494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