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D6C20" w:rsidTr="00D9561B" w14:paraId="133325AE" w14:textId="77777777">
        <w:trPr>
          <w:trHeight w:val="1514"/>
        </w:trPr>
        <w:tc>
          <w:tcPr>
            <w:tcW w:w="7522" w:type="dxa"/>
            <w:tcBorders>
              <w:top w:val="nil"/>
              <w:left w:val="nil"/>
              <w:bottom w:val="nil"/>
              <w:right w:val="nil"/>
            </w:tcBorders>
            <w:tcMar>
              <w:left w:w="0" w:type="dxa"/>
              <w:right w:w="0" w:type="dxa"/>
            </w:tcMar>
          </w:tcPr>
          <w:p w:rsidR="00374412" w:rsidP="00D9561B" w:rsidRDefault="00833A81" w14:paraId="7268E582" w14:textId="48A64B88">
            <w:r>
              <w:t>De v</w:t>
            </w:r>
            <w:r w:rsidR="008E3932">
              <w:t>oorzitter van de Tweede Kamer der Staten-Generaal</w:t>
            </w:r>
          </w:p>
          <w:p w:rsidR="00374412" w:rsidP="00D9561B" w:rsidRDefault="00833A81" w14:paraId="3D39B186" w14:textId="77777777">
            <w:r>
              <w:t>Postbus 20018</w:t>
            </w:r>
          </w:p>
          <w:p w:rsidR="008E3932" w:rsidP="00D9561B" w:rsidRDefault="00833A81" w14:paraId="695C40E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D6C20" w:rsidTr="00F8616F" w14:paraId="48EFFBD9" w14:textId="77777777">
        <w:trPr>
          <w:trHeight w:val="289" w:hRule="exact"/>
        </w:trPr>
        <w:tc>
          <w:tcPr>
            <w:tcW w:w="928" w:type="dxa"/>
          </w:tcPr>
          <w:p w:rsidRPr="00434042" w:rsidR="0005404B" w:rsidP="00FF66F9" w:rsidRDefault="00833A81" w14:paraId="2C39416E" w14:textId="77777777">
            <w:pPr>
              <w:rPr>
                <w:lang w:eastAsia="en-US"/>
              </w:rPr>
            </w:pPr>
            <w:r>
              <w:rPr>
                <w:lang w:eastAsia="en-US"/>
              </w:rPr>
              <w:t>Datum</w:t>
            </w:r>
          </w:p>
        </w:tc>
        <w:tc>
          <w:tcPr>
            <w:tcW w:w="6572" w:type="dxa"/>
          </w:tcPr>
          <w:p w:rsidRPr="00434042" w:rsidR="0005404B" w:rsidP="00FF66F9" w:rsidRDefault="00A20D4E" w14:paraId="2B8FDBCC" w14:textId="1FA910CD">
            <w:pPr>
              <w:rPr>
                <w:lang w:eastAsia="en-US"/>
              </w:rPr>
            </w:pPr>
            <w:r>
              <w:rPr>
                <w:lang w:eastAsia="en-US"/>
              </w:rPr>
              <w:t>14 januari 2026</w:t>
            </w:r>
          </w:p>
        </w:tc>
      </w:tr>
      <w:tr w:rsidR="002D6C20" w:rsidTr="00F8616F" w14:paraId="20C7BCC8" w14:textId="77777777">
        <w:trPr>
          <w:trHeight w:val="368"/>
        </w:trPr>
        <w:tc>
          <w:tcPr>
            <w:tcW w:w="928" w:type="dxa"/>
          </w:tcPr>
          <w:p w:rsidR="0005404B" w:rsidP="00FF66F9" w:rsidRDefault="00833A81" w14:paraId="399D8C66" w14:textId="77777777">
            <w:pPr>
              <w:rPr>
                <w:lang w:eastAsia="en-US"/>
              </w:rPr>
            </w:pPr>
            <w:r>
              <w:rPr>
                <w:lang w:eastAsia="en-US"/>
              </w:rPr>
              <w:t>Betreft</w:t>
            </w:r>
          </w:p>
        </w:tc>
        <w:tc>
          <w:tcPr>
            <w:tcW w:w="6572" w:type="dxa"/>
          </w:tcPr>
          <w:p w:rsidR="0005404B" w:rsidP="00FF66F9" w:rsidRDefault="00833A81" w14:paraId="6C1FF35A" w14:textId="77777777">
            <w:pPr>
              <w:rPr>
                <w:lang w:eastAsia="en-US"/>
              </w:rPr>
            </w:pPr>
            <w:r>
              <w:rPr>
                <w:lang w:eastAsia="en-US"/>
              </w:rPr>
              <w:t>Geannoteerde agenda informele Onderwijsraad 29-30 januari 2026, Nicosia, Cyprus</w:t>
            </w:r>
          </w:p>
        </w:tc>
      </w:tr>
    </w:tbl>
    <w:p w:rsidR="00F8616F" w:rsidRDefault="00F8616F" w14:paraId="224AD6AA" w14:textId="715279F7">
      <w:r w:rsidRPr="00F8616F">
        <w:t>Hierbij zend</w:t>
      </w:r>
      <w:r w:rsidR="00A20D4E">
        <w:t xml:space="preserve">en wij </w:t>
      </w:r>
      <w:r w:rsidRPr="00F8616F">
        <w:t xml:space="preserve">uw Kamer de geannoteerde agenda van de informele bijeenkomst voor onderwijsministers op </w:t>
      </w:r>
      <w:r>
        <w:t>29</w:t>
      </w:r>
      <w:r w:rsidRPr="00F8616F">
        <w:t xml:space="preserve"> en </w:t>
      </w:r>
      <w:r>
        <w:t xml:space="preserve">30 januari 2026 in Nicosia, Cyprus. </w:t>
      </w:r>
    </w:p>
    <w:p w:rsidR="00F8616F" w:rsidRDefault="00F8616F" w14:paraId="2CFCC14E" w14:textId="77777777"/>
    <w:p w:rsidR="002D6C20" w:rsidRDefault="00F8616F" w14:paraId="29A20C84" w14:textId="05348D17">
      <w:r w:rsidRPr="00F8616F">
        <w:t xml:space="preserve">De informele bijeenkomst wordt georganiseerd door het </w:t>
      </w:r>
      <w:r>
        <w:t>Cypriotisch</w:t>
      </w:r>
      <w:r w:rsidRPr="00F8616F">
        <w:t xml:space="preserve"> EU</w:t>
      </w:r>
      <w:r>
        <w:t>-</w:t>
      </w:r>
      <w:r w:rsidRPr="00F8616F">
        <w:t xml:space="preserve">voorzitterschap van de Raad van de Europese Unie. </w:t>
      </w:r>
      <w:r>
        <w:t>De staatssecretaris van Onderwijs, Cultuur en Wetenschap zal aan de bijeenkomst deelnemen.</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D6C20" w:rsidTr="00A421A1" w14:paraId="28DA7C90" w14:textId="77777777">
        <w:tc>
          <w:tcPr>
            <w:tcW w:w="2160" w:type="dxa"/>
          </w:tcPr>
          <w:p w:rsidRPr="00F53C9D" w:rsidR="006205C0" w:rsidP="00686AED" w:rsidRDefault="00833A81" w14:paraId="48C6DED9" w14:textId="77777777">
            <w:pPr>
              <w:pStyle w:val="Colofonkop"/>
              <w:framePr w:hSpace="0" w:wrap="auto" w:hAnchor="text" w:vAnchor="margin" w:xAlign="left" w:yAlign="inline"/>
            </w:pPr>
            <w:r>
              <w:t>Internationaal Beleid</w:t>
            </w:r>
          </w:p>
          <w:p w:rsidR="006205C0" w:rsidP="00A421A1" w:rsidRDefault="00833A81" w14:paraId="105FFBD5" w14:textId="77777777">
            <w:pPr>
              <w:pStyle w:val="Huisstijl-Gegeven"/>
              <w:spacing w:after="0"/>
            </w:pPr>
            <w:r>
              <w:t xml:space="preserve">Rijnstraat 50 </w:t>
            </w:r>
          </w:p>
          <w:p w:rsidR="004425A7" w:rsidP="00E972A2" w:rsidRDefault="00833A81" w14:paraId="4D4CDB6B" w14:textId="77777777">
            <w:pPr>
              <w:pStyle w:val="Huisstijl-Gegeven"/>
              <w:spacing w:after="0"/>
            </w:pPr>
            <w:r>
              <w:t>Den Haag</w:t>
            </w:r>
          </w:p>
          <w:p w:rsidR="004425A7" w:rsidP="00E972A2" w:rsidRDefault="00833A81" w14:paraId="188A64D3" w14:textId="77777777">
            <w:pPr>
              <w:pStyle w:val="Huisstijl-Gegeven"/>
              <w:spacing w:after="0"/>
            </w:pPr>
            <w:r>
              <w:t>Postbus 16375</w:t>
            </w:r>
          </w:p>
          <w:p w:rsidR="004425A7" w:rsidP="00E972A2" w:rsidRDefault="00833A81" w14:paraId="104ABB09" w14:textId="77777777">
            <w:pPr>
              <w:pStyle w:val="Huisstijl-Gegeven"/>
              <w:spacing w:after="0"/>
            </w:pPr>
            <w:r>
              <w:t>2500 BJ Den Haag</w:t>
            </w:r>
          </w:p>
          <w:p w:rsidR="004425A7" w:rsidP="00E972A2" w:rsidRDefault="00833A81" w14:paraId="1DF60D95" w14:textId="77777777">
            <w:pPr>
              <w:pStyle w:val="Huisstijl-Gegeven"/>
              <w:spacing w:after="90"/>
            </w:pPr>
            <w:r>
              <w:t>www.rijksoverheid.nl</w:t>
            </w:r>
          </w:p>
          <w:p w:rsidRPr="00D86CC6" w:rsidR="006205C0" w:rsidP="00A421A1" w:rsidRDefault="00833A81" w14:paraId="0373C148" w14:textId="77777777">
            <w:pPr>
              <w:spacing w:line="180" w:lineRule="exact"/>
              <w:rPr>
                <w:b/>
                <w:sz w:val="13"/>
                <w:szCs w:val="13"/>
              </w:rPr>
            </w:pPr>
            <w:r>
              <w:rPr>
                <w:b/>
                <w:sz w:val="13"/>
                <w:szCs w:val="13"/>
              </w:rPr>
              <w:t>Contactpersoon</w:t>
            </w:r>
          </w:p>
          <w:p w:rsidR="006205C0" w:rsidP="00A421A1" w:rsidRDefault="006205C0" w14:paraId="3B9B8681" w14:textId="77777777">
            <w:pPr>
              <w:spacing w:line="180" w:lineRule="exact"/>
              <w:rPr>
                <w:sz w:val="13"/>
                <w:szCs w:val="13"/>
              </w:rPr>
            </w:pPr>
          </w:p>
          <w:p w:rsidRPr="00A32073" w:rsidR="00A20D4E" w:rsidP="00A421A1" w:rsidRDefault="00A20D4E" w14:paraId="7758E873" w14:textId="750716ED">
            <w:pPr>
              <w:spacing w:line="180" w:lineRule="exact"/>
              <w:rPr>
                <w:sz w:val="13"/>
                <w:szCs w:val="13"/>
              </w:rPr>
            </w:pPr>
          </w:p>
        </w:tc>
      </w:tr>
      <w:tr w:rsidR="002D6C20" w:rsidTr="00A421A1" w14:paraId="76E088C5" w14:textId="77777777">
        <w:trPr>
          <w:trHeight w:val="200" w:hRule="exact"/>
        </w:trPr>
        <w:tc>
          <w:tcPr>
            <w:tcW w:w="2160" w:type="dxa"/>
          </w:tcPr>
          <w:p w:rsidRPr="00356D2B" w:rsidR="006205C0" w:rsidP="00A421A1" w:rsidRDefault="006205C0" w14:paraId="60E972A8" w14:textId="77777777">
            <w:pPr>
              <w:spacing w:after="90" w:line="180" w:lineRule="exact"/>
              <w:rPr>
                <w:sz w:val="13"/>
                <w:szCs w:val="13"/>
              </w:rPr>
            </w:pPr>
          </w:p>
        </w:tc>
      </w:tr>
      <w:tr w:rsidR="002D6C20" w:rsidTr="00A421A1" w14:paraId="18A57883" w14:textId="77777777">
        <w:trPr>
          <w:trHeight w:val="450"/>
        </w:trPr>
        <w:tc>
          <w:tcPr>
            <w:tcW w:w="2160" w:type="dxa"/>
          </w:tcPr>
          <w:p w:rsidR="00F51A76" w:rsidP="00A421A1" w:rsidRDefault="00833A81" w14:paraId="1EEBE36E" w14:textId="77777777">
            <w:pPr>
              <w:spacing w:line="180" w:lineRule="exact"/>
              <w:rPr>
                <w:b/>
                <w:sz w:val="13"/>
                <w:szCs w:val="13"/>
              </w:rPr>
            </w:pPr>
            <w:r>
              <w:rPr>
                <w:b/>
                <w:sz w:val="13"/>
                <w:szCs w:val="13"/>
              </w:rPr>
              <w:t>Onze referentie</w:t>
            </w:r>
          </w:p>
          <w:p w:rsidRPr="00FA7882" w:rsidR="006205C0" w:rsidP="00215356" w:rsidRDefault="00833A81" w14:paraId="5A80C229" w14:textId="77777777">
            <w:pPr>
              <w:spacing w:line="180" w:lineRule="exact"/>
              <w:rPr>
                <w:sz w:val="13"/>
                <w:szCs w:val="13"/>
              </w:rPr>
            </w:pPr>
            <w:r>
              <w:rPr>
                <w:sz w:val="13"/>
                <w:szCs w:val="13"/>
              </w:rPr>
              <w:t>58866193</w:t>
            </w:r>
          </w:p>
        </w:tc>
      </w:tr>
      <w:tr w:rsidR="002D6C20" w:rsidTr="00D130C0" w14:paraId="4F53E6D0" w14:textId="77777777">
        <w:trPr>
          <w:trHeight w:val="113"/>
        </w:trPr>
        <w:tc>
          <w:tcPr>
            <w:tcW w:w="2160" w:type="dxa"/>
          </w:tcPr>
          <w:p w:rsidRPr="00C5333A" w:rsidR="006205C0" w:rsidP="00D36088" w:rsidRDefault="00833A81" w14:paraId="1F0CF65C" w14:textId="77777777">
            <w:pPr>
              <w:tabs>
                <w:tab w:val="center" w:pos="1080"/>
              </w:tabs>
              <w:spacing w:line="180" w:lineRule="exact"/>
              <w:rPr>
                <w:sz w:val="13"/>
                <w:szCs w:val="13"/>
              </w:rPr>
            </w:pPr>
            <w:r>
              <w:rPr>
                <w:b/>
                <w:sz w:val="13"/>
                <w:szCs w:val="13"/>
              </w:rPr>
              <w:t>Bijlagen</w:t>
            </w:r>
          </w:p>
        </w:tc>
      </w:tr>
      <w:tr w:rsidR="002D6C20" w:rsidTr="00D130C0" w14:paraId="549CFE13" w14:textId="77777777">
        <w:trPr>
          <w:trHeight w:val="113"/>
        </w:trPr>
        <w:tc>
          <w:tcPr>
            <w:tcW w:w="2160" w:type="dxa"/>
          </w:tcPr>
          <w:p w:rsidRPr="00D74F66" w:rsidR="006205C0" w:rsidP="00A421A1" w:rsidRDefault="006205C0" w14:paraId="60CA86A9" w14:textId="77777777">
            <w:pPr>
              <w:spacing w:after="90" w:line="180" w:lineRule="exact"/>
              <w:rPr>
                <w:sz w:val="13"/>
              </w:rPr>
            </w:pPr>
          </w:p>
        </w:tc>
      </w:tr>
    </w:tbl>
    <w:p w:rsidR="007851C4" w:rsidP="00CA35E4" w:rsidRDefault="007851C4" w14:paraId="59976063" w14:textId="2ED19019"/>
    <w:p w:rsidR="006643AA" w:rsidP="00CA35E4" w:rsidRDefault="006643AA" w14:paraId="32E5B1C6" w14:textId="77777777"/>
    <w:p w:rsidR="00820DDA" w:rsidP="00CA35E4" w:rsidRDefault="00833A81" w14:paraId="1F59AE01" w14:textId="77777777">
      <w:r>
        <w:t>De minister van Onderwijs, Cultuur en Wetenschap,</w:t>
      </w:r>
    </w:p>
    <w:p w:rsidR="000F521E" w:rsidP="003A7160" w:rsidRDefault="000F521E" w14:paraId="4E750F64" w14:textId="77777777"/>
    <w:p w:rsidR="000F521E" w:rsidP="003A7160" w:rsidRDefault="000F521E" w14:paraId="7BDC3D8D" w14:textId="77777777"/>
    <w:p w:rsidR="000F521E" w:rsidP="003A7160" w:rsidRDefault="000F521E" w14:paraId="6141A1A8" w14:textId="77777777"/>
    <w:p w:rsidR="00ED4DBF" w:rsidP="003A7160" w:rsidRDefault="00ED4DBF" w14:paraId="3CB9D078" w14:textId="77777777"/>
    <w:p w:rsidR="00ED4DBF" w:rsidP="003A7160" w:rsidRDefault="00ED4DBF" w14:paraId="46A2EC9C" w14:textId="77777777"/>
    <w:p w:rsidR="000F521E" w:rsidP="003A7160" w:rsidRDefault="00833A81" w14:paraId="2DE391E2" w14:textId="77777777">
      <w:pPr>
        <w:pStyle w:val="standaard-tekst"/>
      </w:pPr>
      <w:proofErr w:type="spellStart"/>
      <w:r>
        <w:t>Gouke</w:t>
      </w:r>
      <w:proofErr w:type="spellEnd"/>
      <w:r>
        <w:t xml:space="preserve"> Moes</w:t>
      </w:r>
    </w:p>
    <w:p w:rsidR="00ED4DBF" w:rsidP="003A7160" w:rsidRDefault="00ED4DBF" w14:paraId="5A063278" w14:textId="77777777"/>
    <w:p w:rsidR="00F01557" w:rsidP="003A7160" w:rsidRDefault="00F01557" w14:paraId="21A31385" w14:textId="77777777"/>
    <w:p w:rsidR="002D6C20" w:rsidRDefault="00833A81" w14:paraId="08309CE0" w14:textId="77777777">
      <w:r>
        <w:t xml:space="preserve">De staatssecretaris </w:t>
      </w:r>
      <w:r w:rsidR="00535573">
        <w:t xml:space="preserve">van Onderwijs, </w:t>
      </w:r>
      <w:r>
        <w:t>Cultuur en</w:t>
      </w:r>
      <w:r w:rsidR="00535573">
        <w:t xml:space="preserve"> Wetenschap</w:t>
      </w:r>
      <w:r>
        <w:t>,</w:t>
      </w:r>
    </w:p>
    <w:p w:rsidR="00745AE0" w:rsidP="003A7160" w:rsidRDefault="00745AE0" w14:paraId="4BFF02C2" w14:textId="77777777"/>
    <w:p w:rsidR="00745AE0" w:rsidP="003A7160" w:rsidRDefault="00745AE0" w14:paraId="1119ADF6" w14:textId="77777777"/>
    <w:p w:rsidR="00745AE0" w:rsidP="003A7160" w:rsidRDefault="00745AE0" w14:paraId="66C7B7DD" w14:textId="77777777"/>
    <w:p w:rsidR="00ED4DBF" w:rsidP="003A7160" w:rsidRDefault="00ED4DBF" w14:paraId="03AEEFEA" w14:textId="77777777"/>
    <w:p w:rsidR="00E93891" w:rsidP="00347221" w:rsidRDefault="00E93891" w14:paraId="16E57D78" w14:textId="77777777"/>
    <w:p w:rsidR="00697943" w:rsidP="00347221" w:rsidRDefault="00833A81" w14:paraId="7D0B1272" w14:textId="77777777">
      <w:r w:rsidRPr="00480E05">
        <w:t>Koen Becking</w:t>
      </w:r>
    </w:p>
    <w:p w:rsidR="009E0EDE" w:rsidP="00347221" w:rsidRDefault="009E0EDE" w14:paraId="53BA6DFF" w14:textId="77777777"/>
    <w:p w:rsidR="009E0EDE" w:rsidP="00347221" w:rsidRDefault="009E0EDE" w14:paraId="3A5F2511" w14:textId="77777777"/>
    <w:p w:rsidR="009E0EDE" w:rsidP="00347221" w:rsidRDefault="00AC304A" w14:paraId="6D2AEDB0" w14:textId="36EEE362">
      <w:r>
        <w:t>De m</w:t>
      </w:r>
      <w:r w:rsidRPr="00AC304A">
        <w:t>inister van Sociale Zaken en Werkgelegenheid</w:t>
      </w:r>
      <w:r w:rsidR="00A20D4E">
        <w:t>,</w:t>
      </w:r>
    </w:p>
    <w:p w:rsidR="00AC304A" w:rsidP="00347221" w:rsidRDefault="00AC304A" w14:paraId="0CA78C29" w14:textId="77777777"/>
    <w:p w:rsidR="00AC304A" w:rsidP="00347221" w:rsidRDefault="00AC304A" w14:paraId="29DFEF99" w14:textId="77777777"/>
    <w:p w:rsidR="00ED4DBF" w:rsidP="00347221" w:rsidRDefault="00ED4DBF" w14:paraId="5DE15AC8" w14:textId="77777777"/>
    <w:p w:rsidR="00ED4DBF" w:rsidP="00347221" w:rsidRDefault="00ED4DBF" w14:paraId="707F14A7" w14:textId="77777777"/>
    <w:p w:rsidR="00AC304A" w:rsidP="00347221" w:rsidRDefault="00AC304A" w14:paraId="2CF482CC" w14:textId="77777777"/>
    <w:p w:rsidR="00AC304A" w:rsidP="00347221" w:rsidRDefault="00AC304A" w14:paraId="1FD34AB2" w14:textId="21D1E156">
      <w:r>
        <w:t>Mariëlle Paul</w:t>
      </w:r>
    </w:p>
    <w:p w:rsidR="006643AA" w:rsidP="00347221" w:rsidRDefault="006643AA" w14:paraId="413E21AF" w14:textId="77777777">
      <w:pPr>
        <w:rPr>
          <w:b/>
          <w:bCs/>
        </w:rPr>
      </w:pPr>
    </w:p>
    <w:p w:rsidRPr="009E0EDE" w:rsidR="002A65FE" w:rsidP="002A65FE" w:rsidRDefault="002A65FE" w14:paraId="0409A474" w14:textId="77777777">
      <w:pPr>
        <w:rPr>
          <w:b/>
          <w:bCs/>
        </w:rPr>
      </w:pPr>
      <w:r w:rsidRPr="009E0EDE">
        <w:rPr>
          <w:b/>
          <w:bCs/>
        </w:rPr>
        <w:lastRenderedPageBreak/>
        <w:t>GEANNOTEERDE AGENDA INFORMELE ONDERWIJSRAAD 29-30 JANUARI 2026</w:t>
      </w:r>
    </w:p>
    <w:p w:rsidR="002A65FE" w:rsidP="002A65FE" w:rsidRDefault="002A65FE" w14:paraId="00F6AD24" w14:textId="77777777"/>
    <w:p w:rsidR="002A65FE" w:rsidP="002A65FE" w:rsidRDefault="002A65FE" w14:paraId="125CFDFF" w14:textId="77777777">
      <w:r w:rsidRPr="009E0EDE">
        <w:t xml:space="preserve">Op het moment van schrijven </w:t>
      </w:r>
      <w:r>
        <w:t>is</w:t>
      </w:r>
      <w:r w:rsidRPr="009E0EDE">
        <w:t xml:space="preserve"> een aantal voorbereidende stukken nog niet met de lidstaten gedeeld. Daarom zal voor deze onderdelen een algemene inzet worden gegeven.</w:t>
      </w:r>
    </w:p>
    <w:p w:rsidR="002A65FE" w:rsidP="002A65FE" w:rsidRDefault="002A65FE" w14:paraId="1488D0CB" w14:textId="77777777"/>
    <w:p w:rsidR="002A65FE" w:rsidP="002A65FE" w:rsidRDefault="002A65FE" w14:paraId="5FBEC0B7" w14:textId="77777777">
      <w:pPr>
        <w:rPr>
          <w:b/>
          <w:bCs/>
        </w:rPr>
      </w:pPr>
      <w:r w:rsidRPr="009E0EDE">
        <w:rPr>
          <w:b/>
          <w:bCs/>
        </w:rPr>
        <w:t xml:space="preserve">Professionalisering van het lerarenberoep </w:t>
      </w:r>
    </w:p>
    <w:p w:rsidR="002A65FE" w:rsidP="002A65FE" w:rsidRDefault="002A65FE" w14:paraId="33F4212F" w14:textId="77777777">
      <w:pPr>
        <w:rPr>
          <w:b/>
          <w:bCs/>
        </w:rPr>
      </w:pPr>
    </w:p>
    <w:p w:rsidR="002A65FE" w:rsidP="002A65FE" w:rsidRDefault="002A65FE" w14:paraId="37A9CB10" w14:textId="77777777">
      <w:pPr>
        <w:rPr>
          <w:u w:val="single"/>
        </w:rPr>
      </w:pPr>
      <w:r w:rsidRPr="0023246B">
        <w:rPr>
          <w:u w:val="single"/>
        </w:rPr>
        <w:t xml:space="preserve">Inhoud </w:t>
      </w:r>
    </w:p>
    <w:p w:rsidRPr="00E56663" w:rsidR="002A65FE" w:rsidP="002A65FE" w:rsidRDefault="002A65FE" w14:paraId="07DFE721" w14:textId="77777777">
      <w:r>
        <w:t xml:space="preserve">Het Cypriotisch voorzitterschap heeft funderend onderwijs als één van hun prioriteiten tijdens hun Raadsvoorzitterschap gekozen. Centraal hierbij staat o.a. lerarenbeleid en de rol van leraren in relatie tot verschillende uitdagingen van het lerarenberoep, zoals lerarentekort, verminderende aantrekkelijkheid van het lerarenberoep, een veranderende arbeidsmarkt, etc. De verwachting is dat het Cypriotisch voorzitterschap wil spreken over de verschillende uitdagingen m.b.t. de professionalisering van het lerarenberoep, het delen van best </w:t>
      </w:r>
      <w:proofErr w:type="spellStart"/>
      <w:r>
        <w:t>practices</w:t>
      </w:r>
      <w:proofErr w:type="spellEnd"/>
      <w:r>
        <w:t xml:space="preserve"> en het verkennen hoe beleid op EU-niveau lidstaten aan de professionalisering van het lerarenberoep kan bijdragen. Hiermee leveren de lidstaten ook een bijdrage aan de EU-leraren– en opleidersagenda die de Commissie in de Vaardigheidsunie voor 2026 heeft aangekondigd.</w:t>
      </w:r>
      <w:r>
        <w:rPr>
          <w:rStyle w:val="Voetnootmarkering"/>
        </w:rPr>
        <w:footnoteReference w:id="1"/>
      </w:r>
    </w:p>
    <w:p w:rsidR="002A65FE" w:rsidP="002A65FE" w:rsidRDefault="002A65FE" w14:paraId="33B286F3" w14:textId="77777777"/>
    <w:p w:rsidRPr="009928DE" w:rsidR="002A65FE" w:rsidP="002A65FE" w:rsidRDefault="002A65FE" w14:paraId="62EFE753" w14:textId="77777777">
      <w:pPr>
        <w:rPr>
          <w:u w:val="single"/>
        </w:rPr>
      </w:pPr>
      <w:r w:rsidRPr="009928DE">
        <w:rPr>
          <w:u w:val="single"/>
        </w:rPr>
        <w:t xml:space="preserve">Inzet Nederland </w:t>
      </w:r>
    </w:p>
    <w:p w:rsidRPr="0023246B" w:rsidR="002A65FE" w:rsidP="002A65FE" w:rsidRDefault="002A65FE" w14:paraId="288A4D32" w14:textId="77777777">
      <w:r w:rsidRPr="0023246B">
        <w:t xml:space="preserve">Nederland verwelkomt </w:t>
      </w:r>
      <w:r>
        <w:t xml:space="preserve">de agendering van </w:t>
      </w:r>
      <w:r w:rsidRPr="0023246B">
        <w:t xml:space="preserve">professionalisering van het lerarenberoep </w:t>
      </w:r>
      <w:r>
        <w:t>nu de kwaliteit van het onderwijs onder druk staat en gezien de</w:t>
      </w:r>
      <w:r w:rsidRPr="0023246B">
        <w:t xml:space="preserve"> </w:t>
      </w:r>
      <w:r>
        <w:t>personeelstekorten in de sector</w:t>
      </w:r>
      <w:r w:rsidRPr="0023246B">
        <w:t>. Door te investeren in de professionele ontwikkeling van lerare</w:t>
      </w:r>
      <w:r>
        <w:t>n</w:t>
      </w:r>
      <w:r w:rsidRPr="0023246B">
        <w:t xml:space="preserve"> wordt niet alleen hun vakbekwaamheid versterkt, maar wordt het beroep ook aantrekkelijker voor nieuwe instromers en blijft het </w:t>
      </w:r>
      <w:r>
        <w:t>interessant</w:t>
      </w:r>
      <w:r w:rsidRPr="0023246B">
        <w:t xml:space="preserve"> voor ervaren docenten. Dit</w:t>
      </w:r>
      <w:r>
        <w:t xml:space="preserve"> alles</w:t>
      </w:r>
      <w:r w:rsidRPr="0023246B">
        <w:t xml:space="preserve"> kan bijdragen aan het behoud van leraren en het verbeteren van hun werkplezier en effectiviteit, wat uiteindelijk de onderwijskwaliteit bevordert</w:t>
      </w:r>
      <w:r>
        <w:t xml:space="preserve"> en de tekorten kan verlichten</w:t>
      </w:r>
      <w:r w:rsidRPr="0023246B">
        <w:t>.</w:t>
      </w:r>
      <w:r>
        <w:t xml:space="preserve"> </w:t>
      </w:r>
      <w:r w:rsidRPr="00316454">
        <w:t>Het Nationaal Groeifonds-project NAPL (Nationale Aanpak Professionalisering van Leraren) speelt hierin voor Nederland een cruciale rol door een structurele infrastructuur te creëren die leraren gedurende hun gehele carrière ondersteunt.</w:t>
      </w:r>
      <w:r>
        <w:t xml:space="preserve"> Hierin zetten we stappen, samen met het brede onderwijsveld.</w:t>
      </w:r>
      <w:r w:rsidDel="00CF42D5">
        <w:t xml:space="preserve"> </w:t>
      </w:r>
    </w:p>
    <w:p w:rsidR="002A65FE" w:rsidP="002A65FE" w:rsidRDefault="002A65FE" w14:paraId="5CC03C2C" w14:textId="77777777"/>
    <w:p w:rsidRPr="0023246B" w:rsidR="002A65FE" w:rsidP="002A65FE" w:rsidRDefault="002A65FE" w14:paraId="55D148FD" w14:textId="77777777">
      <w:r>
        <w:t>H</w:t>
      </w:r>
      <w:r w:rsidRPr="0023246B">
        <w:t>et Cypriotisch voorzitterschap heeft terecht professionalisering als een prioriteit geagendeerd</w:t>
      </w:r>
      <w:r>
        <w:t>, op dit gebied liggen voor de lidstaten nog veel gemeenschappelijke uitdagingen, bijvoorbeeld in het aantrekken en behouden van voldoende, bekwame leraren</w:t>
      </w:r>
      <w:r w:rsidRPr="0023246B">
        <w:t xml:space="preserve">. Het delen van best </w:t>
      </w:r>
      <w:proofErr w:type="spellStart"/>
      <w:r w:rsidRPr="0023246B">
        <w:t>practices</w:t>
      </w:r>
      <w:proofErr w:type="spellEnd"/>
      <w:r w:rsidRPr="0023246B">
        <w:t xml:space="preserve"> en het stimuleren van samenwerking tussen lidstaten</w:t>
      </w:r>
      <w:r>
        <w:t xml:space="preserve"> door bijvoorbeeld het bevorderen van kennisuitwisseling over beschikbare loopbaanpaden en gerichte ontwikkelmogelijkheden van leraren binnen het funderend onderwijs en het versterken van partnerschappen tussen scholen en instellingen</w:t>
      </w:r>
      <w:r w:rsidRPr="0023246B">
        <w:t xml:space="preserve"> kan de effectiviteit van de initiatieven vergroten en zo bijdragen aan een sterker, meer toekomstbestendig onderwijssysteem in heel Europa.</w:t>
      </w:r>
    </w:p>
    <w:p w:rsidR="002A65FE" w:rsidP="002A65FE" w:rsidRDefault="002A65FE" w14:paraId="58E9E60E" w14:textId="77777777"/>
    <w:p w:rsidR="002A65FE" w:rsidP="002A65FE" w:rsidRDefault="002A65FE" w14:paraId="202B8041" w14:textId="77777777">
      <w:pPr>
        <w:rPr>
          <w:u w:val="single"/>
        </w:rPr>
      </w:pPr>
    </w:p>
    <w:p w:rsidRPr="009928DE" w:rsidR="002A65FE" w:rsidP="002A65FE" w:rsidRDefault="002A65FE" w14:paraId="3FE3F6EF" w14:textId="77777777">
      <w:pPr>
        <w:rPr>
          <w:u w:val="single"/>
        </w:rPr>
      </w:pPr>
      <w:r w:rsidRPr="009928DE">
        <w:rPr>
          <w:u w:val="single"/>
        </w:rPr>
        <w:lastRenderedPageBreak/>
        <w:t xml:space="preserve">Indicatie krachtenveld </w:t>
      </w:r>
    </w:p>
    <w:p w:rsidRPr="009928DE" w:rsidR="002A65FE" w:rsidP="002A65FE" w:rsidRDefault="002A65FE" w14:paraId="278506F1" w14:textId="77777777">
      <w:r>
        <w:t>De lidstaten verwelkomen de aandacht van het Cypriotisch voorzitterschap voor het onderwerp lerarenbeleid, mede in relatie tot de eerdergenoemde voorstellen van de Europese Commissie.</w:t>
      </w:r>
    </w:p>
    <w:p w:rsidR="002A65FE" w:rsidP="002A65FE" w:rsidRDefault="002A65FE" w14:paraId="35681668" w14:textId="77777777">
      <w:pPr>
        <w:rPr>
          <w:b/>
          <w:bCs/>
        </w:rPr>
      </w:pPr>
    </w:p>
    <w:p w:rsidR="002A65FE" w:rsidP="002A65FE" w:rsidRDefault="002A65FE" w14:paraId="753058DD" w14:textId="77777777">
      <w:pPr>
        <w:rPr>
          <w:b/>
          <w:bCs/>
        </w:rPr>
      </w:pPr>
      <w:r>
        <w:rPr>
          <w:b/>
          <w:bCs/>
        </w:rPr>
        <w:t xml:space="preserve">Leraren in het tijdperk van AI </w:t>
      </w:r>
    </w:p>
    <w:p w:rsidR="002A65FE" w:rsidP="002A65FE" w:rsidRDefault="002A65FE" w14:paraId="5ACE0241" w14:textId="77777777">
      <w:pPr>
        <w:rPr>
          <w:b/>
          <w:bCs/>
        </w:rPr>
      </w:pPr>
    </w:p>
    <w:p w:rsidRPr="00591080" w:rsidR="002A65FE" w:rsidP="002A65FE" w:rsidRDefault="002A65FE" w14:paraId="2C396E14" w14:textId="77777777">
      <w:pPr>
        <w:rPr>
          <w:u w:val="single"/>
        </w:rPr>
      </w:pPr>
      <w:r w:rsidRPr="00591080">
        <w:rPr>
          <w:u w:val="single"/>
        </w:rPr>
        <w:t xml:space="preserve">Inhoud </w:t>
      </w:r>
    </w:p>
    <w:p w:rsidR="002A65FE" w:rsidP="002A65FE" w:rsidRDefault="002A65FE" w14:paraId="3240AF69" w14:textId="77777777">
      <w:r w:rsidRPr="00591080">
        <w:t>Het Cypriotisch voorzitterschap is voornemens om Raadsconclusie</w:t>
      </w:r>
      <w:r>
        <w:t>s</w:t>
      </w:r>
      <w:r w:rsidRPr="00591080">
        <w:t xml:space="preserve"> over leraren in het tijdperk van kunstmatige intelligentie (AI) te agenderen</w:t>
      </w:r>
      <w:r>
        <w:t xml:space="preserve"> en vast te stellen in de komende formele Raad in mei 2026. </w:t>
      </w:r>
      <w:r w:rsidRPr="00591080">
        <w:t>Ter voorbereiding op de</w:t>
      </w:r>
      <w:r>
        <w:t>ze</w:t>
      </w:r>
      <w:r w:rsidRPr="00591080">
        <w:t xml:space="preserve"> Raadsconclusies willen ze hun ideeën hierover bespreken met de EU-lidstaten tijdens </w:t>
      </w:r>
      <w:r>
        <w:t>de</w:t>
      </w:r>
      <w:r w:rsidRPr="00591080">
        <w:t xml:space="preserve"> informele </w:t>
      </w:r>
      <w:r>
        <w:t>Onderwijsraad</w:t>
      </w:r>
      <w:r w:rsidRPr="00591080">
        <w:t>.</w:t>
      </w:r>
    </w:p>
    <w:p w:rsidR="002A65FE" w:rsidP="002A65FE" w:rsidRDefault="002A65FE" w14:paraId="7696272F" w14:textId="77777777"/>
    <w:p w:rsidR="002A65FE" w:rsidP="002A65FE" w:rsidRDefault="002A65FE" w14:paraId="796A2052" w14:textId="77777777">
      <w:r w:rsidRPr="00591080">
        <w:t xml:space="preserve">AI speelt een steeds grotere rol in ons dagelijks leven, ook in het onderwijs, met toepassingen zoals digitale tools, leerplatformen en geautomatiseerde administratieve processen. Dit biedt kansen, maar roept ook nieuwe vraagstukken op voor leraren, zoals het ethisch en verantwoordelijk gebruik van AI, transparantie en bescherming van persoonsgegevens. </w:t>
      </w:r>
    </w:p>
    <w:p w:rsidR="002A65FE" w:rsidP="002A65FE" w:rsidRDefault="002A65FE" w14:paraId="7766D981" w14:textId="77777777"/>
    <w:p w:rsidR="002A65FE" w:rsidP="002A65FE" w:rsidRDefault="002A65FE" w14:paraId="3FB32379" w14:textId="77777777">
      <w:r w:rsidRPr="00591080">
        <w:t xml:space="preserve">Het is essentieel dat leraren </w:t>
      </w:r>
      <w:r>
        <w:t xml:space="preserve">centraal staan en dat AI ondersteunend is. Daarbij is het van belang dat leraren in staat zijn om </w:t>
      </w:r>
      <w:r w:rsidRPr="00591080">
        <w:t xml:space="preserve">de voordelen </w:t>
      </w:r>
      <w:r>
        <w:t xml:space="preserve">van AI te benutten en oog hebben voor de </w:t>
      </w:r>
      <w:r w:rsidRPr="00591080">
        <w:t xml:space="preserve">risico's van AI en </w:t>
      </w:r>
      <w:r>
        <w:t xml:space="preserve">deze </w:t>
      </w:r>
      <w:r w:rsidRPr="00591080">
        <w:t>kunnen beheren.</w:t>
      </w:r>
      <w:r>
        <w:t xml:space="preserve"> Leraren blijven een essentiële bron van kennis en begeleiding en beschikken tegenwoordig over AI-ondersteunde tools, zoals adaptieve leermiddelen en intelligente </w:t>
      </w:r>
      <w:proofErr w:type="spellStart"/>
      <w:r>
        <w:t>tutoringsystemen</w:t>
      </w:r>
      <w:proofErr w:type="spellEnd"/>
      <w:r>
        <w:t xml:space="preserve">. Deze technologieën maken het mogelijk om lesmateriaal beter af te stemmen op de behoeften van leerlingen. Dit vraagt van leraren nieuwe vaardigheden om AI effectief en verantwoord in hun onderwijspraktijk te integreren. </w:t>
      </w:r>
    </w:p>
    <w:p w:rsidR="002A65FE" w:rsidP="002A65FE" w:rsidRDefault="002A65FE" w14:paraId="5664AB4D" w14:textId="77777777"/>
    <w:p w:rsidR="002A65FE" w:rsidP="002A65FE" w:rsidRDefault="002A65FE" w14:paraId="6F0C9AB6" w14:textId="77777777">
      <w:r>
        <w:t>H</w:t>
      </w:r>
      <w:r w:rsidRPr="00591080">
        <w:t xml:space="preserve">et Cypriotisch voorzitterschap </w:t>
      </w:r>
      <w:r>
        <w:t>is voornemens om</w:t>
      </w:r>
      <w:r w:rsidRPr="00591080">
        <w:t xml:space="preserve"> de nadruk </w:t>
      </w:r>
      <w:r>
        <w:t xml:space="preserve">te leggen </w:t>
      </w:r>
      <w:r w:rsidRPr="00591080">
        <w:t>op het ondersteunen van leraren in het ontwikkelen van de benodigde digitale vaardigheden en AI-geletterdheid. Dit omvat zowel de initiële lerarenopleiding als de voortdurende professionele ontwikkeling. De Europese samenwerking richt zich dan ook op het versterken van de kennis en competenties van leraren op het gebied van AI, digitale pedagogiek en kritisch denken.</w:t>
      </w:r>
    </w:p>
    <w:p w:rsidR="002A65FE" w:rsidP="002A65FE" w:rsidRDefault="002A65FE" w14:paraId="51982DFB" w14:textId="77777777"/>
    <w:p w:rsidRPr="00141BB1" w:rsidR="002A65FE" w:rsidP="002A65FE" w:rsidRDefault="002A65FE" w14:paraId="5628C562" w14:textId="77777777">
      <w:r w:rsidRPr="00141BB1">
        <w:t>De ethische en verantwoorde inzet van AI wordt benadrukt. Leraren moeten duidelijke richtlijnen krijgen over risico's zoals de bescherming van persoonsgegevens en transparantie van algoritmes. Tegelijkertijd moet AI de menselijke aspecten van onderwijs, zoals professionele oordeelsvorming en de relatie tussen leraar en leerling, aanvullen en niet ondermijnen. AI kan ook bijdragen aan inclusiviteit en gelijke toegang tot onderwijs, zodat alle leerlingen, ongeacht soci</w:t>
      </w:r>
      <w:r>
        <w:t>aal</w:t>
      </w:r>
      <w:r w:rsidRPr="00141BB1">
        <w:t>economische achtergrond of locatie, kunnen profiteren van digitale middelen van hoge kwaliteit.</w:t>
      </w:r>
    </w:p>
    <w:p w:rsidR="002A65FE" w:rsidP="002A65FE" w:rsidRDefault="002A65FE" w14:paraId="75291A36" w14:textId="77777777"/>
    <w:p w:rsidR="002A65FE" w:rsidP="002A65FE" w:rsidRDefault="002A65FE" w14:paraId="44DF931C" w14:textId="77777777">
      <w:r w:rsidRPr="00141BB1">
        <w:t xml:space="preserve">Het is cruciaal dat de inzet van AI de werkdruk voor leraren niet verhoogt, maar hen juist ondersteunt. De verwachtingen moeten realistisch blijven en het welzijn van de leraren gewaarborgd zijn. AI moet een hulpmiddel zijn dat leraren ontzorgt en hen helpt hun pedagogische taak effectiever uit te voeren. Europese </w:t>
      </w:r>
      <w:r w:rsidRPr="00141BB1">
        <w:lastRenderedPageBreak/>
        <w:t xml:space="preserve">samenwerking is hierbij essentieel om ervaringen en best </w:t>
      </w:r>
      <w:proofErr w:type="spellStart"/>
      <w:r w:rsidRPr="00141BB1">
        <w:t>practices</w:t>
      </w:r>
      <w:proofErr w:type="spellEnd"/>
      <w:r w:rsidRPr="00141BB1">
        <w:t xml:space="preserve"> te delen en gezamenlijk te werken aan toekomstbestendig onderwijs.</w:t>
      </w:r>
    </w:p>
    <w:p w:rsidR="002A65FE" w:rsidP="002A65FE" w:rsidRDefault="002A65FE" w14:paraId="501B7F00" w14:textId="77777777"/>
    <w:p w:rsidRPr="00141BB1" w:rsidR="002A65FE" w:rsidP="002A65FE" w:rsidRDefault="002A65FE" w14:paraId="49E3F712" w14:textId="77777777">
      <w:pPr>
        <w:rPr>
          <w:u w:val="single"/>
        </w:rPr>
      </w:pPr>
      <w:r w:rsidRPr="00141BB1">
        <w:rPr>
          <w:u w:val="single"/>
        </w:rPr>
        <w:t xml:space="preserve">Inzet Nederland </w:t>
      </w:r>
    </w:p>
    <w:p w:rsidRPr="00141BB1" w:rsidR="002A65FE" w:rsidP="002A65FE" w:rsidRDefault="002A65FE" w14:paraId="498A3FBC" w14:textId="77777777">
      <w:r w:rsidRPr="00141BB1">
        <w:t xml:space="preserve">Nederland </w:t>
      </w:r>
      <w:r>
        <w:t>verwelkomt het Cypriotisch i</w:t>
      </w:r>
      <w:r w:rsidRPr="00141BB1">
        <w:t xml:space="preserve">nitiatief </w:t>
      </w:r>
      <w:r>
        <w:t>voor Raadsconclusies over de rol van leraren in het tijdperk van AI</w:t>
      </w:r>
      <w:r w:rsidRPr="00141BB1">
        <w:t xml:space="preserve">, aangezien het thema van groot belang is voor de toekomst van het onderwijs. </w:t>
      </w:r>
      <w:r>
        <w:t>De Raad sprak zich niet eerder specifiek uit over de relatie tussen leraren en AI. Het kabinet acht de</w:t>
      </w:r>
      <w:r w:rsidRPr="00141BB1">
        <w:t xml:space="preserve"> voorgestelde </w:t>
      </w:r>
      <w:r>
        <w:t>onderwerpen als belangrijk en actueel en</w:t>
      </w:r>
      <w:r w:rsidRPr="00141BB1">
        <w:t xml:space="preserve"> </w:t>
      </w:r>
      <w:r>
        <w:t>zal voorstellen om</w:t>
      </w:r>
      <w:r w:rsidRPr="00141BB1">
        <w:t xml:space="preserve"> </w:t>
      </w:r>
      <w:r>
        <w:t>nadrukkelijker</w:t>
      </w:r>
      <w:r w:rsidRPr="00141BB1">
        <w:t xml:space="preserve"> aandacht te besteden aan </w:t>
      </w:r>
      <w:bookmarkStart w:name="_Hlk219284919" w:id="0"/>
      <w:r>
        <w:t xml:space="preserve">(strategische) samenwerking op vraagstukken op Europees niveau – zoals bewuste keuzes over afhankelijkheden-, uitwisseling van kennis en ervaring van bewezen, goede voorbeelden in de onderwijspraktijk en </w:t>
      </w:r>
      <w:bookmarkEnd w:id="0"/>
      <w:r w:rsidRPr="00141BB1">
        <w:t>de benodigde kennis van relevante AI- en privacywetgeving, gezien het belang van ethisch en verantwoord gebruik van AI in het onderwijs.</w:t>
      </w:r>
    </w:p>
    <w:p w:rsidR="002A65FE" w:rsidP="002A65FE" w:rsidRDefault="002A65FE" w14:paraId="57BBF31A" w14:textId="77777777"/>
    <w:p w:rsidR="002A65FE" w:rsidP="002A65FE" w:rsidRDefault="002A65FE" w14:paraId="606A042F" w14:textId="77777777">
      <w:r w:rsidRPr="00141BB1">
        <w:t>Daarnaast is het van belang te benadrukken dat AI, en met name generatieve AI, zich snel ontwikkelt. Dit heeft gevolgen voor de rol van de leraar</w:t>
      </w:r>
      <w:r>
        <w:t xml:space="preserve"> én voor de </w:t>
      </w:r>
      <w:r w:rsidRPr="00141BB1">
        <w:t>bredere onderwijssector. De timing van dit voorstel is passend, omdat het aansluit bij de ontwikkelingen rond de</w:t>
      </w:r>
      <w:r>
        <w:t xml:space="preserve"> aangekondigde </w:t>
      </w:r>
      <w:r w:rsidRPr="00141BB1">
        <w:t xml:space="preserve">2030 </w:t>
      </w:r>
      <w:proofErr w:type="spellStart"/>
      <w:r w:rsidRPr="00141BB1">
        <w:t>Roadmap</w:t>
      </w:r>
      <w:proofErr w:type="spellEnd"/>
      <w:r>
        <w:t xml:space="preserve"> over de toekomst van digitaal onderwijs en digitale vaardigheden (verwachte publicatie in het derde kwartaal van 2026)</w:t>
      </w:r>
      <w:r w:rsidRPr="00141BB1">
        <w:t xml:space="preserve"> en de </w:t>
      </w:r>
      <w:r>
        <w:t>EU-agenda voor leraren en opleiders (verwachte publicatie nog niet bekend)</w:t>
      </w:r>
      <w:r w:rsidRPr="00141BB1">
        <w:t>, en daarmee kansen biedt om de richting van het Europese onderwijsbeleid te beïnvloeden. Nederland ondersteunt de</w:t>
      </w:r>
      <w:r>
        <w:t>ze</w:t>
      </w:r>
      <w:r w:rsidRPr="00141BB1">
        <w:t xml:space="preserve"> dialoog, maar </w:t>
      </w:r>
      <w:r>
        <w:t>het kabinet zal</w:t>
      </w:r>
      <w:r w:rsidRPr="00141BB1">
        <w:t xml:space="preserve"> ervoor </w:t>
      </w:r>
      <w:r>
        <w:t xml:space="preserve">pleiten </w:t>
      </w:r>
      <w:r w:rsidRPr="00141BB1">
        <w:t>dat geen oproepen worden gedaan tot het ontwikkelen van te veel micro-acties of gedetailleerde nationale beleidsmaatregelen</w:t>
      </w:r>
      <w:r>
        <w:t>, want onderwijs is primair een nationale aangelegenheid.</w:t>
      </w:r>
    </w:p>
    <w:p w:rsidR="002A65FE" w:rsidP="002A65FE" w:rsidRDefault="002A65FE" w14:paraId="5E2F73D0" w14:textId="77777777"/>
    <w:p w:rsidR="002A65FE" w:rsidP="002A65FE" w:rsidRDefault="002A65FE" w14:paraId="5D7ACC40" w14:textId="77777777">
      <w:bookmarkStart w:name="_Hlk219281356" w:id="1"/>
      <w:bookmarkStart w:name="_Hlk219284940" w:id="2"/>
      <w:r>
        <w:t xml:space="preserve">Nederland heeft de ambitie om de kansen die digitalisering en AI bieden doelgericht te benutten bij de aanpak van actuele vraagstukken, zoals de onderwijskwaliteit en schaarse tijd van leraren. Daarbij is het belangrijk dat de leraar centraal blijft staan en regie houdt over de inzet van de digitale hulpmiddelen. Op Europees niveau willen we de samenwerking versterken, onder meer door kennis en goede voorbeelden uit te wisselen. </w:t>
      </w:r>
      <w:bookmarkEnd w:id="1"/>
      <w:bookmarkEnd w:id="2"/>
    </w:p>
    <w:p w:rsidR="002A65FE" w:rsidP="002A65FE" w:rsidRDefault="002A65FE" w14:paraId="4AFA9D59" w14:textId="77777777"/>
    <w:p w:rsidR="002A65FE" w:rsidP="002A65FE" w:rsidRDefault="002A65FE" w14:paraId="0B7340F8" w14:textId="77777777">
      <w:r>
        <w:t>Nederland heeft diverse initiatieven in gang gezet om AI verantwoord in het onderwijs te integreren:</w:t>
      </w:r>
    </w:p>
    <w:p w:rsidR="002A65FE" w:rsidP="002A65FE" w:rsidRDefault="002A65FE" w14:paraId="5F901134" w14:textId="77777777">
      <w:pPr>
        <w:pStyle w:val="Lijstalinea"/>
        <w:numPr>
          <w:ilvl w:val="0"/>
          <w:numId w:val="15"/>
        </w:numPr>
      </w:pPr>
      <w:r>
        <w:t xml:space="preserve">Curriculum: </w:t>
      </w:r>
      <w:r w:rsidRPr="00361C11">
        <w:t>AI maakt onderdeel uit van de vernieuwde kerndoelen voor digitale geletterdheid. Leerlingen leren AI</w:t>
      </w:r>
      <w:r w:rsidRPr="00361C11">
        <w:noBreakHyphen/>
        <w:t>systemen herkennen, begrijpen en kritisch gebruiken. In het primair onderwijs ligt de nadruk op het verkennen van toepassingen zoals spraakherkenning en chatbots; in het voortgezet onderwijs wordt gewerkt aan verantwoord, doelgericht en kritisch gebruik van AI</w:t>
      </w:r>
      <w:r w:rsidRPr="00361C11">
        <w:noBreakHyphen/>
        <w:t>systemen.</w:t>
      </w:r>
    </w:p>
    <w:p w:rsidR="002A65FE" w:rsidP="002A65FE" w:rsidRDefault="002A65FE" w14:paraId="34F0F10D" w14:textId="77777777">
      <w:pPr>
        <w:pStyle w:val="Lijstalinea"/>
        <w:numPr>
          <w:ilvl w:val="0"/>
          <w:numId w:val="15"/>
        </w:numPr>
      </w:pPr>
      <w:r>
        <w:t xml:space="preserve">NOLAI (Nationaal </w:t>
      </w:r>
      <w:proofErr w:type="spellStart"/>
      <w:r>
        <w:t>Onderwijslab</w:t>
      </w:r>
      <w:proofErr w:type="spellEnd"/>
      <w:r>
        <w:t xml:space="preserve"> AI): </w:t>
      </w:r>
      <w:r w:rsidRPr="00907BA5">
        <w:t>NOLAI</w:t>
      </w:r>
      <w:r>
        <w:t xml:space="preserve"> ontwikkelt</w:t>
      </w:r>
      <w:r w:rsidRPr="00907BA5">
        <w:t xml:space="preserve"> verantwoorde AI-innovaties voor het funderend onderwijs, in co-creatie met scholen, wetenschappers en bedrijven. Het opschalingsplan richt zich op duurzame implementatie, scholing van leraren en kansengelijkheid.</w:t>
      </w:r>
    </w:p>
    <w:p w:rsidR="002A65FE" w:rsidP="002A65FE" w:rsidRDefault="002A65FE" w14:paraId="1A5C4E8D" w14:textId="77777777">
      <w:pPr>
        <w:pStyle w:val="Lijstalinea"/>
        <w:numPr>
          <w:ilvl w:val="0"/>
          <w:numId w:val="15"/>
        </w:numPr>
      </w:pPr>
      <w:r>
        <w:t xml:space="preserve">AI-verordening (AI-Act): Nederland bereidt zich voor op de gefaseerde invoering van de Europese AI-verordening (volledig van kracht in 2027). OCW voert gesprekken met de onderwijssector over maatregelen en toezicht. De Autoriteit Persoonsgegevens en Rijksinspectie Digitale </w:t>
      </w:r>
      <w:r>
        <w:lastRenderedPageBreak/>
        <w:t>Infrastructuur (RDI) worden markttoezichthouders; de Inspectie van het Onderwijs krijgt een sectorspecifieke rol.</w:t>
      </w:r>
    </w:p>
    <w:p w:rsidR="002A65FE" w:rsidP="002A65FE" w:rsidRDefault="002A65FE" w14:paraId="623E2DFE" w14:textId="77777777">
      <w:pPr>
        <w:pStyle w:val="Lijstalinea"/>
        <w:numPr>
          <w:ilvl w:val="0"/>
          <w:numId w:val="15"/>
        </w:numPr>
      </w:pPr>
      <w:r>
        <w:t xml:space="preserve">AI-geletterdheid: </w:t>
      </w:r>
      <w:r w:rsidRPr="00A7488D">
        <w:t>Er zijn verschillende initiatieven die leraren ondersteunen</w:t>
      </w:r>
      <w:r>
        <w:t xml:space="preserve"> op het gebied van AI-geletterdheid</w:t>
      </w:r>
      <w:r w:rsidRPr="00A7488D">
        <w:t>, zoals de Nationale AI</w:t>
      </w:r>
      <w:r w:rsidRPr="00A7488D">
        <w:noBreakHyphen/>
        <w:t xml:space="preserve">cursus, de </w:t>
      </w:r>
      <w:proofErr w:type="spellStart"/>
      <w:r w:rsidRPr="00A7488D">
        <w:t>webhandreiking</w:t>
      </w:r>
      <w:proofErr w:type="spellEnd"/>
      <w:r w:rsidRPr="00A7488D">
        <w:t xml:space="preserve"> van Kennisnet en het Expertisepunt Digitale Geletterdheid. Daarnaast hebben AOb, PO-Raad, </w:t>
      </w:r>
      <w:proofErr w:type="spellStart"/>
      <w:r w:rsidRPr="00A7488D">
        <w:t>VO-raad</w:t>
      </w:r>
      <w:proofErr w:type="spellEnd"/>
      <w:r w:rsidRPr="00A7488D">
        <w:t xml:space="preserve"> en Kennisnet schoolafspraken gepubliceerd over het gebruik van generatieve AI.</w:t>
      </w:r>
      <w:r>
        <w:t xml:space="preserve"> </w:t>
      </w:r>
    </w:p>
    <w:p w:rsidR="002A65FE" w:rsidP="002A65FE" w:rsidRDefault="002A65FE" w14:paraId="06776103" w14:textId="77777777"/>
    <w:p w:rsidR="002A65FE" w:rsidP="002A65FE" w:rsidRDefault="002A65FE" w14:paraId="2CD16D9C" w14:textId="77777777">
      <w:r w:rsidRPr="009928DE">
        <w:t>Nederland hecht grote waarde aan de ontwikkeling van burgerschap en digitale geletterdheid binnen het onderwijs, en de onlangs opgeleverde kerndoelen voor deze leergebieden dragen bij aan een structurele verbetering van het onderwijsaanbod. Deze kerndoelen, die in samenwerking met meer dan 180 scholen zijn ontwikkeld en uitgebreid beproefd, bieden leraren concrete richtlijnen en ondersteuning bij het bevorderen van burgerschap en digitale vaardigheden. De vernieuwde kerndoelen zijn inmiddels gepresenteerd en worden in de komende periode verder ingevoerd, met extra professionaliseringsactiviteiten voor scholen om hen te ondersteunen in het integreren van deze leergebieden in hun onderwijspraktijk.</w:t>
      </w:r>
      <w:r>
        <w:rPr>
          <w:rStyle w:val="Voetnootmarkering"/>
        </w:rPr>
        <w:footnoteReference w:id="2"/>
      </w:r>
    </w:p>
    <w:p w:rsidR="002A65FE" w:rsidP="002A65FE" w:rsidRDefault="002A65FE" w14:paraId="7966B204" w14:textId="77777777"/>
    <w:p w:rsidRPr="00141BB1" w:rsidR="002A65FE" w:rsidP="002A65FE" w:rsidRDefault="002A65FE" w14:paraId="73C83411" w14:textId="77777777">
      <w:r w:rsidRPr="00141BB1">
        <w:t xml:space="preserve">Ten slotte hecht </w:t>
      </w:r>
      <w:r>
        <w:t>het kabinet</w:t>
      </w:r>
      <w:r w:rsidRPr="00141BB1">
        <w:t xml:space="preserve"> waarde aan een grotere samenwerking met andere internationale organisaties </w:t>
      </w:r>
      <w:r>
        <w:t xml:space="preserve">zoals de Raad van Europa, OESO, en UNESCO </w:t>
      </w:r>
      <w:r w:rsidRPr="00141BB1">
        <w:t>en benadrukt het belang van het leggen van verbanden met de AI</w:t>
      </w:r>
      <w:r>
        <w:t xml:space="preserve">-verordening </w:t>
      </w:r>
      <w:r w:rsidRPr="00141BB1">
        <w:t xml:space="preserve">en de op handen zijnde richtlijnen omtrent het gebruik van AI en data. </w:t>
      </w:r>
      <w:r>
        <w:t>Het kabinet zal</w:t>
      </w:r>
      <w:r w:rsidRPr="00141BB1">
        <w:t xml:space="preserve"> de ontwikkelingen binnen de EU op dit dossier blijven volgen en de Kamer tijdig informeren over de voortgang.</w:t>
      </w:r>
    </w:p>
    <w:p w:rsidR="002A65FE" w:rsidP="002A65FE" w:rsidRDefault="002A65FE" w14:paraId="628270AD" w14:textId="77777777"/>
    <w:p w:rsidR="002A65FE" w:rsidP="002A65FE" w:rsidRDefault="002A65FE" w14:paraId="41298A78" w14:textId="77777777">
      <w:pPr>
        <w:rPr>
          <w:u w:val="single"/>
        </w:rPr>
      </w:pPr>
      <w:r w:rsidRPr="00141BB1">
        <w:rPr>
          <w:u w:val="single"/>
        </w:rPr>
        <w:t xml:space="preserve">Indicatie krachtenveld </w:t>
      </w:r>
    </w:p>
    <w:p w:rsidRPr="005E2A38" w:rsidR="002A65FE" w:rsidP="002A65FE" w:rsidRDefault="002A65FE" w14:paraId="71B1ED77" w14:textId="77777777">
      <w:r>
        <w:t>De agendering van het onderwerp leraren en hun rol in het tijdperk van kunstmatige intelligentie en de timing van de Raadsconclusies zijn positief ontvangen door de EU-lidstaten, gezien de voorstellen 2</w:t>
      </w:r>
      <w:r w:rsidRPr="00141BB1">
        <w:t xml:space="preserve">030 </w:t>
      </w:r>
      <w:proofErr w:type="spellStart"/>
      <w:r w:rsidRPr="00141BB1">
        <w:t>Roadmap</w:t>
      </w:r>
      <w:proofErr w:type="spellEnd"/>
      <w:r>
        <w:t xml:space="preserve"> over de toekomst van digitaal onderwijs en digitale </w:t>
      </w:r>
      <w:r w:rsidRPr="00141BB1">
        <w:t xml:space="preserve">en de </w:t>
      </w:r>
      <w:r>
        <w:t xml:space="preserve">EU-agenda voor leraren en opleiders in 2026 gepubliceerd worden. </w:t>
      </w:r>
    </w:p>
    <w:p w:rsidR="002A65FE" w:rsidP="002A65FE" w:rsidRDefault="002A65FE" w14:paraId="51EFE032" w14:textId="77777777">
      <w:pPr>
        <w:rPr>
          <w:b/>
          <w:bCs/>
        </w:rPr>
      </w:pPr>
    </w:p>
    <w:p w:rsidR="002A65FE" w:rsidP="002A65FE" w:rsidRDefault="002A65FE" w14:paraId="7A78C2A4" w14:textId="77777777">
      <w:pPr>
        <w:spacing w:line="276" w:lineRule="auto"/>
        <w:rPr>
          <w:b/>
          <w:bCs/>
        </w:rPr>
      </w:pPr>
      <w:r>
        <w:rPr>
          <w:b/>
          <w:bCs/>
        </w:rPr>
        <w:t xml:space="preserve">Commissieaanbeveling over menselijk kapitaal </w:t>
      </w:r>
    </w:p>
    <w:p w:rsidR="002A65FE" w:rsidP="002A65FE" w:rsidRDefault="002A65FE" w14:paraId="05CFFDAD" w14:textId="77777777">
      <w:pPr>
        <w:spacing w:line="276" w:lineRule="auto"/>
        <w:rPr>
          <w:b/>
          <w:bCs/>
        </w:rPr>
      </w:pPr>
    </w:p>
    <w:p w:rsidR="002A65FE" w:rsidP="002A65FE" w:rsidRDefault="002A65FE" w14:paraId="17437F23" w14:textId="77777777">
      <w:pPr>
        <w:spacing w:line="276" w:lineRule="auto"/>
        <w:rPr>
          <w:u w:val="single"/>
        </w:rPr>
      </w:pPr>
      <w:r w:rsidRPr="0023246B">
        <w:rPr>
          <w:u w:val="single"/>
        </w:rPr>
        <w:t xml:space="preserve">Inhoud </w:t>
      </w:r>
    </w:p>
    <w:p w:rsidR="002A65FE" w:rsidP="002A65FE" w:rsidRDefault="002A65FE" w14:paraId="1371186A" w14:textId="77777777">
      <w:pPr>
        <w:spacing w:line="276" w:lineRule="auto"/>
      </w:pPr>
      <w:r w:rsidRPr="0023246B">
        <w:t xml:space="preserve">De </w:t>
      </w:r>
      <w:r>
        <w:t xml:space="preserve">Europese </w:t>
      </w:r>
      <w:r w:rsidRPr="0023246B">
        <w:t xml:space="preserve">Commissie heeft </w:t>
      </w:r>
      <w:r>
        <w:t xml:space="preserve">op 25 november 2025 </w:t>
      </w:r>
      <w:r w:rsidRPr="0023246B">
        <w:t xml:space="preserve">een aanbeveling </w:t>
      </w:r>
      <w:r>
        <w:t xml:space="preserve">gepubliceerd </w:t>
      </w:r>
      <w:r w:rsidRPr="0023246B">
        <w:t xml:space="preserve">over menselijk kapitaal, gericht op het aanpakken van structurele uitdagingen </w:t>
      </w:r>
      <w:r>
        <w:t>voor de arbeidsmarkt en het concurrentievermogen</w:t>
      </w:r>
      <w:r w:rsidRPr="0023246B">
        <w:t xml:space="preserve"> </w:t>
      </w:r>
      <w:r>
        <w:t>in de</w:t>
      </w:r>
      <w:r w:rsidRPr="0023246B">
        <w:t xml:space="preserve"> EU.</w:t>
      </w:r>
      <w:r>
        <w:rPr>
          <w:rStyle w:val="Voetnootmarkering"/>
        </w:rPr>
        <w:footnoteReference w:id="3"/>
      </w:r>
      <w:r w:rsidRPr="0023246B">
        <w:t xml:space="preserve"> </w:t>
      </w:r>
      <w:r>
        <w:t>De aanbeveling is onderdeel van het herfstpakket van het Europees Semester,</w:t>
      </w:r>
      <w:r w:rsidRPr="005C7BF5">
        <w:t xml:space="preserve"> het jaarlijkse kader voor de coördinatie van het economisch</w:t>
      </w:r>
      <w:r>
        <w:t>-, arbeidsmarkt-</w:t>
      </w:r>
      <w:r w:rsidRPr="005C7BF5">
        <w:t xml:space="preserve"> en </w:t>
      </w:r>
      <w:r>
        <w:t>begrotings</w:t>
      </w:r>
      <w:r w:rsidRPr="005C7BF5">
        <w:t>beleid van de EU.</w:t>
      </w:r>
    </w:p>
    <w:p w:rsidR="002A65FE" w:rsidP="002A65FE" w:rsidRDefault="002A65FE" w14:paraId="74C264E9" w14:textId="77777777">
      <w:pPr>
        <w:spacing w:line="276" w:lineRule="auto"/>
      </w:pPr>
    </w:p>
    <w:p w:rsidRPr="0023246B" w:rsidR="002A65FE" w:rsidP="002A65FE" w:rsidRDefault="002A65FE" w14:paraId="60A626A5" w14:textId="77777777">
      <w:pPr>
        <w:spacing w:line="276" w:lineRule="auto"/>
      </w:pPr>
      <w:r w:rsidRPr="0023246B">
        <w:t>De aanbeveling</w:t>
      </w:r>
      <w:r>
        <w:t xml:space="preserve"> constateert dat de EU kampt met een aanhoudend tekort aan arbeidskrachten en vaardigheden. De Commissie</w:t>
      </w:r>
      <w:r w:rsidRPr="0023246B">
        <w:t xml:space="preserve"> roept lidstaten </w:t>
      </w:r>
      <w:r>
        <w:t xml:space="preserve">daarom </w:t>
      </w:r>
      <w:r w:rsidRPr="0023246B">
        <w:t>op om</w:t>
      </w:r>
      <w:r>
        <w:t xml:space="preserve"> investeringen in</w:t>
      </w:r>
      <w:r w:rsidRPr="0023246B">
        <w:t xml:space="preserve"> onderwijs en vaardigheden te prioriteren in strategische sectoren zoals </w:t>
      </w:r>
      <w:r>
        <w:t>schone</w:t>
      </w:r>
      <w:r w:rsidRPr="0023246B">
        <w:t xml:space="preserve"> en digitale </w:t>
      </w:r>
      <w:r>
        <w:t>technologie</w:t>
      </w:r>
      <w:r w:rsidRPr="0023246B">
        <w:t>, circula</w:t>
      </w:r>
      <w:r>
        <w:t>ire economie</w:t>
      </w:r>
      <w:r w:rsidRPr="0023246B">
        <w:t xml:space="preserve">, industriële </w:t>
      </w:r>
      <w:proofErr w:type="spellStart"/>
      <w:r w:rsidRPr="0023246B">
        <w:lastRenderedPageBreak/>
        <w:t>decarbonisatie</w:t>
      </w:r>
      <w:proofErr w:type="spellEnd"/>
      <w:r w:rsidRPr="0023246B">
        <w:t>, gezondheidszorg</w:t>
      </w:r>
      <w:r>
        <w:t xml:space="preserve"> en</w:t>
      </w:r>
      <w:r w:rsidRPr="0023246B">
        <w:t xml:space="preserve"> biotechnologie en defensie. Hierbij ligt de nadruk op het versterken van STEM</w:t>
      </w:r>
      <w:r>
        <w:t>-</w:t>
      </w:r>
      <w:r w:rsidRPr="0023246B">
        <w:t>opleidingen</w:t>
      </w:r>
      <w:r>
        <w:t xml:space="preserve"> (</w:t>
      </w:r>
      <w:proofErr w:type="spellStart"/>
      <w:r>
        <w:rPr>
          <w:i/>
          <w:iCs/>
        </w:rPr>
        <w:t>science</w:t>
      </w:r>
      <w:proofErr w:type="spellEnd"/>
      <w:r>
        <w:rPr>
          <w:i/>
          <w:iCs/>
        </w:rPr>
        <w:t xml:space="preserve">, </w:t>
      </w:r>
      <w:proofErr w:type="spellStart"/>
      <w:r>
        <w:rPr>
          <w:i/>
          <w:iCs/>
        </w:rPr>
        <w:t>technology</w:t>
      </w:r>
      <w:proofErr w:type="spellEnd"/>
      <w:r>
        <w:rPr>
          <w:i/>
          <w:iCs/>
        </w:rPr>
        <w:t xml:space="preserve">, engineering, </w:t>
      </w:r>
      <w:proofErr w:type="spellStart"/>
      <w:r>
        <w:rPr>
          <w:i/>
          <w:iCs/>
        </w:rPr>
        <w:t>mathematics</w:t>
      </w:r>
      <w:proofErr w:type="spellEnd"/>
      <w:r>
        <w:t>)</w:t>
      </w:r>
      <w:r w:rsidRPr="0023246B">
        <w:t xml:space="preserve"> </w:t>
      </w:r>
      <w:r>
        <w:t>en</w:t>
      </w:r>
      <w:r w:rsidRPr="0023246B">
        <w:t xml:space="preserve"> het verbeteren van basisvaardigheden, zoals digitale</w:t>
      </w:r>
      <w:r>
        <w:t>- en financiële</w:t>
      </w:r>
      <w:r w:rsidRPr="0023246B">
        <w:t xml:space="preserve"> geletterdheid, om </w:t>
      </w:r>
      <w:r>
        <w:t xml:space="preserve">zo </w:t>
      </w:r>
      <w:r w:rsidRPr="0023246B">
        <w:t>een robuuste</w:t>
      </w:r>
      <w:r>
        <w:t xml:space="preserve"> toekomstgerichte</w:t>
      </w:r>
      <w:r w:rsidRPr="0023246B">
        <w:t xml:space="preserve"> arbeidsmarkt </w:t>
      </w:r>
      <w:r>
        <w:t xml:space="preserve">te </w:t>
      </w:r>
      <w:r w:rsidRPr="0023246B">
        <w:t>waarborgen.</w:t>
      </w:r>
    </w:p>
    <w:p w:rsidRPr="0023246B" w:rsidR="002A65FE" w:rsidP="002A65FE" w:rsidRDefault="002A65FE" w14:paraId="61256646" w14:textId="77777777">
      <w:pPr>
        <w:spacing w:line="276" w:lineRule="auto"/>
      </w:pPr>
    </w:p>
    <w:p w:rsidR="002A65FE" w:rsidP="002A65FE" w:rsidRDefault="002A65FE" w14:paraId="72D17F91" w14:textId="77777777">
      <w:pPr>
        <w:spacing w:line="276" w:lineRule="auto"/>
      </w:pPr>
      <w:r w:rsidRPr="0023246B">
        <w:t xml:space="preserve">Daarnaast benadrukt de </w:t>
      </w:r>
      <w:r>
        <w:t>Commissie in haar aanbeveling</w:t>
      </w:r>
      <w:r w:rsidRPr="0023246B">
        <w:t xml:space="preserve"> het belang van investeringen in menselijk kapitaal </w:t>
      </w:r>
      <w:r>
        <w:t>met zowel</w:t>
      </w:r>
      <w:r w:rsidRPr="0023246B">
        <w:t xml:space="preserve"> publieke als private middelen. Lidstaten worden aangespoord om effectieve samenwerking te zoeken tussen onderwijsinstellingen, bedrijven en sociale partners, en om barrières voor beroepskwalificaties te verlagen, met name voor migranten en derde landen-werknemers. Door gezamenlijke inspanningen kan de EU</w:t>
      </w:r>
      <w:r>
        <w:t xml:space="preserve"> volgens de Commissie</w:t>
      </w:r>
      <w:r w:rsidRPr="0023246B">
        <w:t xml:space="preserve"> niet alleen de huidige arbeidsmarktkrapte aanpakken, maar ook </w:t>
      </w:r>
      <w:r>
        <w:t>het</w:t>
      </w:r>
      <w:r w:rsidRPr="0023246B">
        <w:t xml:space="preserve"> concurrentie</w:t>
      </w:r>
      <w:r>
        <w:t>vermogen</w:t>
      </w:r>
      <w:r w:rsidRPr="0023246B">
        <w:t xml:space="preserve"> op lange termijn versterken door de ontwikkeling van een flexibele en goed opgeleide beroepsbevolking</w:t>
      </w:r>
      <w:r>
        <w:t xml:space="preserve"> die zich blijft ontwikkelen</w:t>
      </w:r>
      <w:r w:rsidRPr="0023246B">
        <w:t>, met aandacht voor de snelle technologische en industriële veranderingen.</w:t>
      </w:r>
    </w:p>
    <w:p w:rsidR="002A65FE" w:rsidP="002A65FE" w:rsidRDefault="002A65FE" w14:paraId="6A17CC58" w14:textId="77777777">
      <w:pPr>
        <w:spacing w:line="276" w:lineRule="auto"/>
        <w:rPr>
          <w:u w:val="single"/>
        </w:rPr>
      </w:pPr>
    </w:p>
    <w:p w:rsidR="002A65FE" w:rsidP="002A65FE" w:rsidRDefault="002A65FE" w14:paraId="2E0730C0" w14:textId="77777777">
      <w:pPr>
        <w:spacing w:line="276" w:lineRule="auto"/>
        <w:rPr>
          <w:u w:val="single"/>
        </w:rPr>
      </w:pPr>
      <w:r w:rsidRPr="005C7BF5">
        <w:rPr>
          <w:u w:val="single"/>
        </w:rPr>
        <w:t>Inzet Nederland</w:t>
      </w:r>
    </w:p>
    <w:p w:rsidRPr="005C7BF5" w:rsidR="002A65FE" w:rsidP="002A65FE" w:rsidRDefault="002A65FE" w14:paraId="64E5F4FD" w14:textId="77777777">
      <w:pPr>
        <w:spacing w:line="276" w:lineRule="auto"/>
      </w:pPr>
      <w:r w:rsidRPr="005C7BF5">
        <w:t xml:space="preserve">Het kabinet </w:t>
      </w:r>
      <w:r>
        <w:t>onderschrijft de</w:t>
      </w:r>
      <w:r w:rsidRPr="005C7BF5">
        <w:t xml:space="preserve"> </w:t>
      </w:r>
      <w:r>
        <w:t>belangrijke</w:t>
      </w:r>
      <w:r w:rsidRPr="005C7BF5">
        <w:t xml:space="preserve"> rol van vaardigheden en menselijk kapitaal voor </w:t>
      </w:r>
      <w:r>
        <w:t>het</w:t>
      </w:r>
      <w:r w:rsidRPr="005C7BF5">
        <w:t xml:space="preserve"> concurrentie</w:t>
      </w:r>
      <w:r>
        <w:t>vermogen</w:t>
      </w:r>
      <w:r w:rsidRPr="005C7BF5">
        <w:t xml:space="preserve"> en</w:t>
      </w:r>
      <w:r>
        <w:t xml:space="preserve"> de</w:t>
      </w:r>
      <w:r w:rsidRPr="005C7BF5">
        <w:t xml:space="preserve"> sociale veerkracht van de EU. Dit is </w:t>
      </w:r>
      <w:r>
        <w:t>ook</w:t>
      </w:r>
      <w:r w:rsidRPr="005C7BF5">
        <w:t xml:space="preserve"> relevant in het licht van de lopende </w:t>
      </w:r>
      <w:r>
        <w:t>groene</w:t>
      </w:r>
      <w:r w:rsidRPr="005C7BF5">
        <w:t xml:space="preserve">- en digitale transities, zoals ook aangekaart in het </w:t>
      </w:r>
      <w:proofErr w:type="spellStart"/>
      <w:r w:rsidRPr="005C7BF5">
        <w:t>Draghi</w:t>
      </w:r>
      <w:proofErr w:type="spellEnd"/>
      <w:r w:rsidRPr="005C7BF5">
        <w:t>-rapport.</w:t>
      </w:r>
      <w:r>
        <w:rPr>
          <w:rStyle w:val="Voetnootmarkering"/>
        </w:rPr>
        <w:footnoteReference w:id="4"/>
      </w:r>
      <w:r w:rsidRPr="005C7BF5">
        <w:t xml:space="preserve"> </w:t>
      </w:r>
      <w:r>
        <w:t>Het kabinet onderschrijft</w:t>
      </w:r>
      <w:r w:rsidRPr="005C7BF5">
        <w:t xml:space="preserve"> </w:t>
      </w:r>
      <w:r>
        <w:t xml:space="preserve">dan ook </w:t>
      </w:r>
      <w:r w:rsidRPr="005C7BF5">
        <w:t xml:space="preserve">het belang van het versterken van vaardigheden en het bevorderen van de ontwikkeling van een </w:t>
      </w:r>
      <w:r>
        <w:t>goed opgeleide</w:t>
      </w:r>
      <w:r w:rsidRPr="005C7BF5">
        <w:t xml:space="preserve"> en flexibele beroepsbevolking, zowel in strategische sectoren als in het bredere maatschappelijke en economische domein.</w:t>
      </w:r>
      <w:r>
        <w:t xml:space="preserve"> De aanbeveling noemt in het bijzonder opleiden in het kader van een leven lang ontwikkelen als een belangrijke pijler hiervoor. Ook het kabinet erkent het belang hiervan. </w:t>
      </w:r>
    </w:p>
    <w:p w:rsidRPr="005C7BF5" w:rsidR="002A65FE" w:rsidP="002A65FE" w:rsidRDefault="002A65FE" w14:paraId="64F47370" w14:textId="77777777">
      <w:pPr>
        <w:spacing w:line="276" w:lineRule="auto"/>
      </w:pPr>
    </w:p>
    <w:p w:rsidR="002A65FE" w:rsidP="002A65FE" w:rsidRDefault="002A65FE" w14:paraId="10FD6E40" w14:textId="77777777">
      <w:pPr>
        <w:spacing w:line="276" w:lineRule="auto"/>
      </w:pPr>
      <w:r>
        <w:t>Het kabinet</w:t>
      </w:r>
      <w:r w:rsidRPr="005C7BF5">
        <w:t xml:space="preserve"> </w:t>
      </w:r>
      <w:r>
        <w:t>constateert</w:t>
      </w:r>
      <w:r w:rsidRPr="005C7BF5">
        <w:t xml:space="preserve"> dat de rechtsbasis van de aanbeveling momenteel volledig steunt op artikel 148(4) VWEU,</w:t>
      </w:r>
      <w:r>
        <w:t xml:space="preserve"> dat </w:t>
      </w:r>
      <w:r w:rsidRPr="005C7BF5">
        <w:t xml:space="preserve">primair gericht is op werkgelegenheid. </w:t>
      </w:r>
      <w:r>
        <w:t>Omdat</w:t>
      </w:r>
      <w:r w:rsidRPr="005C7BF5">
        <w:t xml:space="preserve"> de aanbeveling sterk gericht is op onderwijsbeleid, </w:t>
      </w:r>
      <w:r>
        <w:t>zal het kabinet zich inzetten</w:t>
      </w:r>
      <w:r w:rsidRPr="005C7BF5">
        <w:t xml:space="preserve"> om de rechtsbasis uit te breiden met de onderwijsartikelen van het </w:t>
      </w:r>
      <w:r>
        <w:t>VWEU. Onderwijs is grotendeels een nationale competentie, wat tot uitdrukking komt in deze artikelen. Vanuit dit oogpunt zal het kabinet zich ervoor inzetten dat de aanbeveling voldoende ruimte laat voor verschillen tussen nationale onderwijssystemen</w:t>
      </w:r>
      <w:r w:rsidRPr="005C7BF5">
        <w:t>.</w:t>
      </w:r>
      <w:r>
        <w:t xml:space="preserve"> Daarnaast</w:t>
      </w:r>
      <w:r w:rsidRPr="007A2A0E">
        <w:t xml:space="preserve"> hecht het kabinet aan het behouden van de focus van het Semester op economisch, begrotings- en werkgelegenheidsbeleid.</w:t>
      </w:r>
    </w:p>
    <w:p w:rsidR="002A65FE" w:rsidP="002A65FE" w:rsidRDefault="002A65FE" w14:paraId="657B4991" w14:textId="77777777">
      <w:pPr>
        <w:spacing w:line="276" w:lineRule="auto"/>
      </w:pPr>
    </w:p>
    <w:p w:rsidR="002A65FE" w:rsidP="002A65FE" w:rsidRDefault="002A65FE" w14:paraId="45C221FB" w14:textId="77777777">
      <w:pPr>
        <w:spacing w:line="276" w:lineRule="auto"/>
      </w:pPr>
      <w:r>
        <w:t xml:space="preserve">Het kabinet deelt het belang dat in de aanbeveling wordt toegekend aan de erkenning van beroepskwalificaties voor een goede afstemming van vraag en aanbod op de arbeidsmarkt. </w:t>
      </w:r>
      <w:r w:rsidRPr="000B0AE3">
        <w:t xml:space="preserve">Het kabinet onderstreept </w:t>
      </w:r>
      <w:r>
        <w:t>daarbij de noodzaak</w:t>
      </w:r>
      <w:r w:rsidRPr="000B0AE3">
        <w:t xml:space="preserve"> van zorgvuldige procedures voor de erkenning van beroepskwalificaties van EU-burgers en derdelanders, met name voor gereguleerde beroepen</w:t>
      </w:r>
      <w:r>
        <w:t>, en zal zich inzetten om dit in de aanbeveling te verduidelijken</w:t>
      </w:r>
      <w:r w:rsidRPr="000B0AE3">
        <w:t>.</w:t>
      </w:r>
      <w:r>
        <w:t xml:space="preserve"> Het kabinet zal daarnaast benadrukken dat </w:t>
      </w:r>
      <w:r w:rsidRPr="00855D51">
        <w:t xml:space="preserve">arbeidsmigratie </w:t>
      </w:r>
      <w:r>
        <w:t xml:space="preserve">en het aantrekken van talent </w:t>
      </w:r>
      <w:r w:rsidRPr="00855D51">
        <w:t xml:space="preserve">weliswaar </w:t>
      </w:r>
      <w:r w:rsidRPr="00855D51">
        <w:lastRenderedPageBreak/>
        <w:t>mogelijkheden</w:t>
      </w:r>
      <w:r>
        <w:t xml:space="preserve"> biedt</w:t>
      </w:r>
      <w:r w:rsidRPr="00855D51">
        <w:t xml:space="preserve"> om gericht personeelstekorten in bepaalde sectoren te verlichten, maar</w:t>
      </w:r>
      <w:r>
        <w:t xml:space="preserve"> </w:t>
      </w:r>
      <w:r w:rsidRPr="00855D51">
        <w:t xml:space="preserve">geen structurele oplossing </w:t>
      </w:r>
      <w:r>
        <w:t xml:space="preserve">vormt </w:t>
      </w:r>
      <w:r w:rsidRPr="00855D51">
        <w:t>voor de algehele krapte op de arbeidsmarkt</w:t>
      </w:r>
      <w:r>
        <w:t>. Om arbeidsmarktkrapte te verminderen dient volgens het kabinet te worden ingezet</w:t>
      </w:r>
      <w:r w:rsidRPr="00101CD3">
        <w:t xml:space="preserve"> op beleid langs vijf sporen die ingrijpen op zowel de arbeidsvraag- als arbeidsaanbodzijde</w:t>
      </w:r>
      <w:r>
        <w:t>, zoals geformuleerd in de</w:t>
      </w:r>
      <w:r w:rsidRPr="003E417D">
        <w:t xml:space="preserve"> </w:t>
      </w:r>
      <w:r>
        <w:t>brede arbeidsmarktagenda.</w:t>
      </w:r>
      <w:r>
        <w:rPr>
          <w:rStyle w:val="Voetnootmarkering"/>
        </w:rPr>
        <w:footnoteReference w:id="5"/>
      </w:r>
    </w:p>
    <w:p w:rsidR="002A65FE" w:rsidP="002A65FE" w:rsidRDefault="002A65FE" w14:paraId="439E8003" w14:textId="77777777">
      <w:pPr>
        <w:spacing w:line="276" w:lineRule="auto"/>
      </w:pPr>
    </w:p>
    <w:p w:rsidR="002A65FE" w:rsidP="002A65FE" w:rsidRDefault="002A65FE" w14:paraId="32A1C729" w14:textId="77777777">
      <w:pPr>
        <w:spacing w:line="276" w:lineRule="auto"/>
      </w:pPr>
      <w:r>
        <w:t>Het kabinet vraagt zich daarnaast af hoe deze aanbeveling zich verhoudt tot de Europese Onderwijsruimte, de uitwerking van de Vaardigheidsunie</w:t>
      </w:r>
      <w:r>
        <w:rPr>
          <w:rStyle w:val="Voetnootmarkering"/>
        </w:rPr>
        <w:footnoteReference w:id="6"/>
      </w:r>
      <w:r>
        <w:t xml:space="preserve"> en meer specifiek het daarin reeds aangekondigde </w:t>
      </w:r>
      <w:r>
        <w:rPr>
          <w:i/>
          <w:iCs/>
        </w:rPr>
        <w:t xml:space="preserve">Skills </w:t>
      </w:r>
      <w:proofErr w:type="spellStart"/>
      <w:r>
        <w:rPr>
          <w:i/>
          <w:iCs/>
        </w:rPr>
        <w:t>Portability</w:t>
      </w:r>
      <w:proofErr w:type="spellEnd"/>
      <w:r>
        <w:rPr>
          <w:i/>
          <w:iCs/>
        </w:rPr>
        <w:t xml:space="preserve"> </w:t>
      </w:r>
      <w:proofErr w:type="spellStart"/>
      <w:r>
        <w:rPr>
          <w:i/>
          <w:iCs/>
        </w:rPr>
        <w:t>Initiative</w:t>
      </w:r>
      <w:proofErr w:type="spellEnd"/>
      <w:r>
        <w:t xml:space="preserve"> dat zich ook zal richten op het wegnemen van grensoverschrijdende barrières voor beroepskwalificaties en -vaardigheden. </w:t>
      </w:r>
      <w:r w:rsidRPr="00923C34">
        <w:t xml:space="preserve">Verder </w:t>
      </w:r>
      <w:r>
        <w:t>heeft het kabinet</w:t>
      </w:r>
      <w:r w:rsidRPr="00923C34">
        <w:t xml:space="preserve"> verduidelijkende vragen over de definitie van basisvaardigheden</w:t>
      </w:r>
      <w:r>
        <w:t>.</w:t>
      </w:r>
    </w:p>
    <w:p w:rsidR="002A65FE" w:rsidP="002A65FE" w:rsidRDefault="002A65FE" w14:paraId="03624218" w14:textId="77777777">
      <w:pPr>
        <w:spacing w:line="276" w:lineRule="auto"/>
        <w:rPr>
          <w:u w:val="single"/>
        </w:rPr>
      </w:pPr>
    </w:p>
    <w:p w:rsidRPr="005C7BF5" w:rsidR="002A65FE" w:rsidP="002A65FE" w:rsidRDefault="002A65FE" w14:paraId="6B8E5028" w14:textId="77777777">
      <w:pPr>
        <w:spacing w:line="276" w:lineRule="auto"/>
        <w:rPr>
          <w:u w:val="single"/>
        </w:rPr>
      </w:pPr>
      <w:r>
        <w:rPr>
          <w:u w:val="single"/>
        </w:rPr>
        <w:t>Vervolg en i</w:t>
      </w:r>
      <w:r w:rsidRPr="005C7BF5">
        <w:rPr>
          <w:u w:val="single"/>
        </w:rPr>
        <w:t>ndicatie krachtenveld</w:t>
      </w:r>
    </w:p>
    <w:p w:rsidR="002A65FE" w:rsidP="002A65FE" w:rsidRDefault="002A65FE" w14:paraId="4DA60CA3" w14:textId="77777777">
      <w:pPr>
        <w:spacing w:line="276" w:lineRule="auto"/>
      </w:pPr>
      <w:r>
        <w:t xml:space="preserve">De komende maanden onderhandelen de lidstaten over de inhoud van de aanbeveling. Naar verwachting wordt deze ter adoptie geagendeerd tijdens de formele </w:t>
      </w:r>
      <w:r w:rsidRPr="00553A4F">
        <w:t>Raad voor Werkgelegenheid en Sociaal Beleid</w:t>
      </w:r>
      <w:r>
        <w:t xml:space="preserve"> op 9 maart 2026. </w:t>
      </w:r>
      <w:r w:rsidRPr="00224AF6">
        <w:t xml:space="preserve">Waar relevant </w:t>
      </w:r>
      <w:r>
        <w:t>en afhankelijk van de nationale context zal de Commissie de inhoud van aanbeveling</w:t>
      </w:r>
      <w:r w:rsidRPr="00224AF6">
        <w:t xml:space="preserve"> </w:t>
      </w:r>
      <w:r>
        <w:t>meenemen</w:t>
      </w:r>
      <w:r w:rsidRPr="00224AF6">
        <w:t xml:space="preserve"> in de </w:t>
      </w:r>
      <w:proofErr w:type="spellStart"/>
      <w:r w:rsidRPr="00224AF6">
        <w:t>landspecifieke</w:t>
      </w:r>
      <w:proofErr w:type="spellEnd"/>
      <w:r w:rsidRPr="00224AF6">
        <w:t xml:space="preserve"> aanbevelingen die </w:t>
      </w:r>
      <w:r>
        <w:t xml:space="preserve">als onderdeel van het Lentepakket </w:t>
      </w:r>
      <w:r w:rsidRPr="00224AF6">
        <w:t>in het kader van de Europees Semester worden vastgesteld.</w:t>
      </w:r>
      <w:r>
        <w:t xml:space="preserve"> </w:t>
      </w:r>
    </w:p>
    <w:p w:rsidR="002A65FE" w:rsidP="002A65FE" w:rsidRDefault="002A65FE" w14:paraId="763F97A9" w14:textId="77777777">
      <w:pPr>
        <w:spacing w:line="276" w:lineRule="auto"/>
      </w:pPr>
    </w:p>
    <w:p w:rsidR="002A65FE" w:rsidP="002A65FE" w:rsidRDefault="002A65FE" w14:paraId="00AA356B" w14:textId="77777777">
      <w:pPr>
        <w:spacing w:line="276" w:lineRule="auto"/>
      </w:pPr>
      <w:r>
        <w:t xml:space="preserve">Op het moment van schrijven is het krachtenveld nog niet geheel duidelijk. Lidstaten onderschrijven over het algemeen net als Nederland de aandacht voor menselijk kapitaal en vaardigheden en het belang hiervan voor het concurrentievermogen en sociale veerkracht van de EU. Enkele lidstaten hebben net als Nederland vragen gesteld over de rechtsbasis en de verduidelijking van enkele begrippen, zoals basisvaardigheden. </w:t>
      </w:r>
    </w:p>
    <w:p w:rsidRPr="00820DDA" w:rsidR="002A65FE" w:rsidP="002A65FE" w:rsidRDefault="002A65FE" w14:paraId="1CD009A3" w14:textId="77777777"/>
    <w:p w:rsidRPr="00820DDA" w:rsidR="002A65FE" w:rsidP="002A65FE" w:rsidRDefault="002A65FE" w14:paraId="740E7BCB" w14:textId="77777777"/>
    <w:p w:rsidRPr="00820DDA" w:rsidR="00820DDA" w:rsidP="002A65FE" w:rsidRDefault="00820DDA" w14:paraId="01E12BE4" w14:textId="77777777"/>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5E2B" w14:textId="77777777" w:rsidR="00DC691C" w:rsidRDefault="00833A81">
      <w:r>
        <w:separator/>
      </w:r>
    </w:p>
    <w:p w14:paraId="0C664D7F" w14:textId="77777777" w:rsidR="00DC691C" w:rsidRDefault="00DC691C"/>
  </w:endnote>
  <w:endnote w:type="continuationSeparator" w:id="0">
    <w:p w14:paraId="650B3501" w14:textId="77777777" w:rsidR="00DC691C" w:rsidRDefault="00833A81">
      <w:r>
        <w:continuationSeparator/>
      </w:r>
    </w:p>
    <w:p w14:paraId="79FD419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195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CBB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D6C20" w14:paraId="259338B7" w14:textId="77777777" w:rsidTr="004C7E1D">
      <w:trPr>
        <w:trHeight w:hRule="exact" w:val="357"/>
      </w:trPr>
      <w:tc>
        <w:tcPr>
          <w:tcW w:w="7603" w:type="dxa"/>
        </w:tcPr>
        <w:p w14:paraId="2243E999" w14:textId="77777777" w:rsidR="002F71BB" w:rsidRPr="004C7E1D" w:rsidRDefault="002F71BB" w:rsidP="004C7E1D">
          <w:pPr>
            <w:spacing w:line="180" w:lineRule="exact"/>
            <w:rPr>
              <w:sz w:val="13"/>
              <w:szCs w:val="13"/>
            </w:rPr>
          </w:pPr>
        </w:p>
      </w:tc>
      <w:tc>
        <w:tcPr>
          <w:tcW w:w="2172" w:type="dxa"/>
        </w:tcPr>
        <w:p w14:paraId="22655C50" w14:textId="00FA50FE" w:rsidR="002F71BB" w:rsidRPr="004C7E1D" w:rsidRDefault="00833A8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20D4E">
            <w:rPr>
              <w:szCs w:val="13"/>
            </w:rPr>
            <w:t>7</w:t>
          </w:r>
          <w:r w:rsidRPr="004C7E1D">
            <w:rPr>
              <w:szCs w:val="13"/>
            </w:rPr>
            <w:fldChar w:fldCharType="end"/>
          </w:r>
        </w:p>
      </w:tc>
    </w:tr>
  </w:tbl>
  <w:p w14:paraId="1BF37B2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D6C20" w14:paraId="1A10EF97" w14:textId="77777777" w:rsidTr="004C7E1D">
      <w:trPr>
        <w:trHeight w:hRule="exact" w:val="357"/>
      </w:trPr>
      <w:tc>
        <w:tcPr>
          <w:tcW w:w="7709" w:type="dxa"/>
        </w:tcPr>
        <w:p w14:paraId="3984CE96" w14:textId="77777777" w:rsidR="00D17084" w:rsidRPr="004C7E1D" w:rsidRDefault="00D17084" w:rsidP="004C7E1D">
          <w:pPr>
            <w:spacing w:line="180" w:lineRule="exact"/>
            <w:rPr>
              <w:sz w:val="13"/>
              <w:szCs w:val="13"/>
            </w:rPr>
          </w:pPr>
        </w:p>
      </w:tc>
      <w:tc>
        <w:tcPr>
          <w:tcW w:w="2060" w:type="dxa"/>
        </w:tcPr>
        <w:p w14:paraId="36F61859" w14:textId="68DF28CB" w:rsidR="00D17084" w:rsidRPr="004C7E1D" w:rsidRDefault="00833A8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20D4E">
            <w:rPr>
              <w:szCs w:val="13"/>
            </w:rPr>
            <w:t>7</w:t>
          </w:r>
          <w:r w:rsidRPr="004C7E1D">
            <w:rPr>
              <w:szCs w:val="13"/>
            </w:rPr>
            <w:fldChar w:fldCharType="end"/>
          </w:r>
        </w:p>
      </w:tc>
    </w:tr>
  </w:tbl>
  <w:p w14:paraId="16C444D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4E8F" w14:textId="77777777" w:rsidR="00DC691C" w:rsidRDefault="00833A81">
      <w:r>
        <w:separator/>
      </w:r>
    </w:p>
    <w:p w14:paraId="52739C10" w14:textId="77777777" w:rsidR="00DC691C" w:rsidRDefault="00DC691C"/>
  </w:footnote>
  <w:footnote w:type="continuationSeparator" w:id="0">
    <w:p w14:paraId="317C0EFE" w14:textId="77777777" w:rsidR="00DC691C" w:rsidRDefault="00833A81">
      <w:r>
        <w:continuationSeparator/>
      </w:r>
    </w:p>
    <w:p w14:paraId="7F57EBE1" w14:textId="77777777" w:rsidR="00DC691C" w:rsidRDefault="00DC691C"/>
  </w:footnote>
  <w:footnote w:id="1">
    <w:p w14:paraId="6AB00E52" w14:textId="77777777" w:rsidR="002A65FE" w:rsidRPr="00600BE7" w:rsidRDefault="002A65FE" w:rsidP="002A65FE">
      <w:pPr>
        <w:pStyle w:val="Voetnoottekst"/>
      </w:pPr>
      <w:r>
        <w:rPr>
          <w:rStyle w:val="Voetnootmarkering"/>
        </w:rPr>
        <w:footnoteRef/>
      </w:r>
      <w:r>
        <w:t xml:space="preserve"> Tweede Kamer, </w:t>
      </w:r>
      <w:r w:rsidRPr="00CB1FBF">
        <w:t>2024–2025, 22 112, nr. 4023</w:t>
      </w:r>
    </w:p>
  </w:footnote>
  <w:footnote w:id="2">
    <w:p w14:paraId="7F2253D9" w14:textId="77777777" w:rsidR="002A65FE" w:rsidRPr="001A60ED" w:rsidRDefault="002A65FE" w:rsidP="002A65FE">
      <w:pPr>
        <w:pStyle w:val="Voetnoottekst"/>
      </w:pPr>
      <w:r>
        <w:rPr>
          <w:rStyle w:val="Voetnootmarkering"/>
        </w:rPr>
        <w:footnoteRef/>
      </w:r>
      <w:r w:rsidRPr="001A60ED">
        <w:t xml:space="preserve"> Tweede Kamer, vergaderjaar 2024–2025, 31 293, nr. 833</w:t>
      </w:r>
    </w:p>
  </w:footnote>
  <w:footnote w:id="3">
    <w:p w14:paraId="62F7B9E5" w14:textId="77777777" w:rsidR="002A65FE" w:rsidRPr="00F92B7B" w:rsidRDefault="002A65FE" w:rsidP="002A65FE">
      <w:pPr>
        <w:pStyle w:val="Voetnoottekst"/>
        <w:rPr>
          <w:lang w:val="en-US"/>
        </w:rPr>
      </w:pPr>
      <w:r>
        <w:rPr>
          <w:rStyle w:val="Voetnootmarkering"/>
        </w:rPr>
        <w:footnoteRef/>
      </w:r>
      <w:r w:rsidRPr="00F92B7B">
        <w:rPr>
          <w:lang w:val="en-US"/>
        </w:rPr>
        <w:t xml:space="preserve"> </w:t>
      </w:r>
      <w:r>
        <w:fldChar w:fldCharType="begin"/>
      </w:r>
      <w:r w:rsidRPr="00A20D4E">
        <w:rPr>
          <w:lang w:val="en-US"/>
        </w:rPr>
        <w:instrText>HYPERLINK "https://employment-social-affairs.ec.europa.eu/document/cb0ffdb5-1f80-4e20-a535-b2237b31f29f_en"</w:instrText>
      </w:r>
      <w:r>
        <w:fldChar w:fldCharType="separate"/>
      </w:r>
      <w:r w:rsidRPr="00F92B7B">
        <w:rPr>
          <w:rStyle w:val="Hyperlink"/>
          <w:lang w:val="en-US"/>
        </w:rPr>
        <w:t>Council Recommendation on Human Capital in the EU | Employment, Social Affairs and Inclusion</w:t>
      </w:r>
      <w:r>
        <w:fldChar w:fldCharType="end"/>
      </w:r>
    </w:p>
  </w:footnote>
  <w:footnote w:id="4">
    <w:p w14:paraId="54A36F04" w14:textId="77777777" w:rsidR="002A65FE" w:rsidRDefault="002A65FE" w:rsidP="002A65FE">
      <w:pPr>
        <w:pStyle w:val="Voetnoottekst"/>
      </w:pPr>
      <w:r>
        <w:rPr>
          <w:rStyle w:val="Voetnootmarkering"/>
        </w:rPr>
        <w:footnoteRef/>
      </w:r>
      <w:r>
        <w:t xml:space="preserve"> </w:t>
      </w:r>
      <w:hyperlink r:id="rId1" w:history="1">
        <w:r w:rsidRPr="005C7BF5">
          <w:rPr>
            <w:rStyle w:val="Hyperlink"/>
          </w:rPr>
          <w:t xml:space="preserve">Kabinetsreactie </w:t>
        </w:r>
        <w:proofErr w:type="spellStart"/>
        <w:r w:rsidRPr="005C7BF5">
          <w:rPr>
            <w:rStyle w:val="Hyperlink"/>
          </w:rPr>
          <w:t>Draghi</w:t>
        </w:r>
        <w:proofErr w:type="spellEnd"/>
        <w:r w:rsidRPr="005C7BF5">
          <w:rPr>
            <w:rStyle w:val="Hyperlink"/>
          </w:rPr>
          <w:t>-rapport | Rapport | Rijksoverheid.nl</w:t>
        </w:r>
      </w:hyperlink>
    </w:p>
  </w:footnote>
  <w:footnote w:id="5">
    <w:p w14:paraId="1CE6CAB7" w14:textId="77777777" w:rsidR="002A65FE" w:rsidRDefault="002A65FE" w:rsidP="002A65FE">
      <w:pPr>
        <w:pStyle w:val="Voetnoottekst"/>
      </w:pPr>
      <w:r>
        <w:rPr>
          <w:rStyle w:val="Voetnootmarkering"/>
        </w:rPr>
        <w:footnoteRef/>
      </w:r>
      <w:r>
        <w:t xml:space="preserve"> Kamerstuk </w:t>
      </w:r>
      <w:r w:rsidRPr="006354FF">
        <w:t>29544</w:t>
      </w:r>
      <w:r>
        <w:t xml:space="preserve">, nr. </w:t>
      </w:r>
      <w:r w:rsidRPr="006354FF">
        <w:t>1260</w:t>
      </w:r>
    </w:p>
  </w:footnote>
  <w:footnote w:id="6">
    <w:p w14:paraId="5CFB9549" w14:textId="77777777" w:rsidR="002A65FE" w:rsidRDefault="002A65FE" w:rsidP="002A65FE">
      <w:pPr>
        <w:pStyle w:val="Voetnoottekst"/>
      </w:pPr>
      <w:r>
        <w:rPr>
          <w:rStyle w:val="Voetnootmarkering"/>
        </w:rPr>
        <w:footnoteRef/>
      </w:r>
      <w:r>
        <w:t xml:space="preserve"> </w:t>
      </w:r>
      <w:r w:rsidRPr="005248BE">
        <w:t>Kamerstuk 22112, nr. 4023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343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D6C20" w14:paraId="3B5720E1" w14:textId="77777777" w:rsidTr="006D2D53">
      <w:trPr>
        <w:trHeight w:hRule="exact" w:val="400"/>
      </w:trPr>
      <w:tc>
        <w:tcPr>
          <w:tcW w:w="7518" w:type="dxa"/>
        </w:tcPr>
        <w:p w14:paraId="4D3D14E3" w14:textId="77777777" w:rsidR="00527BD4" w:rsidRPr="00275984" w:rsidRDefault="00527BD4" w:rsidP="00BF4427">
          <w:pPr>
            <w:pStyle w:val="Huisstijl-Rubricering"/>
          </w:pPr>
        </w:p>
      </w:tc>
    </w:tr>
  </w:tbl>
  <w:p w14:paraId="18953E7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D6C20" w14:paraId="414DE345" w14:textId="77777777" w:rsidTr="003B528D">
      <w:tc>
        <w:tcPr>
          <w:tcW w:w="2160" w:type="dxa"/>
        </w:tcPr>
        <w:p w14:paraId="308A3632" w14:textId="77777777" w:rsidR="002F71BB" w:rsidRPr="000407BB" w:rsidRDefault="00833A81" w:rsidP="005D283A">
          <w:pPr>
            <w:pStyle w:val="Colofonkop"/>
            <w:framePr w:hSpace="0" w:wrap="auto" w:vAnchor="margin" w:hAnchor="text" w:xAlign="left" w:yAlign="inline"/>
          </w:pPr>
          <w:r>
            <w:t>Onze referentie</w:t>
          </w:r>
        </w:p>
      </w:tc>
    </w:tr>
    <w:tr w:rsidR="002D6C20" w14:paraId="09A507FF" w14:textId="77777777" w:rsidTr="002F71BB">
      <w:trPr>
        <w:trHeight w:val="259"/>
      </w:trPr>
      <w:tc>
        <w:tcPr>
          <w:tcW w:w="2160" w:type="dxa"/>
        </w:tcPr>
        <w:p w14:paraId="6414B65D" w14:textId="77777777" w:rsidR="00E35CF4" w:rsidRPr="005D283A" w:rsidRDefault="00833A81" w:rsidP="0049501A">
          <w:pPr>
            <w:spacing w:line="180" w:lineRule="exact"/>
            <w:rPr>
              <w:sz w:val="13"/>
              <w:szCs w:val="13"/>
            </w:rPr>
          </w:pPr>
          <w:r>
            <w:rPr>
              <w:sz w:val="13"/>
              <w:szCs w:val="13"/>
            </w:rPr>
            <w:t>58866193</w:t>
          </w:r>
        </w:p>
      </w:tc>
    </w:tr>
  </w:tbl>
  <w:p w14:paraId="1B307EE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6C20" w14:paraId="708D2BCC" w14:textId="77777777" w:rsidTr="001377D4">
      <w:trPr>
        <w:trHeight w:val="2636"/>
      </w:trPr>
      <w:tc>
        <w:tcPr>
          <w:tcW w:w="737" w:type="dxa"/>
        </w:tcPr>
        <w:p w14:paraId="562C6689" w14:textId="77777777" w:rsidR="00704845" w:rsidRDefault="00704845" w:rsidP="0047126E">
          <w:pPr>
            <w:framePr w:w="6339" w:h="2750" w:hRule="exact" w:hSpace="181" w:wrap="around" w:vAnchor="page" w:hAnchor="page" w:x="5586" w:y="1"/>
            <w:spacing w:line="240" w:lineRule="auto"/>
          </w:pPr>
        </w:p>
      </w:tc>
      <w:tc>
        <w:tcPr>
          <w:tcW w:w="5156" w:type="dxa"/>
        </w:tcPr>
        <w:p w14:paraId="0066741C" w14:textId="77777777" w:rsidR="00704845" w:rsidRDefault="00833A81" w:rsidP="0047126E">
          <w:pPr>
            <w:framePr w:w="3873" w:h="2625" w:hRule="exact" w:wrap="around" w:vAnchor="page" w:hAnchor="page" w:x="6323" w:y="1"/>
          </w:pPr>
          <w:r>
            <w:rPr>
              <w:noProof/>
              <w:lang w:val="en-US" w:eastAsia="en-US"/>
            </w:rPr>
            <w:drawing>
              <wp:inline distT="0" distB="0" distL="0" distR="0" wp14:anchorId="013ED828" wp14:editId="62F72C7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80FD95" w14:textId="77777777" w:rsidR="00483ECA" w:rsidRDefault="00483ECA" w:rsidP="00D037A9"/>
      </w:tc>
    </w:tr>
  </w:tbl>
  <w:p w14:paraId="72D6244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D6C20" w14:paraId="09403BA9" w14:textId="77777777" w:rsidTr="0008539E">
      <w:trPr>
        <w:trHeight w:hRule="exact" w:val="572"/>
      </w:trPr>
      <w:tc>
        <w:tcPr>
          <w:tcW w:w="7520" w:type="dxa"/>
        </w:tcPr>
        <w:p w14:paraId="1C3A7251" w14:textId="77777777" w:rsidR="00527BD4" w:rsidRPr="00963440" w:rsidRDefault="00833A81" w:rsidP="00210BA3">
          <w:pPr>
            <w:pStyle w:val="Huisstijl-Adres"/>
            <w:spacing w:after="0"/>
          </w:pPr>
          <w:r w:rsidRPr="009E3B07">
            <w:t>&gt;Retouradres </w:t>
          </w:r>
          <w:r>
            <w:t>Postbus 16375 2500 BJ Den Haag</w:t>
          </w:r>
          <w:r w:rsidRPr="009E3B07">
            <w:t xml:space="preserve"> </w:t>
          </w:r>
        </w:p>
      </w:tc>
    </w:tr>
    <w:tr w:rsidR="002D6C20" w14:paraId="514A18E6" w14:textId="77777777" w:rsidTr="00E776C6">
      <w:trPr>
        <w:cantSplit/>
        <w:trHeight w:hRule="exact" w:val="238"/>
      </w:trPr>
      <w:tc>
        <w:tcPr>
          <w:tcW w:w="7520" w:type="dxa"/>
        </w:tcPr>
        <w:p w14:paraId="003D78A6" w14:textId="77777777" w:rsidR="00093ABC" w:rsidRPr="00963440" w:rsidRDefault="00093ABC" w:rsidP="00963440"/>
      </w:tc>
    </w:tr>
    <w:tr w:rsidR="002D6C20" w14:paraId="704B66D7" w14:textId="77777777" w:rsidTr="00E776C6">
      <w:trPr>
        <w:cantSplit/>
        <w:trHeight w:hRule="exact" w:val="1520"/>
      </w:trPr>
      <w:tc>
        <w:tcPr>
          <w:tcW w:w="7520" w:type="dxa"/>
        </w:tcPr>
        <w:p w14:paraId="22AA09EC" w14:textId="77777777" w:rsidR="00A604D3" w:rsidRPr="00963440" w:rsidRDefault="00A604D3" w:rsidP="00963440"/>
      </w:tc>
    </w:tr>
    <w:tr w:rsidR="002D6C20" w14:paraId="20FAEF00" w14:textId="77777777" w:rsidTr="00E776C6">
      <w:trPr>
        <w:trHeight w:hRule="exact" w:val="1077"/>
      </w:trPr>
      <w:tc>
        <w:tcPr>
          <w:tcW w:w="7520" w:type="dxa"/>
        </w:tcPr>
        <w:p w14:paraId="17B54A95" w14:textId="77777777" w:rsidR="00892BA5" w:rsidRPr="00035E67" w:rsidRDefault="00892BA5" w:rsidP="00892BA5">
          <w:pPr>
            <w:tabs>
              <w:tab w:val="left" w:pos="740"/>
            </w:tabs>
            <w:autoSpaceDE w:val="0"/>
            <w:autoSpaceDN w:val="0"/>
            <w:adjustRightInd w:val="0"/>
            <w:rPr>
              <w:rFonts w:cs="Verdana"/>
              <w:szCs w:val="18"/>
            </w:rPr>
          </w:pPr>
        </w:p>
      </w:tc>
    </w:tr>
  </w:tbl>
  <w:p w14:paraId="55AFA7AB" w14:textId="77777777" w:rsidR="006F273B" w:rsidRDefault="006F273B" w:rsidP="00BC4AE3">
    <w:pPr>
      <w:pStyle w:val="Koptekst"/>
    </w:pPr>
  </w:p>
  <w:p w14:paraId="4EC02EB3" w14:textId="77777777" w:rsidR="00153BD0" w:rsidRDefault="00153BD0" w:rsidP="00BC4AE3">
    <w:pPr>
      <w:pStyle w:val="Koptekst"/>
    </w:pPr>
  </w:p>
  <w:p w14:paraId="3DCC723A" w14:textId="77777777" w:rsidR="0044605E" w:rsidRDefault="0044605E" w:rsidP="00BC4AE3">
    <w:pPr>
      <w:pStyle w:val="Koptekst"/>
    </w:pPr>
  </w:p>
  <w:p w14:paraId="6746F5CE" w14:textId="77777777" w:rsidR="0044605E" w:rsidRDefault="0044605E" w:rsidP="00BC4AE3">
    <w:pPr>
      <w:pStyle w:val="Koptekst"/>
    </w:pPr>
  </w:p>
  <w:p w14:paraId="2850DEC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CD018E2">
      <w:start w:val="1"/>
      <w:numFmt w:val="bullet"/>
      <w:pStyle w:val="Lijstopsomteken"/>
      <w:lvlText w:val="•"/>
      <w:lvlJc w:val="left"/>
      <w:pPr>
        <w:tabs>
          <w:tab w:val="num" w:pos="227"/>
        </w:tabs>
        <w:ind w:left="227" w:hanging="227"/>
      </w:pPr>
      <w:rPr>
        <w:rFonts w:ascii="Verdana" w:hAnsi="Verdana" w:hint="default"/>
        <w:sz w:val="18"/>
        <w:szCs w:val="18"/>
      </w:rPr>
    </w:lvl>
    <w:lvl w:ilvl="1" w:tplc="F4B8BEE8" w:tentative="1">
      <w:start w:val="1"/>
      <w:numFmt w:val="bullet"/>
      <w:lvlText w:val="o"/>
      <w:lvlJc w:val="left"/>
      <w:pPr>
        <w:tabs>
          <w:tab w:val="num" w:pos="1440"/>
        </w:tabs>
        <w:ind w:left="1440" w:hanging="360"/>
      </w:pPr>
      <w:rPr>
        <w:rFonts w:ascii="Courier New" w:hAnsi="Courier New" w:cs="Courier New" w:hint="default"/>
      </w:rPr>
    </w:lvl>
    <w:lvl w:ilvl="2" w:tplc="7D9A1CDE" w:tentative="1">
      <w:start w:val="1"/>
      <w:numFmt w:val="bullet"/>
      <w:lvlText w:val=""/>
      <w:lvlJc w:val="left"/>
      <w:pPr>
        <w:tabs>
          <w:tab w:val="num" w:pos="2160"/>
        </w:tabs>
        <w:ind w:left="2160" w:hanging="360"/>
      </w:pPr>
      <w:rPr>
        <w:rFonts w:ascii="Wingdings" w:hAnsi="Wingdings" w:hint="default"/>
      </w:rPr>
    </w:lvl>
    <w:lvl w:ilvl="3" w:tplc="CB866DD0" w:tentative="1">
      <w:start w:val="1"/>
      <w:numFmt w:val="bullet"/>
      <w:lvlText w:val=""/>
      <w:lvlJc w:val="left"/>
      <w:pPr>
        <w:tabs>
          <w:tab w:val="num" w:pos="2880"/>
        </w:tabs>
        <w:ind w:left="2880" w:hanging="360"/>
      </w:pPr>
      <w:rPr>
        <w:rFonts w:ascii="Symbol" w:hAnsi="Symbol" w:hint="default"/>
      </w:rPr>
    </w:lvl>
    <w:lvl w:ilvl="4" w:tplc="626E7326" w:tentative="1">
      <w:start w:val="1"/>
      <w:numFmt w:val="bullet"/>
      <w:lvlText w:val="o"/>
      <w:lvlJc w:val="left"/>
      <w:pPr>
        <w:tabs>
          <w:tab w:val="num" w:pos="3600"/>
        </w:tabs>
        <w:ind w:left="3600" w:hanging="360"/>
      </w:pPr>
      <w:rPr>
        <w:rFonts w:ascii="Courier New" w:hAnsi="Courier New" w:cs="Courier New" w:hint="default"/>
      </w:rPr>
    </w:lvl>
    <w:lvl w:ilvl="5" w:tplc="0084110A" w:tentative="1">
      <w:start w:val="1"/>
      <w:numFmt w:val="bullet"/>
      <w:lvlText w:val=""/>
      <w:lvlJc w:val="left"/>
      <w:pPr>
        <w:tabs>
          <w:tab w:val="num" w:pos="4320"/>
        </w:tabs>
        <w:ind w:left="4320" w:hanging="360"/>
      </w:pPr>
      <w:rPr>
        <w:rFonts w:ascii="Wingdings" w:hAnsi="Wingdings" w:hint="default"/>
      </w:rPr>
    </w:lvl>
    <w:lvl w:ilvl="6" w:tplc="F1340096" w:tentative="1">
      <w:start w:val="1"/>
      <w:numFmt w:val="bullet"/>
      <w:lvlText w:val=""/>
      <w:lvlJc w:val="left"/>
      <w:pPr>
        <w:tabs>
          <w:tab w:val="num" w:pos="5040"/>
        </w:tabs>
        <w:ind w:left="5040" w:hanging="360"/>
      </w:pPr>
      <w:rPr>
        <w:rFonts w:ascii="Symbol" w:hAnsi="Symbol" w:hint="default"/>
      </w:rPr>
    </w:lvl>
    <w:lvl w:ilvl="7" w:tplc="B442E942" w:tentative="1">
      <w:start w:val="1"/>
      <w:numFmt w:val="bullet"/>
      <w:lvlText w:val="o"/>
      <w:lvlJc w:val="left"/>
      <w:pPr>
        <w:tabs>
          <w:tab w:val="num" w:pos="5760"/>
        </w:tabs>
        <w:ind w:left="5760" w:hanging="360"/>
      </w:pPr>
      <w:rPr>
        <w:rFonts w:ascii="Courier New" w:hAnsi="Courier New" w:cs="Courier New" w:hint="default"/>
      </w:rPr>
    </w:lvl>
    <w:lvl w:ilvl="8" w:tplc="1BE6B8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721280">
      <w:start w:val="1"/>
      <w:numFmt w:val="bullet"/>
      <w:pStyle w:val="Lijstopsomteken2"/>
      <w:lvlText w:val="–"/>
      <w:lvlJc w:val="left"/>
      <w:pPr>
        <w:tabs>
          <w:tab w:val="num" w:pos="227"/>
        </w:tabs>
        <w:ind w:left="227" w:firstLine="0"/>
      </w:pPr>
      <w:rPr>
        <w:rFonts w:ascii="Verdana" w:hAnsi="Verdana" w:hint="default"/>
      </w:rPr>
    </w:lvl>
    <w:lvl w:ilvl="1" w:tplc="1E54FB64" w:tentative="1">
      <w:start w:val="1"/>
      <w:numFmt w:val="bullet"/>
      <w:lvlText w:val="o"/>
      <w:lvlJc w:val="left"/>
      <w:pPr>
        <w:tabs>
          <w:tab w:val="num" w:pos="1440"/>
        </w:tabs>
        <w:ind w:left="1440" w:hanging="360"/>
      </w:pPr>
      <w:rPr>
        <w:rFonts w:ascii="Courier New" w:hAnsi="Courier New" w:cs="Courier New" w:hint="default"/>
      </w:rPr>
    </w:lvl>
    <w:lvl w:ilvl="2" w:tplc="DDBAD538" w:tentative="1">
      <w:start w:val="1"/>
      <w:numFmt w:val="bullet"/>
      <w:lvlText w:val=""/>
      <w:lvlJc w:val="left"/>
      <w:pPr>
        <w:tabs>
          <w:tab w:val="num" w:pos="2160"/>
        </w:tabs>
        <w:ind w:left="2160" w:hanging="360"/>
      </w:pPr>
      <w:rPr>
        <w:rFonts w:ascii="Wingdings" w:hAnsi="Wingdings" w:hint="default"/>
      </w:rPr>
    </w:lvl>
    <w:lvl w:ilvl="3" w:tplc="3D7C373E" w:tentative="1">
      <w:start w:val="1"/>
      <w:numFmt w:val="bullet"/>
      <w:lvlText w:val=""/>
      <w:lvlJc w:val="left"/>
      <w:pPr>
        <w:tabs>
          <w:tab w:val="num" w:pos="2880"/>
        </w:tabs>
        <w:ind w:left="2880" w:hanging="360"/>
      </w:pPr>
      <w:rPr>
        <w:rFonts w:ascii="Symbol" w:hAnsi="Symbol" w:hint="default"/>
      </w:rPr>
    </w:lvl>
    <w:lvl w:ilvl="4" w:tplc="B650C996" w:tentative="1">
      <w:start w:val="1"/>
      <w:numFmt w:val="bullet"/>
      <w:lvlText w:val="o"/>
      <w:lvlJc w:val="left"/>
      <w:pPr>
        <w:tabs>
          <w:tab w:val="num" w:pos="3600"/>
        </w:tabs>
        <w:ind w:left="3600" w:hanging="360"/>
      </w:pPr>
      <w:rPr>
        <w:rFonts w:ascii="Courier New" w:hAnsi="Courier New" w:cs="Courier New" w:hint="default"/>
      </w:rPr>
    </w:lvl>
    <w:lvl w:ilvl="5" w:tplc="26E8EAAC" w:tentative="1">
      <w:start w:val="1"/>
      <w:numFmt w:val="bullet"/>
      <w:lvlText w:val=""/>
      <w:lvlJc w:val="left"/>
      <w:pPr>
        <w:tabs>
          <w:tab w:val="num" w:pos="4320"/>
        </w:tabs>
        <w:ind w:left="4320" w:hanging="360"/>
      </w:pPr>
      <w:rPr>
        <w:rFonts w:ascii="Wingdings" w:hAnsi="Wingdings" w:hint="default"/>
      </w:rPr>
    </w:lvl>
    <w:lvl w:ilvl="6" w:tplc="4BB61054" w:tentative="1">
      <w:start w:val="1"/>
      <w:numFmt w:val="bullet"/>
      <w:lvlText w:val=""/>
      <w:lvlJc w:val="left"/>
      <w:pPr>
        <w:tabs>
          <w:tab w:val="num" w:pos="5040"/>
        </w:tabs>
        <w:ind w:left="5040" w:hanging="360"/>
      </w:pPr>
      <w:rPr>
        <w:rFonts w:ascii="Symbol" w:hAnsi="Symbol" w:hint="default"/>
      </w:rPr>
    </w:lvl>
    <w:lvl w:ilvl="7" w:tplc="BD0C02F0" w:tentative="1">
      <w:start w:val="1"/>
      <w:numFmt w:val="bullet"/>
      <w:lvlText w:val="o"/>
      <w:lvlJc w:val="left"/>
      <w:pPr>
        <w:tabs>
          <w:tab w:val="num" w:pos="5760"/>
        </w:tabs>
        <w:ind w:left="5760" w:hanging="360"/>
      </w:pPr>
      <w:rPr>
        <w:rFonts w:ascii="Courier New" w:hAnsi="Courier New" w:cs="Courier New" w:hint="default"/>
      </w:rPr>
    </w:lvl>
    <w:lvl w:ilvl="8" w:tplc="2D5CAA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0D59C6"/>
    <w:multiLevelType w:val="hybridMultilevel"/>
    <w:tmpl w:val="AE048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0514109">
    <w:abstractNumId w:val="10"/>
  </w:num>
  <w:num w:numId="2" w16cid:durableId="1944075189">
    <w:abstractNumId w:val="7"/>
  </w:num>
  <w:num w:numId="3" w16cid:durableId="1387147844">
    <w:abstractNumId w:val="6"/>
  </w:num>
  <w:num w:numId="4" w16cid:durableId="1124540894">
    <w:abstractNumId w:val="5"/>
  </w:num>
  <w:num w:numId="5" w16cid:durableId="1599022698">
    <w:abstractNumId w:val="4"/>
  </w:num>
  <w:num w:numId="6" w16cid:durableId="1598176633">
    <w:abstractNumId w:val="8"/>
  </w:num>
  <w:num w:numId="7" w16cid:durableId="1225028800">
    <w:abstractNumId w:val="3"/>
  </w:num>
  <w:num w:numId="8" w16cid:durableId="1635671178">
    <w:abstractNumId w:val="2"/>
  </w:num>
  <w:num w:numId="9" w16cid:durableId="513806433">
    <w:abstractNumId w:val="1"/>
  </w:num>
  <w:num w:numId="10" w16cid:durableId="315645540">
    <w:abstractNumId w:val="0"/>
  </w:num>
  <w:num w:numId="11" w16cid:durableId="2114587848">
    <w:abstractNumId w:val="9"/>
  </w:num>
  <w:num w:numId="12" w16cid:durableId="2118017000">
    <w:abstractNumId w:val="11"/>
  </w:num>
  <w:num w:numId="13" w16cid:durableId="544027331">
    <w:abstractNumId w:val="13"/>
  </w:num>
  <w:num w:numId="14" w16cid:durableId="1190026646">
    <w:abstractNumId w:val="12"/>
  </w:num>
  <w:num w:numId="15" w16cid:durableId="184609406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105"/>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6AB2"/>
    <w:rsid w:val="000B7281"/>
    <w:rsid w:val="000B7FAB"/>
    <w:rsid w:val="000C1BA1"/>
    <w:rsid w:val="000C3EA9"/>
    <w:rsid w:val="000C4A32"/>
    <w:rsid w:val="000C65BB"/>
    <w:rsid w:val="000C7119"/>
    <w:rsid w:val="000D0225"/>
    <w:rsid w:val="000D249E"/>
    <w:rsid w:val="000D6399"/>
    <w:rsid w:val="000E48A6"/>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2ED8"/>
    <w:rsid w:val="001377D4"/>
    <w:rsid w:val="00141BB1"/>
    <w:rsid w:val="00142E41"/>
    <w:rsid w:val="0014489B"/>
    <w:rsid w:val="0014786A"/>
    <w:rsid w:val="001516A4"/>
    <w:rsid w:val="00151E5F"/>
    <w:rsid w:val="00153BD0"/>
    <w:rsid w:val="001569AB"/>
    <w:rsid w:val="0016280C"/>
    <w:rsid w:val="00164D63"/>
    <w:rsid w:val="0016725C"/>
    <w:rsid w:val="00167DE5"/>
    <w:rsid w:val="0017008F"/>
    <w:rsid w:val="001726F3"/>
    <w:rsid w:val="00172B18"/>
    <w:rsid w:val="00173C51"/>
    <w:rsid w:val="001740B9"/>
    <w:rsid w:val="00174CC2"/>
    <w:rsid w:val="00176CC6"/>
    <w:rsid w:val="00177B41"/>
    <w:rsid w:val="0018193C"/>
    <w:rsid w:val="00181BE4"/>
    <w:rsid w:val="0018496F"/>
    <w:rsid w:val="00184B30"/>
    <w:rsid w:val="00185576"/>
    <w:rsid w:val="00185951"/>
    <w:rsid w:val="00193807"/>
    <w:rsid w:val="00194A00"/>
    <w:rsid w:val="00196B8B"/>
    <w:rsid w:val="001A0BFA"/>
    <w:rsid w:val="001A1608"/>
    <w:rsid w:val="001A2BEA"/>
    <w:rsid w:val="001A325F"/>
    <w:rsid w:val="001A4183"/>
    <w:rsid w:val="001A60ED"/>
    <w:rsid w:val="001A6D93"/>
    <w:rsid w:val="001B2BBA"/>
    <w:rsid w:val="001B35FA"/>
    <w:rsid w:val="001C006F"/>
    <w:rsid w:val="001C2C36"/>
    <w:rsid w:val="001C32EC"/>
    <w:rsid w:val="001C38BD"/>
    <w:rsid w:val="001C4D5A"/>
    <w:rsid w:val="001D4A22"/>
    <w:rsid w:val="001E0256"/>
    <w:rsid w:val="001E0F37"/>
    <w:rsid w:val="001E34C6"/>
    <w:rsid w:val="001E5581"/>
    <w:rsid w:val="001F3C70"/>
    <w:rsid w:val="00200D88"/>
    <w:rsid w:val="00201C09"/>
    <w:rsid w:val="00201F68"/>
    <w:rsid w:val="0020636A"/>
    <w:rsid w:val="00210BA3"/>
    <w:rsid w:val="00212F2A"/>
    <w:rsid w:val="00214F2B"/>
    <w:rsid w:val="00215356"/>
    <w:rsid w:val="00215964"/>
    <w:rsid w:val="00215D8B"/>
    <w:rsid w:val="00217880"/>
    <w:rsid w:val="00222D66"/>
    <w:rsid w:val="0022441A"/>
    <w:rsid w:val="00224A8A"/>
    <w:rsid w:val="002309A8"/>
    <w:rsid w:val="0023246B"/>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5FE"/>
    <w:rsid w:val="002A6722"/>
    <w:rsid w:val="002B153C"/>
    <w:rsid w:val="002B52FC"/>
    <w:rsid w:val="002C26D0"/>
    <w:rsid w:val="002C2830"/>
    <w:rsid w:val="002C3CE0"/>
    <w:rsid w:val="002C40AF"/>
    <w:rsid w:val="002D001A"/>
    <w:rsid w:val="002D28E2"/>
    <w:rsid w:val="002D317B"/>
    <w:rsid w:val="002D3587"/>
    <w:rsid w:val="002D3F4E"/>
    <w:rsid w:val="002D502D"/>
    <w:rsid w:val="002D6C20"/>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8E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541"/>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244"/>
    <w:rsid w:val="00441AC2"/>
    <w:rsid w:val="0044249B"/>
    <w:rsid w:val="004425A7"/>
    <w:rsid w:val="0044605E"/>
    <w:rsid w:val="0045023C"/>
    <w:rsid w:val="00451A5B"/>
    <w:rsid w:val="00452BCD"/>
    <w:rsid w:val="00452CEA"/>
    <w:rsid w:val="00463A63"/>
    <w:rsid w:val="00465B52"/>
    <w:rsid w:val="00466E7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BF"/>
    <w:rsid w:val="004F44C2"/>
    <w:rsid w:val="00505262"/>
    <w:rsid w:val="005107B1"/>
    <w:rsid w:val="00516022"/>
    <w:rsid w:val="00521CEE"/>
    <w:rsid w:val="00527BD4"/>
    <w:rsid w:val="00533061"/>
    <w:rsid w:val="00533FA1"/>
    <w:rsid w:val="00534C77"/>
    <w:rsid w:val="00535573"/>
    <w:rsid w:val="005403C8"/>
    <w:rsid w:val="00541AD9"/>
    <w:rsid w:val="005429DC"/>
    <w:rsid w:val="005430A2"/>
    <w:rsid w:val="00553A4F"/>
    <w:rsid w:val="005565F9"/>
    <w:rsid w:val="00556D74"/>
    <w:rsid w:val="005639D2"/>
    <w:rsid w:val="00565739"/>
    <w:rsid w:val="00566287"/>
    <w:rsid w:val="00573041"/>
    <w:rsid w:val="00575B80"/>
    <w:rsid w:val="0057664C"/>
    <w:rsid w:val="00577559"/>
    <w:rsid w:val="005819CE"/>
    <w:rsid w:val="0058298D"/>
    <w:rsid w:val="00590595"/>
    <w:rsid w:val="00591080"/>
    <w:rsid w:val="00593C2B"/>
    <w:rsid w:val="00595231"/>
    <w:rsid w:val="00595CBB"/>
    <w:rsid w:val="00596166"/>
    <w:rsid w:val="00597F64"/>
    <w:rsid w:val="005A1AF5"/>
    <w:rsid w:val="005A207F"/>
    <w:rsid w:val="005A2F35"/>
    <w:rsid w:val="005A68AA"/>
    <w:rsid w:val="005A7512"/>
    <w:rsid w:val="005B3441"/>
    <w:rsid w:val="005B463E"/>
    <w:rsid w:val="005B4FAC"/>
    <w:rsid w:val="005B5D8B"/>
    <w:rsid w:val="005C34E1"/>
    <w:rsid w:val="005C3FE0"/>
    <w:rsid w:val="005C4C82"/>
    <w:rsid w:val="005C740C"/>
    <w:rsid w:val="005C7BF5"/>
    <w:rsid w:val="005D283A"/>
    <w:rsid w:val="005D625B"/>
    <w:rsid w:val="005E2A38"/>
    <w:rsid w:val="005E3322"/>
    <w:rsid w:val="005E436C"/>
    <w:rsid w:val="005E4C29"/>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44B3"/>
    <w:rsid w:val="00635031"/>
    <w:rsid w:val="0064192A"/>
    <w:rsid w:val="00642768"/>
    <w:rsid w:val="006448E4"/>
    <w:rsid w:val="00645414"/>
    <w:rsid w:val="00647472"/>
    <w:rsid w:val="0065244E"/>
    <w:rsid w:val="006534D0"/>
    <w:rsid w:val="00653606"/>
    <w:rsid w:val="00655179"/>
    <w:rsid w:val="006610E9"/>
    <w:rsid w:val="00661591"/>
    <w:rsid w:val="00662A78"/>
    <w:rsid w:val="00663187"/>
    <w:rsid w:val="006643AA"/>
    <w:rsid w:val="0066632F"/>
    <w:rsid w:val="00674A89"/>
    <w:rsid w:val="00674F3D"/>
    <w:rsid w:val="00682E02"/>
    <w:rsid w:val="00685545"/>
    <w:rsid w:val="006864B3"/>
    <w:rsid w:val="00686AED"/>
    <w:rsid w:val="00687511"/>
    <w:rsid w:val="00692BA9"/>
    <w:rsid w:val="00692C30"/>
    <w:rsid w:val="00692D64"/>
    <w:rsid w:val="00697943"/>
    <w:rsid w:val="006A10F8"/>
    <w:rsid w:val="006A1560"/>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615F"/>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1"/>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C6E"/>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78B"/>
    <w:rsid w:val="008E3932"/>
    <w:rsid w:val="008E49AD"/>
    <w:rsid w:val="008E698E"/>
    <w:rsid w:val="008F123F"/>
    <w:rsid w:val="008F2584"/>
    <w:rsid w:val="008F3246"/>
    <w:rsid w:val="008F3C1B"/>
    <w:rsid w:val="008F508C"/>
    <w:rsid w:val="0090271B"/>
    <w:rsid w:val="00903831"/>
    <w:rsid w:val="00910642"/>
    <w:rsid w:val="00910DDF"/>
    <w:rsid w:val="00921861"/>
    <w:rsid w:val="00923C34"/>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1BD"/>
    <w:rsid w:val="00963440"/>
    <w:rsid w:val="00966AA7"/>
    <w:rsid w:val="009716D8"/>
    <w:rsid w:val="009718F9"/>
    <w:rsid w:val="009724E4"/>
    <w:rsid w:val="00972FB9"/>
    <w:rsid w:val="00975112"/>
    <w:rsid w:val="009812EB"/>
    <w:rsid w:val="00981768"/>
    <w:rsid w:val="009838BB"/>
    <w:rsid w:val="00983E8F"/>
    <w:rsid w:val="00992338"/>
    <w:rsid w:val="009928DE"/>
    <w:rsid w:val="00994FDA"/>
    <w:rsid w:val="00997723"/>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0EDE"/>
    <w:rsid w:val="009E3B07"/>
    <w:rsid w:val="009F3259"/>
    <w:rsid w:val="009F541F"/>
    <w:rsid w:val="00A056DE"/>
    <w:rsid w:val="00A0678A"/>
    <w:rsid w:val="00A1289E"/>
    <w:rsid w:val="00A128AD"/>
    <w:rsid w:val="00A20730"/>
    <w:rsid w:val="00A20D4E"/>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612"/>
    <w:rsid w:val="00A60B58"/>
    <w:rsid w:val="00A6170E"/>
    <w:rsid w:val="00A63B8C"/>
    <w:rsid w:val="00A67AC7"/>
    <w:rsid w:val="00A715F8"/>
    <w:rsid w:val="00A71862"/>
    <w:rsid w:val="00A741BA"/>
    <w:rsid w:val="00A773CC"/>
    <w:rsid w:val="00A77F6F"/>
    <w:rsid w:val="00A831FD"/>
    <w:rsid w:val="00A83352"/>
    <w:rsid w:val="00A850A2"/>
    <w:rsid w:val="00A91FA3"/>
    <w:rsid w:val="00A927D3"/>
    <w:rsid w:val="00A9429A"/>
    <w:rsid w:val="00AA70B0"/>
    <w:rsid w:val="00AA7FC9"/>
    <w:rsid w:val="00AB11CE"/>
    <w:rsid w:val="00AB237D"/>
    <w:rsid w:val="00AB50E6"/>
    <w:rsid w:val="00AB5933"/>
    <w:rsid w:val="00AC304A"/>
    <w:rsid w:val="00AD34B3"/>
    <w:rsid w:val="00AD5B44"/>
    <w:rsid w:val="00AD7608"/>
    <w:rsid w:val="00AE013D"/>
    <w:rsid w:val="00AE11B7"/>
    <w:rsid w:val="00AE18BA"/>
    <w:rsid w:val="00AE7130"/>
    <w:rsid w:val="00AE7F68"/>
    <w:rsid w:val="00AF2321"/>
    <w:rsid w:val="00AF52F6"/>
    <w:rsid w:val="00AF7237"/>
    <w:rsid w:val="00B0043A"/>
    <w:rsid w:val="00B00D75"/>
    <w:rsid w:val="00B04677"/>
    <w:rsid w:val="00B0690C"/>
    <w:rsid w:val="00B070CB"/>
    <w:rsid w:val="00B10E41"/>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983"/>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2318"/>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6663"/>
    <w:rsid w:val="00E62709"/>
    <w:rsid w:val="00E634E3"/>
    <w:rsid w:val="00E717C4"/>
    <w:rsid w:val="00E74D10"/>
    <w:rsid w:val="00E776C6"/>
    <w:rsid w:val="00E77F89"/>
    <w:rsid w:val="00E80E71"/>
    <w:rsid w:val="00E81589"/>
    <w:rsid w:val="00E850D3"/>
    <w:rsid w:val="00E853D6"/>
    <w:rsid w:val="00E8544F"/>
    <w:rsid w:val="00E85664"/>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4DBF"/>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616F"/>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0A30"/>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9B44D"/>
  <w15:docId w15:val="{178B8B42-9056-4318-9B7F-B2249FD8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9928DE"/>
    <w:rPr>
      <w:vertAlign w:val="superscript"/>
    </w:rPr>
  </w:style>
  <w:style w:type="character" w:styleId="Onopgelostemelding">
    <w:name w:val="Unresolved Mention"/>
    <w:basedOn w:val="Standaardalinea-lettertype"/>
    <w:uiPriority w:val="99"/>
    <w:semiHidden/>
    <w:unhideWhenUsed/>
    <w:rsid w:val="001D4A22"/>
    <w:rPr>
      <w:color w:val="605E5C"/>
      <w:shd w:val="clear" w:color="auto" w:fill="E1DFDD"/>
    </w:rPr>
  </w:style>
  <w:style w:type="character" w:styleId="Verwijzingopmerking">
    <w:name w:val="annotation reference"/>
    <w:basedOn w:val="Standaardalinea-lettertype"/>
    <w:rsid w:val="005E2A38"/>
    <w:rPr>
      <w:sz w:val="16"/>
      <w:szCs w:val="16"/>
    </w:rPr>
  </w:style>
  <w:style w:type="paragraph" w:styleId="Tekstopmerking">
    <w:name w:val="annotation text"/>
    <w:basedOn w:val="Standaard"/>
    <w:link w:val="TekstopmerkingChar"/>
    <w:rsid w:val="005E2A38"/>
    <w:pPr>
      <w:spacing w:line="240" w:lineRule="auto"/>
    </w:pPr>
    <w:rPr>
      <w:sz w:val="20"/>
      <w:szCs w:val="20"/>
    </w:rPr>
  </w:style>
  <w:style w:type="character" w:customStyle="1" w:styleId="TekstopmerkingChar">
    <w:name w:val="Tekst opmerking Char"/>
    <w:basedOn w:val="Standaardalinea-lettertype"/>
    <w:link w:val="Tekstopmerking"/>
    <w:rsid w:val="005E2A38"/>
    <w:rPr>
      <w:rFonts w:ascii="Verdana" w:hAnsi="Verdana"/>
      <w:lang w:val="nl-NL" w:eastAsia="nl-NL"/>
    </w:rPr>
  </w:style>
  <w:style w:type="paragraph" w:styleId="Onderwerpvanopmerking">
    <w:name w:val="annotation subject"/>
    <w:basedOn w:val="Tekstopmerking"/>
    <w:next w:val="Tekstopmerking"/>
    <w:link w:val="OnderwerpvanopmerkingChar"/>
    <w:rsid w:val="005E2A38"/>
    <w:rPr>
      <w:b/>
      <w:bCs/>
    </w:rPr>
  </w:style>
  <w:style w:type="character" w:customStyle="1" w:styleId="OnderwerpvanopmerkingChar">
    <w:name w:val="Onderwerp van opmerking Char"/>
    <w:basedOn w:val="TekstopmerkingChar"/>
    <w:link w:val="Onderwerpvanopmerking"/>
    <w:rsid w:val="005E2A38"/>
    <w:rPr>
      <w:rFonts w:ascii="Verdana" w:hAnsi="Verdana"/>
      <w:b/>
      <w:bCs/>
      <w:lang w:val="nl-NL" w:eastAsia="nl-NL"/>
    </w:rPr>
  </w:style>
  <w:style w:type="character" w:customStyle="1" w:styleId="VoetnoottekstChar">
    <w:name w:val="Voetnoottekst Char"/>
    <w:basedOn w:val="Standaardalinea-lettertype"/>
    <w:link w:val="Voetnoottekst"/>
    <w:semiHidden/>
    <w:rsid w:val="00B10E41"/>
    <w:rPr>
      <w:rFonts w:ascii="Verdana" w:hAnsi="Verdana"/>
      <w:sz w:val="13"/>
      <w:lang w:val="nl-NL" w:eastAsia="nl-NL"/>
    </w:rPr>
  </w:style>
  <w:style w:type="paragraph" w:styleId="Lijstalinea">
    <w:name w:val="List Paragraph"/>
    <w:basedOn w:val="Standaard"/>
    <w:uiPriority w:val="34"/>
    <w:qFormat/>
    <w:rsid w:val="000E48A6"/>
    <w:pPr>
      <w:ind w:left="720"/>
      <w:contextualSpacing/>
    </w:pPr>
  </w:style>
  <w:style w:type="paragraph" w:styleId="Revisie">
    <w:name w:val="Revision"/>
    <w:hidden/>
    <w:uiPriority w:val="99"/>
    <w:semiHidden/>
    <w:rsid w:val="009631B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04/kabinetsreactie-draghi-rappo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2645</ap:Words>
  <ap:Characters>14548</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2026-01-09T09:15:00.0000000Z</lastPrinted>
  <dcterms:created xsi:type="dcterms:W3CDTF">2026-01-14T14:15:00.0000000Z</dcterms:created>
  <dcterms:modified xsi:type="dcterms:W3CDTF">2026-01-14T14:15:00.0000000Z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Onderwijsraad 29-30 januari 2026, Nicosia, Cyprus</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O201KAR</vt:lpwstr>
  </property>
</Properties>
</file>