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40C" w:rsidP="00DF1071" w:rsidRDefault="0014240C" w14:paraId="044DC750" w14:textId="58B0E1BE">
      <w:pPr>
        <w:rPr>
          <w:b/>
          <w:bCs/>
        </w:rPr>
      </w:pPr>
      <w:r w:rsidRPr="0014240C">
        <w:rPr>
          <w:b/>
          <w:bCs/>
        </w:rPr>
        <w:t xml:space="preserve">Bijlage Kamerbrief– Scenario’s kortstondige daling en structurele stagnatie en daling </w:t>
      </w:r>
      <w:r w:rsidR="00F57155">
        <w:rPr>
          <w:b/>
          <w:bCs/>
        </w:rPr>
        <w:t xml:space="preserve">van de </w:t>
      </w:r>
      <w:r w:rsidRPr="0014240C">
        <w:rPr>
          <w:b/>
          <w:bCs/>
        </w:rPr>
        <w:t>levensverwachting</w:t>
      </w:r>
    </w:p>
    <w:p w:rsidR="0044466C" w:rsidP="00DF1071" w:rsidRDefault="0044466C" w14:paraId="44B5E6AD" w14:textId="77777777">
      <w:pPr>
        <w:rPr>
          <w:b/>
          <w:bCs/>
        </w:rPr>
      </w:pPr>
    </w:p>
    <w:p w:rsidRPr="0044466C" w:rsidR="0044466C" w:rsidP="00DF1071" w:rsidRDefault="0044466C" w14:paraId="5AAD5118" w14:textId="7ABB0AD4">
      <w:pPr>
        <w:rPr>
          <w:u w:val="single"/>
        </w:rPr>
      </w:pPr>
      <w:r w:rsidRPr="0044466C">
        <w:rPr>
          <w:u w:val="single"/>
        </w:rPr>
        <w:t>Introductie</w:t>
      </w:r>
    </w:p>
    <w:p w:rsidR="0014240C" w:rsidP="00DF1071" w:rsidRDefault="0044466C" w14:paraId="6415E4B7" w14:textId="1F1E2880">
      <w:r w:rsidRPr="00322602">
        <w:t>Sinds 202</w:t>
      </w:r>
      <w:r>
        <w:t>6</w:t>
      </w:r>
      <w:r w:rsidRPr="00322602">
        <w:t xml:space="preserve"> is de AOW-gerechtigde leeftijd voor 2/3</w:t>
      </w:r>
      <w:r w:rsidRPr="00322602">
        <w:rPr>
          <w:vertAlign w:val="superscript"/>
        </w:rPr>
        <w:t>e</w:t>
      </w:r>
      <w:r w:rsidRPr="00322602">
        <w:t xml:space="preserve"> gekoppeld aan de prognose van de macro gemiddelde resterende levensverwachting op 65-jarige leeftijd. Het CBS verwacht dat er op lange termijn sprake is van een gematigde groei van de levensverwachting</w:t>
      </w:r>
      <w:r w:rsidRPr="00322602">
        <w:rPr>
          <w:rStyle w:val="Voetnootmarkering"/>
        </w:rPr>
        <w:footnoteReference w:id="1"/>
      </w:r>
      <w:r w:rsidRPr="00322602">
        <w:t>. De wettelijke systematiek voorziet in een opwaartse koppeling in stappen van drie maanden als de levensverwachting met minstens 4,5 maand toeneemt. De langetermijntrend en de 2/3</w:t>
      </w:r>
      <w:r w:rsidRPr="00322602">
        <w:rPr>
          <w:vertAlign w:val="superscript"/>
        </w:rPr>
        <w:t>e</w:t>
      </w:r>
      <w:r w:rsidRPr="00322602">
        <w:t xml:space="preserve"> koppeling dempen schommelingen van jaar tot jaar. </w:t>
      </w:r>
      <w:r>
        <w:t>D</w:t>
      </w:r>
      <w:r w:rsidRPr="0044466C">
        <w:t>e AOW</w:t>
      </w:r>
      <w:r>
        <w:t>-</w:t>
      </w:r>
      <w:r w:rsidRPr="0044466C">
        <w:t>gerechtigde leeftijd wordt telkens vijf jaar van tevoren aangekondigd.</w:t>
      </w:r>
    </w:p>
    <w:p w:rsidR="00F57155" w:rsidP="00DF1071" w:rsidRDefault="00F57155" w14:paraId="547DACEE" w14:textId="77777777"/>
    <w:p w:rsidR="00F57155" w:rsidP="00F57155" w:rsidRDefault="00F57155" w14:paraId="00C3282F" w14:textId="77777777">
      <w:r w:rsidRPr="00322602">
        <w:t xml:space="preserve">De </w:t>
      </w:r>
      <w:r>
        <w:t xml:space="preserve">huidige </w:t>
      </w:r>
      <w:r w:rsidRPr="00322602">
        <w:t xml:space="preserve">wettelijke systematiek voorziet niet in een daling van de AOW-gerechtigde leeftijd. Bij een gelijkblijvende of negatieve ontwikkeling van de levensverwachting blijft de AOW-gerechtigde leeftijd gelijk. </w:t>
      </w:r>
      <w:r>
        <w:t xml:space="preserve">In de scenario’s is </w:t>
      </w:r>
      <w:r w:rsidRPr="00322602">
        <w:t xml:space="preserve">de huidige systematiek </w:t>
      </w:r>
      <w:r>
        <w:t xml:space="preserve">vergeleken </w:t>
      </w:r>
      <w:r w:rsidRPr="00322602">
        <w:t xml:space="preserve">met </w:t>
      </w:r>
      <w:r>
        <w:t>de</w:t>
      </w:r>
      <w:r w:rsidRPr="00322602">
        <w:t xml:space="preserve"> variant waarbij de AOW-gerechtigde leeftijd spiegelbeeldig ook kan dalen. In een eerdere Kamerbrief</w:t>
      </w:r>
      <w:r w:rsidRPr="00322602">
        <w:rPr>
          <w:rStyle w:val="Voetnootmarkering"/>
        </w:rPr>
        <w:footnoteReference w:id="2"/>
      </w:r>
      <w:r w:rsidRPr="00322602">
        <w:t xml:space="preserve"> is geschetst hoe een gespiegelde systematiek er mogelijk uit kan zien. Deze variant zou dezelfde drempelwaarde hebben als de huidige opwaartse koppeling. Bij een daling van de prognose levensverwachting van 4,5 maand of meer, zou de AOW-gerechtigde leeftijd in die variant dalen met drie maanden. </w:t>
      </w:r>
    </w:p>
    <w:p w:rsidRPr="0044466C" w:rsidR="00F57155" w:rsidP="00DF1071" w:rsidRDefault="00F57155" w14:paraId="240C23B9" w14:textId="77777777"/>
    <w:p w:rsidRPr="00322602" w:rsidR="00DF1071" w:rsidP="00DF1071" w:rsidRDefault="00DF1071" w14:paraId="3736DDEB" w14:textId="003F618D">
      <w:pPr>
        <w:rPr>
          <w:u w:val="single"/>
        </w:rPr>
      </w:pPr>
      <w:r w:rsidRPr="00322602">
        <w:rPr>
          <w:u w:val="single"/>
        </w:rPr>
        <w:t xml:space="preserve">Scenario </w:t>
      </w:r>
      <w:r w:rsidR="0014240C">
        <w:rPr>
          <w:u w:val="single"/>
        </w:rPr>
        <w:t xml:space="preserve">1: </w:t>
      </w:r>
      <w:r w:rsidRPr="00322602">
        <w:rPr>
          <w:u w:val="single"/>
        </w:rPr>
        <w:t>kortstondige daling levensverwachting</w:t>
      </w:r>
    </w:p>
    <w:p w:rsidRPr="00322602" w:rsidR="00DF1071" w:rsidP="00DF1071" w:rsidRDefault="00DF1071" w14:paraId="4EEC61B4" w14:textId="77777777">
      <w:r w:rsidRPr="00322602">
        <w:t>De hogere sterfte tijdens de coronapandemie zorgde voor een tijdelijke daling van de levensverwachting. Ook de prognose levensverwachting voor 65-jarigen voor aanpassingsjaar 2029 en 2030 lag lager dan in 2028. De AOW-gerechtigde leeftijd voor 2028 was een jaar eerder op basis van de levensverwachting juist verhoogd. De prognoses voor 2029 en 2030 impliceerden dat de AOW-gerechtigde leeftijd nog niet verhoogd had hoeven worden. De tijdelijk lagere levensverwachting leidde niet tot een herziening of daling van de AOW-gerechtigde leeftijd. Dit leidde in 2023 en 2024 tot vragen over de werking van de systematiek.</w:t>
      </w:r>
    </w:p>
    <w:p w:rsidRPr="00322602" w:rsidR="00DF1071" w:rsidP="00DF1071" w:rsidRDefault="00DF1071" w14:paraId="5D6D19D2" w14:textId="77777777"/>
    <w:p w:rsidRPr="00322602" w:rsidR="00DF1071" w:rsidP="00DF1071" w:rsidRDefault="00DF1071" w14:paraId="3D84688D" w14:textId="77777777">
      <w:pPr>
        <w:rPr>
          <w:b/>
          <w:bCs/>
          <w:i/>
          <w:iCs/>
        </w:rPr>
      </w:pPr>
      <w:r w:rsidRPr="00322602">
        <w:rPr>
          <w:i/>
          <w:iCs/>
        </w:rPr>
        <w:t>Tabel 1: Ontwikkeling levensverwachting en AOW-gerechtigde leeftijd 2026-2031</w:t>
      </w:r>
      <w:r w:rsidRPr="00322602">
        <w:rPr>
          <w:rStyle w:val="Voetnootmarkering"/>
        </w:rPr>
        <w:footnoteReference w:id="3"/>
      </w:r>
    </w:p>
    <w:tbl>
      <w:tblPr>
        <w:tblStyle w:val="Tabelraster"/>
        <w:tblW w:w="7531" w:type="dxa"/>
        <w:tblLook w:val="04A0" w:firstRow="1" w:lastRow="0" w:firstColumn="1" w:lastColumn="0" w:noHBand="0" w:noVBand="1"/>
      </w:tblPr>
      <w:tblGrid>
        <w:gridCol w:w="680"/>
        <w:gridCol w:w="1583"/>
        <w:gridCol w:w="1134"/>
        <w:gridCol w:w="2657"/>
        <w:gridCol w:w="1477"/>
      </w:tblGrid>
      <w:tr w:rsidRPr="00322602" w:rsidR="00DF1071" w:rsidTr="00310643" w14:paraId="443B2D67" w14:textId="77777777">
        <w:tc>
          <w:tcPr>
            <w:tcW w:w="680" w:type="dxa"/>
          </w:tcPr>
          <w:p w:rsidRPr="00322602" w:rsidR="00DF1071" w:rsidP="00310643" w:rsidRDefault="00DF1071" w14:paraId="1BABCC35" w14:textId="77777777">
            <w:r w:rsidRPr="00322602">
              <w:t>Jaar</w:t>
            </w:r>
          </w:p>
        </w:tc>
        <w:tc>
          <w:tcPr>
            <w:tcW w:w="1583" w:type="dxa"/>
          </w:tcPr>
          <w:p w:rsidRPr="00322602" w:rsidR="00DF1071" w:rsidP="00310643" w:rsidRDefault="00DF1071" w14:paraId="28C5BEB5" w14:textId="77777777">
            <w:r w:rsidRPr="00322602">
              <w:t>Prog. levens-verwachting 65-jarigen</w:t>
            </w:r>
          </w:p>
        </w:tc>
        <w:tc>
          <w:tcPr>
            <w:tcW w:w="1134" w:type="dxa"/>
          </w:tcPr>
          <w:p w:rsidRPr="00322602" w:rsidR="00DF1071" w:rsidP="00310643" w:rsidRDefault="00DF1071" w14:paraId="4531FB19" w14:textId="77777777">
            <w:r w:rsidRPr="00322602">
              <w:t>Wettelijke formule</w:t>
            </w:r>
          </w:p>
        </w:tc>
        <w:tc>
          <w:tcPr>
            <w:tcW w:w="2657" w:type="dxa"/>
          </w:tcPr>
          <w:p w:rsidRPr="00322602" w:rsidR="00DF1071" w:rsidP="00310643" w:rsidRDefault="00DF1071" w14:paraId="297AC3A7" w14:textId="77777777">
            <w:r w:rsidRPr="00322602">
              <w:t xml:space="preserve">Gevolg wettelijke systematiek  </w:t>
            </w:r>
          </w:p>
        </w:tc>
        <w:tc>
          <w:tcPr>
            <w:tcW w:w="1477" w:type="dxa"/>
          </w:tcPr>
          <w:p w:rsidRPr="00322602" w:rsidR="00DF1071" w:rsidP="00310643" w:rsidRDefault="00DF1071" w14:paraId="65B0A1C7" w14:textId="77777777">
            <w:r w:rsidRPr="00322602">
              <w:t>AOW-leeftijd aanpassings-jaar</w:t>
            </w:r>
          </w:p>
        </w:tc>
      </w:tr>
      <w:tr w:rsidRPr="00322602" w:rsidR="00DF1071" w:rsidTr="00310643" w14:paraId="3394DF43" w14:textId="77777777">
        <w:tc>
          <w:tcPr>
            <w:tcW w:w="680" w:type="dxa"/>
          </w:tcPr>
          <w:p w:rsidRPr="00322602" w:rsidR="00DF1071" w:rsidP="00310643" w:rsidRDefault="00DF1071" w14:paraId="2D49A7A7" w14:textId="77777777">
            <w:r w:rsidRPr="00322602">
              <w:t>2026</w:t>
            </w:r>
          </w:p>
        </w:tc>
        <w:tc>
          <w:tcPr>
            <w:tcW w:w="1583" w:type="dxa"/>
          </w:tcPr>
          <w:p w:rsidRPr="00322602" w:rsidR="00DF1071" w:rsidP="00310643" w:rsidRDefault="00DF1071" w14:paraId="7DB18655" w14:textId="77777777">
            <w:pPr>
              <w:jc w:val="right"/>
            </w:pPr>
            <w:r w:rsidRPr="00322602">
              <w:t>20,82</w:t>
            </w:r>
          </w:p>
        </w:tc>
        <w:tc>
          <w:tcPr>
            <w:tcW w:w="1134" w:type="dxa"/>
          </w:tcPr>
          <w:p w:rsidRPr="00322602" w:rsidR="00DF1071" w:rsidP="00310643" w:rsidRDefault="00DF1071" w14:paraId="1E7B74D3" w14:textId="77777777">
            <w:pPr>
              <w:jc w:val="right"/>
            </w:pPr>
            <w:r w:rsidRPr="00322602">
              <w:t>0,1200</w:t>
            </w:r>
          </w:p>
        </w:tc>
        <w:tc>
          <w:tcPr>
            <w:tcW w:w="2657" w:type="dxa"/>
          </w:tcPr>
          <w:p w:rsidRPr="00322602" w:rsidR="00DF1071" w:rsidP="00310643" w:rsidRDefault="00DF1071" w14:paraId="013D8591" w14:textId="77777777">
            <w:r w:rsidRPr="00322602">
              <w:t>Geen aanpassing</w:t>
            </w:r>
          </w:p>
        </w:tc>
        <w:tc>
          <w:tcPr>
            <w:tcW w:w="1477" w:type="dxa"/>
          </w:tcPr>
          <w:p w:rsidRPr="00322602" w:rsidR="00DF1071" w:rsidP="00310643" w:rsidRDefault="00DF1071" w14:paraId="3039C705" w14:textId="77777777">
            <w:r w:rsidRPr="00322602">
              <w:t xml:space="preserve">67 </w:t>
            </w:r>
          </w:p>
        </w:tc>
      </w:tr>
      <w:tr w:rsidRPr="00322602" w:rsidR="00DF1071" w:rsidTr="00310643" w14:paraId="6ADB67F9" w14:textId="77777777">
        <w:tc>
          <w:tcPr>
            <w:tcW w:w="680" w:type="dxa"/>
          </w:tcPr>
          <w:p w:rsidRPr="00322602" w:rsidR="00DF1071" w:rsidP="00310643" w:rsidRDefault="00DF1071" w14:paraId="7145E783" w14:textId="77777777">
            <w:r w:rsidRPr="00322602">
              <w:t>2027</w:t>
            </w:r>
          </w:p>
        </w:tc>
        <w:tc>
          <w:tcPr>
            <w:tcW w:w="1583" w:type="dxa"/>
          </w:tcPr>
          <w:p w:rsidRPr="00322602" w:rsidR="00DF1071" w:rsidP="00310643" w:rsidRDefault="00DF1071" w14:paraId="21CF90CE" w14:textId="77777777">
            <w:pPr>
              <w:jc w:val="right"/>
            </w:pPr>
            <w:r w:rsidRPr="00322602">
              <w:t>20,93</w:t>
            </w:r>
          </w:p>
        </w:tc>
        <w:tc>
          <w:tcPr>
            <w:tcW w:w="1134" w:type="dxa"/>
          </w:tcPr>
          <w:p w:rsidRPr="00322602" w:rsidR="00DF1071" w:rsidP="00310643" w:rsidRDefault="00DF1071" w14:paraId="32F2E29D" w14:textId="77777777">
            <w:pPr>
              <w:jc w:val="right"/>
            </w:pPr>
            <w:r w:rsidRPr="00322602">
              <w:t>0,1933</w:t>
            </w:r>
          </w:p>
        </w:tc>
        <w:tc>
          <w:tcPr>
            <w:tcW w:w="2657" w:type="dxa"/>
          </w:tcPr>
          <w:p w:rsidRPr="00322602" w:rsidR="00DF1071" w:rsidP="00310643" w:rsidRDefault="00DF1071" w14:paraId="2AEC6838" w14:textId="77777777">
            <w:r w:rsidRPr="00322602">
              <w:t>Geen aanpassing</w:t>
            </w:r>
          </w:p>
        </w:tc>
        <w:tc>
          <w:tcPr>
            <w:tcW w:w="1477" w:type="dxa"/>
          </w:tcPr>
          <w:p w:rsidRPr="00322602" w:rsidR="00DF1071" w:rsidP="00310643" w:rsidRDefault="00DF1071" w14:paraId="4A66F540" w14:textId="77777777">
            <w:r w:rsidRPr="00322602">
              <w:t xml:space="preserve">67 </w:t>
            </w:r>
          </w:p>
        </w:tc>
      </w:tr>
      <w:tr w:rsidRPr="00322602" w:rsidR="00DF1071" w:rsidTr="00310643" w14:paraId="23E2AF37" w14:textId="77777777">
        <w:tc>
          <w:tcPr>
            <w:tcW w:w="680" w:type="dxa"/>
          </w:tcPr>
          <w:p w:rsidRPr="00322602" w:rsidR="00DF1071" w:rsidP="00310643" w:rsidRDefault="00DF1071" w14:paraId="7E309F7C" w14:textId="77777777">
            <w:r w:rsidRPr="00322602">
              <w:t>2028</w:t>
            </w:r>
          </w:p>
        </w:tc>
        <w:tc>
          <w:tcPr>
            <w:tcW w:w="1583" w:type="dxa"/>
          </w:tcPr>
          <w:p w:rsidRPr="00322602" w:rsidR="00DF1071" w:rsidP="00310643" w:rsidRDefault="00DF1071" w14:paraId="2A6344C5" w14:textId="77777777">
            <w:pPr>
              <w:jc w:val="right"/>
            </w:pPr>
            <w:r w:rsidRPr="00322602">
              <w:t>21,05</w:t>
            </w:r>
          </w:p>
        </w:tc>
        <w:tc>
          <w:tcPr>
            <w:tcW w:w="1134" w:type="dxa"/>
          </w:tcPr>
          <w:p w:rsidRPr="00322602" w:rsidR="00DF1071" w:rsidP="00310643" w:rsidRDefault="00DF1071" w14:paraId="3D52029F" w14:textId="77777777">
            <w:pPr>
              <w:jc w:val="right"/>
            </w:pPr>
            <w:r w:rsidRPr="00322602">
              <w:t>0,2733</w:t>
            </w:r>
          </w:p>
        </w:tc>
        <w:tc>
          <w:tcPr>
            <w:tcW w:w="2657" w:type="dxa"/>
          </w:tcPr>
          <w:p w:rsidRPr="00322602" w:rsidR="00DF1071" w:rsidDel="00B812F6" w:rsidP="00310643" w:rsidRDefault="00DF1071" w14:paraId="0E3B6B6D" w14:textId="77777777">
            <w:r w:rsidRPr="00322602">
              <w:t xml:space="preserve">Verhogen </w:t>
            </w:r>
          </w:p>
        </w:tc>
        <w:tc>
          <w:tcPr>
            <w:tcW w:w="1477" w:type="dxa"/>
          </w:tcPr>
          <w:p w:rsidRPr="00322602" w:rsidR="00DF1071" w:rsidP="00310643" w:rsidRDefault="00DF1071" w14:paraId="1894EA06" w14:textId="77777777">
            <w:r w:rsidRPr="00322602">
              <w:t>67 en 3 mnd</w:t>
            </w:r>
          </w:p>
        </w:tc>
      </w:tr>
      <w:tr w:rsidRPr="00322602" w:rsidR="00DF1071" w:rsidTr="00310643" w14:paraId="05DCA3F8" w14:textId="77777777">
        <w:tc>
          <w:tcPr>
            <w:tcW w:w="680" w:type="dxa"/>
          </w:tcPr>
          <w:p w:rsidRPr="00322602" w:rsidR="00DF1071" w:rsidP="00310643" w:rsidRDefault="00DF1071" w14:paraId="4A688BF3" w14:textId="77777777">
            <w:r w:rsidRPr="00322602">
              <w:t>2029</w:t>
            </w:r>
          </w:p>
        </w:tc>
        <w:tc>
          <w:tcPr>
            <w:tcW w:w="1583" w:type="dxa"/>
          </w:tcPr>
          <w:p w:rsidRPr="00322602" w:rsidR="00DF1071" w:rsidP="00310643" w:rsidRDefault="00DF1071" w14:paraId="27CDC13F" w14:textId="77777777">
            <w:pPr>
              <w:jc w:val="right"/>
            </w:pPr>
            <w:r w:rsidRPr="00322602">
              <w:t>20,89</w:t>
            </w:r>
          </w:p>
        </w:tc>
        <w:tc>
          <w:tcPr>
            <w:tcW w:w="1134" w:type="dxa"/>
          </w:tcPr>
          <w:p w:rsidRPr="00322602" w:rsidR="00DF1071" w:rsidP="00310643" w:rsidRDefault="00DF1071" w14:paraId="1B7B4ACE" w14:textId="77777777">
            <w:pPr>
              <w:jc w:val="right"/>
            </w:pPr>
            <w:r w:rsidRPr="00322602">
              <w:t>-0,0833</w:t>
            </w:r>
          </w:p>
        </w:tc>
        <w:tc>
          <w:tcPr>
            <w:tcW w:w="2657" w:type="dxa"/>
          </w:tcPr>
          <w:p w:rsidRPr="00322602" w:rsidR="00DF1071" w:rsidP="00310643" w:rsidRDefault="00DF1071" w14:paraId="63F18E29" w14:textId="77777777">
            <w:r w:rsidRPr="00322602">
              <w:t>Negatief, geen aanpassing</w:t>
            </w:r>
          </w:p>
        </w:tc>
        <w:tc>
          <w:tcPr>
            <w:tcW w:w="1477" w:type="dxa"/>
          </w:tcPr>
          <w:p w:rsidRPr="00322602" w:rsidR="00DF1071" w:rsidP="00310643" w:rsidRDefault="00DF1071" w14:paraId="44E7A61E" w14:textId="77777777">
            <w:r w:rsidRPr="00322602">
              <w:t>67 en 3 mnd</w:t>
            </w:r>
          </w:p>
        </w:tc>
      </w:tr>
      <w:tr w:rsidRPr="00322602" w:rsidR="00DF1071" w:rsidTr="00310643" w14:paraId="665084E0" w14:textId="77777777">
        <w:tc>
          <w:tcPr>
            <w:tcW w:w="680" w:type="dxa"/>
          </w:tcPr>
          <w:p w:rsidRPr="00322602" w:rsidR="00DF1071" w:rsidP="00310643" w:rsidRDefault="00DF1071" w14:paraId="7C8B171D" w14:textId="77777777">
            <w:r w:rsidRPr="00322602">
              <w:t>2030</w:t>
            </w:r>
          </w:p>
        </w:tc>
        <w:tc>
          <w:tcPr>
            <w:tcW w:w="1583" w:type="dxa"/>
          </w:tcPr>
          <w:p w:rsidRPr="00322602" w:rsidR="00DF1071" w:rsidP="00310643" w:rsidRDefault="00DF1071" w14:paraId="7F02B24F" w14:textId="77777777">
            <w:pPr>
              <w:jc w:val="right"/>
            </w:pPr>
            <w:r w:rsidRPr="00322602">
              <w:t>20,96</w:t>
            </w:r>
          </w:p>
        </w:tc>
        <w:tc>
          <w:tcPr>
            <w:tcW w:w="1134" w:type="dxa"/>
          </w:tcPr>
          <w:p w:rsidRPr="00322602" w:rsidR="00DF1071" w:rsidP="00310643" w:rsidRDefault="00DF1071" w14:paraId="257F8DCB" w14:textId="77777777">
            <w:pPr>
              <w:jc w:val="right"/>
            </w:pPr>
            <w:r w:rsidRPr="00322602">
              <w:t>-0,0367</w:t>
            </w:r>
          </w:p>
        </w:tc>
        <w:tc>
          <w:tcPr>
            <w:tcW w:w="2657" w:type="dxa"/>
          </w:tcPr>
          <w:p w:rsidRPr="00322602" w:rsidR="00DF1071" w:rsidP="00310643" w:rsidRDefault="00DF1071" w14:paraId="296F596C" w14:textId="77777777">
            <w:r w:rsidRPr="00322602">
              <w:t>Negatief, geen aanpassing</w:t>
            </w:r>
          </w:p>
        </w:tc>
        <w:tc>
          <w:tcPr>
            <w:tcW w:w="1477" w:type="dxa"/>
          </w:tcPr>
          <w:p w:rsidRPr="00322602" w:rsidR="00DF1071" w:rsidP="00310643" w:rsidRDefault="00DF1071" w14:paraId="2FC65250" w14:textId="77777777">
            <w:r w:rsidRPr="00322602">
              <w:t>67 en 3 mnd</w:t>
            </w:r>
          </w:p>
        </w:tc>
      </w:tr>
      <w:tr w:rsidRPr="00322602" w:rsidR="00DF1071" w:rsidTr="00310643" w14:paraId="082394E9" w14:textId="77777777">
        <w:tc>
          <w:tcPr>
            <w:tcW w:w="680" w:type="dxa"/>
          </w:tcPr>
          <w:p w:rsidRPr="00322602" w:rsidR="00DF1071" w:rsidP="00310643" w:rsidRDefault="00DF1071" w14:paraId="3A067FF5" w14:textId="77777777">
            <w:r w:rsidRPr="00322602">
              <w:t>2031</w:t>
            </w:r>
          </w:p>
        </w:tc>
        <w:tc>
          <w:tcPr>
            <w:tcW w:w="1583" w:type="dxa"/>
          </w:tcPr>
          <w:p w:rsidRPr="00322602" w:rsidR="00DF1071" w:rsidP="00310643" w:rsidRDefault="00DF1071" w14:paraId="2667BA24" w14:textId="77777777">
            <w:pPr>
              <w:jc w:val="right"/>
            </w:pPr>
            <w:r w:rsidRPr="00322602">
              <w:t>21,02</w:t>
            </w:r>
          </w:p>
        </w:tc>
        <w:tc>
          <w:tcPr>
            <w:tcW w:w="1134" w:type="dxa"/>
          </w:tcPr>
          <w:p w:rsidRPr="00322602" w:rsidR="00DF1071" w:rsidP="00310643" w:rsidRDefault="00DF1071" w14:paraId="745CAC46" w14:textId="77777777">
            <w:pPr>
              <w:jc w:val="right"/>
            </w:pPr>
            <w:r w:rsidRPr="00322602">
              <w:t>0,0033</w:t>
            </w:r>
          </w:p>
        </w:tc>
        <w:tc>
          <w:tcPr>
            <w:tcW w:w="2657" w:type="dxa"/>
          </w:tcPr>
          <w:p w:rsidRPr="00322602" w:rsidR="00DF1071" w:rsidDel="00B812F6" w:rsidP="00310643" w:rsidRDefault="00DF1071" w14:paraId="2249F849" w14:textId="77777777">
            <w:r w:rsidRPr="00322602">
              <w:t>Geen aanpassing</w:t>
            </w:r>
          </w:p>
        </w:tc>
        <w:tc>
          <w:tcPr>
            <w:tcW w:w="1477" w:type="dxa"/>
          </w:tcPr>
          <w:p w:rsidRPr="00322602" w:rsidR="00DF1071" w:rsidP="00310643" w:rsidRDefault="00DF1071" w14:paraId="0AC6CFEE" w14:textId="77777777">
            <w:r w:rsidRPr="00322602">
              <w:t>67 en 3 mnd</w:t>
            </w:r>
          </w:p>
        </w:tc>
      </w:tr>
    </w:tbl>
    <w:p w:rsidRPr="00322602" w:rsidR="00DF1071" w:rsidP="00DF1071" w:rsidRDefault="00DF1071" w14:paraId="58147201" w14:textId="77777777"/>
    <w:p w:rsidRPr="00322602" w:rsidR="00DF1071" w:rsidP="00DF1071" w:rsidRDefault="00DF1071" w14:paraId="23667585" w14:textId="77777777"/>
    <w:p w:rsidRPr="00322602" w:rsidR="00DF1071" w:rsidP="00DF1071" w:rsidRDefault="00DF1071" w14:paraId="2CB72B09" w14:textId="11546273">
      <w:r w:rsidRPr="00322602">
        <w:t xml:space="preserve">Tabel 1 toont de ontwikkeling van de </w:t>
      </w:r>
      <w:r w:rsidR="00377776">
        <w:t xml:space="preserve">prognose </w:t>
      </w:r>
      <w:r w:rsidRPr="00322602">
        <w:t xml:space="preserve">levensverwachting </w:t>
      </w:r>
      <w:r w:rsidR="00377776">
        <w:t xml:space="preserve">(vijf jaar vooraf) </w:t>
      </w:r>
      <w:r w:rsidRPr="00322602">
        <w:t>en de AOW-gerechtigde leeftijd sinds de koppeling aan de levensverwachting. De prognose levensverwachting was voor 2029 en 2030 lager dan in 2028. Als de AOW-gerechtigde leeftijd spiegelbeeldig kon dalen, had dit echter niet tot verlaging van de AOW-gerechtigde leeftijd geleid. De uitkomst van de wettelijke formule was weliswaar negatief, maar bleef onder de drempelwaarde van 0,25</w:t>
      </w:r>
      <w:r w:rsidRPr="00322602">
        <w:rPr>
          <w:rStyle w:val="Voetnootmarkering"/>
        </w:rPr>
        <w:footnoteReference w:id="4"/>
      </w:r>
      <w:r w:rsidRPr="00322602">
        <w:t>. Kortom: beide koppelingen—de huidige en gespiegelde variant—hadden in de coronajaren dezelfde uitkomst voor de AOW-gerechtigde leeftijd gegeven.</w:t>
      </w:r>
    </w:p>
    <w:p w:rsidRPr="00322602" w:rsidR="00DF1071" w:rsidP="00DF1071" w:rsidRDefault="00DF1071" w14:paraId="09FAC932" w14:textId="77777777"/>
    <w:p w:rsidR="0060051B" w:rsidP="00DF1071" w:rsidRDefault="00DF1071" w14:paraId="195DFB6F" w14:textId="77777777">
      <w:pPr>
        <w:rPr>
          <w:rFonts w:cs="Calibri" w:eastAsiaTheme="minorHAnsi"/>
          <w:color w:val="1F497D"/>
          <w:lang w:eastAsia="en-US"/>
        </w:rPr>
      </w:pPr>
      <w:r w:rsidRPr="00322602" w:rsidDel="00E5015F">
        <w:t xml:space="preserve">Bij een gespiegelde koppeling moet de levensverwachting </w:t>
      </w:r>
      <w:r w:rsidRPr="00322602">
        <w:t>ruim</w:t>
      </w:r>
      <w:r w:rsidRPr="00322602" w:rsidDel="00E5015F">
        <w:t xml:space="preserve"> </w:t>
      </w:r>
      <w:r w:rsidRPr="00322602">
        <w:t>2,5</w:t>
      </w:r>
      <w:r w:rsidRPr="00322602" w:rsidDel="00E5015F">
        <w:t xml:space="preserve"> </w:t>
      </w:r>
      <w:r w:rsidRPr="00322602">
        <w:t>keer harder</w:t>
      </w:r>
      <w:r w:rsidRPr="00322602" w:rsidDel="00E5015F">
        <w:t xml:space="preserve"> dalen </w:t>
      </w:r>
      <w:r w:rsidRPr="00322602">
        <w:t>dan</w:t>
      </w:r>
      <w:r w:rsidRPr="00322602" w:rsidDel="00E5015F">
        <w:t xml:space="preserve"> </w:t>
      </w:r>
      <w:r w:rsidRPr="00322602">
        <w:t>in</w:t>
      </w:r>
      <w:r w:rsidRPr="00322602" w:rsidDel="00E5015F">
        <w:t xml:space="preserve"> de </w:t>
      </w:r>
      <w:r w:rsidRPr="00322602">
        <w:t>coronajaren</w:t>
      </w:r>
      <w:r w:rsidRPr="00322602" w:rsidDel="00E5015F">
        <w:t xml:space="preserve"> voor een verlaging van de AOW-gerechtigde leeftijd. Dit zou een omvangrijke en langdurige crisis betekenen, veel ernstiger dan de coronapandemie.</w:t>
      </w:r>
      <w:r w:rsidRPr="00322602">
        <w:rPr>
          <w:rFonts w:cs="Calibri" w:eastAsiaTheme="minorHAnsi"/>
          <w:color w:val="1F497D"/>
          <w:lang w:eastAsia="en-US"/>
        </w:rPr>
        <w:t xml:space="preserve"> </w:t>
      </w:r>
    </w:p>
    <w:p w:rsidRPr="00322602" w:rsidR="00DF1071" w:rsidP="00DF1071" w:rsidRDefault="00DF1071" w14:paraId="75053D3B" w14:textId="54494161">
      <w:r w:rsidRPr="00322602">
        <w:lastRenderedPageBreak/>
        <w:t xml:space="preserve">In een dergelijke situatie is maatwerk passender. De aankondigingstermijn van vijf jaar in de huidige systematiek biedt voldoende ruimte om een verhoging van de AOW-gerechtigde leeftijd in uitzonderlijke gevallen te corrigeren. Welke vorm het beste past, zal op het moment zelf moeten worden bepaald. </w:t>
      </w:r>
      <w:r w:rsidRPr="00322602" w:rsidDel="00E5015F">
        <w:t xml:space="preserve">Dit scenario rechtvaardigt </w:t>
      </w:r>
      <w:r w:rsidRPr="00322602">
        <w:t>wat mij betreft</w:t>
      </w:r>
      <w:r w:rsidRPr="00322602" w:rsidDel="00E5015F">
        <w:t xml:space="preserve"> geen wijziging van de wettelijke systematiek in het nu.</w:t>
      </w:r>
      <w:r w:rsidR="00222B1C">
        <w:t xml:space="preserve"> Het kan bovendien </w:t>
      </w:r>
      <w:r w:rsidRPr="00322602" w:rsidR="00222B1C">
        <w:t xml:space="preserve">zorgen voor een budgettair risico </w:t>
      </w:r>
      <w:r w:rsidR="00222B1C">
        <w:t>dat—gelet op de maatschappelijke situatie in dit scenario—in een</w:t>
      </w:r>
      <w:r w:rsidRPr="00322602" w:rsidR="00222B1C">
        <w:t xml:space="preserve"> onzekere tijden tot uiting </w:t>
      </w:r>
      <w:r w:rsidR="00222B1C">
        <w:t>kan komen</w:t>
      </w:r>
      <w:r w:rsidRPr="00322602" w:rsidR="00222B1C">
        <w:t xml:space="preserve">. </w:t>
      </w:r>
    </w:p>
    <w:p w:rsidRPr="00322602" w:rsidR="00DF1071" w:rsidP="00DF1071" w:rsidRDefault="00DF1071" w14:paraId="650AF7DE" w14:textId="77777777"/>
    <w:p w:rsidRPr="00322602" w:rsidR="00DF1071" w:rsidP="00DF1071" w:rsidRDefault="00DF1071" w14:paraId="70D3EE2A" w14:textId="520E91C2">
      <w:r w:rsidRPr="00322602">
        <w:t>Ondanks de grote maatschappelijke impact van de coronapandemie op de samenleving, was het effect op de levensverwachting beperkt. Binnen enkele jaren herstelde de levensverwachting zich naar het niveau van voor de coronapandemie. Vanaf 2031 komt de AOW-gerechtigde leeftijd weer overeen met de prognose levensverwachting voor dat jaar</w:t>
      </w:r>
      <w:r w:rsidRPr="00322602">
        <w:rPr>
          <w:rStyle w:val="Voetnootmarkering"/>
        </w:rPr>
        <w:footnoteReference w:id="5"/>
      </w:r>
      <w:r w:rsidRPr="00322602">
        <w:t>. Het CBS veronderstelt dat de directe effecten van corona op de sterfte goeddeels zijn uitgewerkt. De minder snelle stijging van de levensverwachting lijkt nu vooral het gevolg van een langjarige trend</w:t>
      </w:r>
      <w:r w:rsidR="00F57155">
        <w:t>.</w:t>
      </w:r>
      <w:r w:rsidRPr="00322602">
        <w:t xml:space="preserve"> </w:t>
      </w:r>
    </w:p>
    <w:p w:rsidRPr="00322602" w:rsidR="00DF1071" w:rsidP="00DF1071" w:rsidRDefault="00DF1071" w14:paraId="0D64BE64" w14:textId="77777777"/>
    <w:p w:rsidRPr="00322602" w:rsidR="00DF1071" w:rsidP="00DF1071" w:rsidRDefault="00DF1071" w14:paraId="6CE8C2FD" w14:textId="55740282">
      <w:pPr>
        <w:rPr>
          <w:u w:val="single"/>
        </w:rPr>
      </w:pPr>
      <w:r w:rsidRPr="00322602">
        <w:rPr>
          <w:u w:val="single"/>
        </w:rPr>
        <w:t xml:space="preserve">Scenario </w:t>
      </w:r>
      <w:r w:rsidR="0014240C">
        <w:rPr>
          <w:u w:val="single"/>
        </w:rPr>
        <w:t xml:space="preserve">2: </w:t>
      </w:r>
      <w:r w:rsidRPr="00322602">
        <w:rPr>
          <w:u w:val="single"/>
        </w:rPr>
        <w:t xml:space="preserve">structurele stagnatie en daling van de levensverwachting </w:t>
      </w:r>
    </w:p>
    <w:p w:rsidRPr="00322602" w:rsidR="00DF1071" w:rsidP="00DF1071" w:rsidRDefault="00DF1071" w14:paraId="388D5ABF" w14:textId="77777777">
      <w:r w:rsidRPr="00322602">
        <w:t>De langetermijnontwikkeling van de levensverwachting kent twee ogenschijnlijk paradoxale trends. Als de cijfers van jaar tot jaar worden vergeleken blijft de levensverwachting stijgen. Tegelijkertijd worden de verwachtingen voor een bepaald jaar in nieuwe prognoses sinds 2010 vaker naar beneden bijgesteld dan daarvoor. Dit betekent dat de levensverwachting nog steeds stijgt, maar langzamer dan voorheen.</w:t>
      </w:r>
      <w:r w:rsidRPr="00322602" w:rsidDel="007C3B62">
        <w:t xml:space="preserve"> </w:t>
      </w:r>
      <w:r w:rsidRPr="00322602">
        <w:t xml:space="preserve">Het CBS verwerkt deze waarnemingen in de jaarlijkse prognoses en verbetert de modellen die daarin worden gebruikt. </w:t>
      </w:r>
    </w:p>
    <w:p w:rsidRPr="00322602" w:rsidR="00DF1071" w:rsidP="00DF1071" w:rsidRDefault="00DF1071" w14:paraId="21DF2E86" w14:textId="77777777"/>
    <w:p w:rsidRPr="00322602" w:rsidR="00DF1071" w:rsidP="00DF1071" w:rsidRDefault="00DF1071" w14:paraId="0A089C0E" w14:textId="77777777">
      <w:pPr>
        <w:rPr>
          <w:i/>
          <w:iCs/>
        </w:rPr>
      </w:pPr>
      <w:r w:rsidRPr="00322602">
        <w:rPr>
          <w:i/>
          <w:iCs/>
        </w:rPr>
        <w:t>Figuur 1: ontwikkeling levensverwachting sinds 1950</w:t>
      </w:r>
      <w:r w:rsidRPr="00322602">
        <w:rPr>
          <w:rStyle w:val="Voetnootmarkering"/>
        </w:rPr>
        <w:footnoteReference w:id="6"/>
      </w:r>
    </w:p>
    <w:p w:rsidRPr="00322602" w:rsidR="00DF1071" w:rsidP="00DF1071" w:rsidRDefault="00DF1071" w14:paraId="0757829B" w14:textId="77777777">
      <w:r w:rsidRPr="00322602">
        <w:rPr>
          <w:noProof/>
        </w:rPr>
        <w:drawing>
          <wp:inline distT="0" distB="0" distL="0" distR="0" wp14:anchorId="037B27D0" wp14:editId="35A3B878">
            <wp:extent cx="5270221" cy="3419475"/>
            <wp:effectExtent l="0" t="0" r="6985" b="0"/>
            <wp:docPr id="14217527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0871" b="2591"/>
                    <a:stretch/>
                  </pic:blipFill>
                  <pic:spPr bwMode="auto">
                    <a:xfrm>
                      <a:off x="0" y="0"/>
                      <a:ext cx="5709338" cy="3704387"/>
                    </a:xfrm>
                    <a:prstGeom prst="rect">
                      <a:avLst/>
                    </a:prstGeom>
                    <a:noFill/>
                    <a:ln>
                      <a:noFill/>
                    </a:ln>
                    <a:extLst>
                      <a:ext uri="{53640926-AAD7-44D8-BBD7-CCE9431645EC}">
                        <a14:shadowObscured xmlns:a14="http://schemas.microsoft.com/office/drawing/2010/main"/>
                      </a:ext>
                    </a:extLst>
                  </pic:spPr>
                </pic:pic>
              </a:graphicData>
            </a:graphic>
          </wp:inline>
        </w:drawing>
      </w:r>
    </w:p>
    <w:p w:rsidR="00F57155" w:rsidP="00DF1071" w:rsidRDefault="00F57155" w14:paraId="4B9D60A7" w14:textId="77777777"/>
    <w:p w:rsidRPr="00322602" w:rsidR="00DF1071" w:rsidP="00DF1071" w:rsidRDefault="00DF1071" w14:paraId="433A2CA8" w14:textId="64E8A20B">
      <w:pPr>
        <w:rPr>
          <w:i/>
          <w:iCs/>
        </w:rPr>
      </w:pPr>
      <w:r w:rsidRPr="00322602">
        <w:t>Figuur 1 toont een vertraging in de stijging van de levensverwachting vanaf ongeveer 2010. Het CBS geeft als mogelijke verklaring dat de gezondheidswinst van betere zorg en leefstijl afvlakt. Er is sprake van een stagnatie in de afname van sterfte aan belangrijke doodsoorzaken zoals hart- en vaatziekten en kanker. Daarnaast neemt sterfte door ouderdomsgerelateerde aandoeningen toe. Sociaaleconomische verschillen en hardnekkige leefstijlfactoren remmen verdere verbetering en medische technologie levert minder nieuwe doorbraken op dan vroeger. Toch is er nog steeds sprake van groei(potentie) omdat internationale vergelijkingen laten zien dat in Nederland de biologische grens voor de levensverwachting nog niet is bereikt.</w:t>
      </w:r>
      <w:r w:rsidRPr="00322602">
        <w:rPr>
          <w:i/>
          <w:iCs/>
        </w:rPr>
        <w:t xml:space="preserve"> </w:t>
      </w:r>
    </w:p>
    <w:p w:rsidRPr="00322602" w:rsidR="00DF1071" w:rsidP="00DF1071" w:rsidRDefault="00DF1071" w14:paraId="29CFF349" w14:textId="77777777">
      <w:pPr>
        <w:rPr>
          <w:i/>
          <w:iCs/>
        </w:rPr>
      </w:pPr>
    </w:p>
    <w:p w:rsidRPr="00322602" w:rsidR="00DF1071" w:rsidP="00DF1071" w:rsidRDefault="00DF1071" w14:paraId="29B51196" w14:textId="51ED6CCB">
      <w:pPr>
        <w:rPr>
          <w:i/>
          <w:iCs/>
          <w:color w:val="FF0000"/>
        </w:rPr>
      </w:pPr>
      <w:r w:rsidRPr="00322602">
        <w:rPr>
          <w:i/>
          <w:iCs/>
        </w:rPr>
        <w:t>Tabel 2: Langetermijnprognose levensverwachting 65-jarigen</w:t>
      </w:r>
      <w:r w:rsidRPr="00322602">
        <w:rPr>
          <w:rStyle w:val="Voetnootmarkering"/>
        </w:rPr>
        <w:footnoteReference w:id="7"/>
      </w:r>
      <w:r w:rsidRPr="00322602">
        <w:rPr>
          <w:i/>
          <w:iCs/>
        </w:rPr>
        <w:t xml:space="preserve"> </w:t>
      </w:r>
    </w:p>
    <w:tbl>
      <w:tblPr>
        <w:tblStyle w:val="Tabelraster"/>
        <w:tblW w:w="0" w:type="auto"/>
        <w:tblLook w:val="04A0" w:firstRow="1" w:lastRow="0" w:firstColumn="1" w:lastColumn="0" w:noHBand="0" w:noVBand="1"/>
      </w:tblPr>
      <w:tblGrid>
        <w:gridCol w:w="789"/>
        <w:gridCol w:w="1954"/>
        <w:gridCol w:w="1960"/>
      </w:tblGrid>
      <w:tr w:rsidRPr="00322602" w:rsidR="00DF1071" w:rsidTr="00310643" w14:paraId="22A6BAB2" w14:textId="77777777">
        <w:tc>
          <w:tcPr>
            <w:tcW w:w="789" w:type="dxa"/>
          </w:tcPr>
          <w:p w:rsidRPr="00322602" w:rsidR="00DF1071" w:rsidP="00310643" w:rsidRDefault="00DF1071" w14:paraId="227067B5" w14:textId="77777777">
            <w:r w:rsidRPr="00322602">
              <w:t>Jaar</w:t>
            </w:r>
          </w:p>
        </w:tc>
        <w:tc>
          <w:tcPr>
            <w:tcW w:w="1954" w:type="dxa"/>
          </w:tcPr>
          <w:p w:rsidRPr="00322602" w:rsidR="00DF1071" w:rsidP="00310643" w:rsidRDefault="00DF1071" w14:paraId="4D4757C8" w14:textId="77777777">
            <w:r w:rsidRPr="00322602">
              <w:t>Ondergrens 67%-</w:t>
            </w:r>
          </w:p>
          <w:p w:rsidRPr="00322602" w:rsidR="00DF1071" w:rsidP="00310643" w:rsidRDefault="00DF1071" w14:paraId="44FF6301" w14:textId="77777777">
            <w:r w:rsidRPr="00322602">
              <w:t>prognose interval</w:t>
            </w:r>
          </w:p>
        </w:tc>
        <w:tc>
          <w:tcPr>
            <w:tcW w:w="1960" w:type="dxa"/>
          </w:tcPr>
          <w:p w:rsidRPr="00322602" w:rsidR="00DF1071" w:rsidP="00310643" w:rsidRDefault="00DF1071" w14:paraId="148604EB" w14:textId="77777777">
            <w:r w:rsidRPr="00322602">
              <w:t>Bovengrens 67%-</w:t>
            </w:r>
          </w:p>
          <w:p w:rsidRPr="00322602" w:rsidR="00DF1071" w:rsidP="00310643" w:rsidRDefault="00DF1071" w14:paraId="74775FE5" w14:textId="77777777">
            <w:r w:rsidRPr="00322602">
              <w:t>prognose interval</w:t>
            </w:r>
          </w:p>
        </w:tc>
      </w:tr>
      <w:tr w:rsidRPr="00322602" w:rsidR="00377776" w:rsidTr="00310643" w14:paraId="5FA18854" w14:textId="77777777">
        <w:tc>
          <w:tcPr>
            <w:tcW w:w="789" w:type="dxa"/>
            <w:vAlign w:val="bottom"/>
          </w:tcPr>
          <w:p w:rsidRPr="00322602" w:rsidR="00377776" w:rsidP="00377776" w:rsidRDefault="00377776" w14:paraId="715504B8" w14:textId="3019B752">
            <w:r>
              <w:t>2025</w:t>
            </w:r>
          </w:p>
        </w:tc>
        <w:tc>
          <w:tcPr>
            <w:tcW w:w="1954" w:type="dxa"/>
            <w:vAlign w:val="bottom"/>
          </w:tcPr>
          <w:p w:rsidRPr="00322602" w:rsidR="00377776" w:rsidP="00377776" w:rsidRDefault="00377776" w14:paraId="65A300AD" w14:textId="7BB16FA8">
            <w:r w:rsidRPr="00377776">
              <w:t>19,81</w:t>
            </w:r>
          </w:p>
        </w:tc>
        <w:tc>
          <w:tcPr>
            <w:tcW w:w="1960" w:type="dxa"/>
            <w:vAlign w:val="bottom"/>
          </w:tcPr>
          <w:p w:rsidRPr="00322602" w:rsidR="00377776" w:rsidP="00377776" w:rsidRDefault="00377776" w14:paraId="395DD42D" w14:textId="12AB920B">
            <w:r w:rsidRPr="00377776">
              <w:t>20,41</w:t>
            </w:r>
          </w:p>
        </w:tc>
      </w:tr>
      <w:tr w:rsidRPr="00322602" w:rsidR="00377776" w:rsidTr="00310643" w14:paraId="7A9D3119" w14:textId="77777777">
        <w:tc>
          <w:tcPr>
            <w:tcW w:w="789" w:type="dxa"/>
            <w:vAlign w:val="bottom"/>
          </w:tcPr>
          <w:p w:rsidRPr="00322602" w:rsidR="00377776" w:rsidP="00377776" w:rsidRDefault="00377776" w14:paraId="52F7F161" w14:textId="77777777">
            <w:r w:rsidRPr="00322602">
              <w:t>2030</w:t>
            </w:r>
          </w:p>
        </w:tc>
        <w:tc>
          <w:tcPr>
            <w:tcW w:w="1954" w:type="dxa"/>
            <w:vAlign w:val="bottom"/>
          </w:tcPr>
          <w:p w:rsidRPr="00322602" w:rsidR="00377776" w:rsidP="00377776" w:rsidRDefault="00377776" w14:paraId="0CF4018A" w14:textId="50C6193E">
            <w:r w:rsidRPr="00377776">
              <w:t>20,15</w:t>
            </w:r>
          </w:p>
        </w:tc>
        <w:tc>
          <w:tcPr>
            <w:tcW w:w="1960" w:type="dxa"/>
            <w:vAlign w:val="bottom"/>
          </w:tcPr>
          <w:p w:rsidRPr="00322602" w:rsidR="00377776" w:rsidP="00377776" w:rsidRDefault="00377776" w14:paraId="07EBC2CF" w14:textId="0F374E0E">
            <w:r w:rsidRPr="00377776">
              <w:t>21,64</w:t>
            </w:r>
          </w:p>
        </w:tc>
      </w:tr>
      <w:tr w:rsidRPr="00322602" w:rsidR="00377776" w:rsidTr="00310643" w14:paraId="4145E7F3" w14:textId="77777777">
        <w:tc>
          <w:tcPr>
            <w:tcW w:w="789" w:type="dxa"/>
            <w:vAlign w:val="bottom"/>
          </w:tcPr>
          <w:p w:rsidRPr="00322602" w:rsidR="00377776" w:rsidP="00377776" w:rsidRDefault="00377776" w14:paraId="7B718B3B" w14:textId="77777777">
            <w:r w:rsidRPr="00322602">
              <w:t>2040</w:t>
            </w:r>
          </w:p>
        </w:tc>
        <w:tc>
          <w:tcPr>
            <w:tcW w:w="1954" w:type="dxa"/>
            <w:vAlign w:val="bottom"/>
          </w:tcPr>
          <w:p w:rsidRPr="00322602" w:rsidR="00377776" w:rsidP="00377776" w:rsidRDefault="00377776" w14:paraId="4DF76014" w14:textId="1AD55F99">
            <w:r w:rsidRPr="00377776">
              <w:t>20,88</w:t>
            </w:r>
          </w:p>
        </w:tc>
        <w:tc>
          <w:tcPr>
            <w:tcW w:w="1960" w:type="dxa"/>
            <w:vAlign w:val="bottom"/>
          </w:tcPr>
          <w:p w:rsidRPr="00322602" w:rsidR="00377776" w:rsidP="00377776" w:rsidRDefault="00377776" w14:paraId="262DACAB" w14:textId="3E655905">
            <w:r w:rsidRPr="00377776">
              <w:t>23,38</w:t>
            </w:r>
          </w:p>
        </w:tc>
      </w:tr>
      <w:tr w:rsidRPr="00322602" w:rsidR="00377776" w:rsidTr="00310643" w14:paraId="02AAC49C" w14:textId="77777777">
        <w:tc>
          <w:tcPr>
            <w:tcW w:w="789" w:type="dxa"/>
            <w:vAlign w:val="bottom"/>
          </w:tcPr>
          <w:p w:rsidRPr="00322602" w:rsidR="00377776" w:rsidP="00377776" w:rsidRDefault="00377776" w14:paraId="31E02839" w14:textId="77777777">
            <w:r w:rsidRPr="00322602">
              <w:t>2050</w:t>
            </w:r>
          </w:p>
        </w:tc>
        <w:tc>
          <w:tcPr>
            <w:tcW w:w="1954" w:type="dxa"/>
            <w:vAlign w:val="bottom"/>
          </w:tcPr>
          <w:p w:rsidRPr="00322602" w:rsidR="00377776" w:rsidP="00377776" w:rsidRDefault="00377776" w14:paraId="7F73EF77" w14:textId="2D227D0A">
            <w:r w:rsidRPr="00377776">
              <w:t>21,65</w:t>
            </w:r>
          </w:p>
        </w:tc>
        <w:tc>
          <w:tcPr>
            <w:tcW w:w="1960" w:type="dxa"/>
            <w:vAlign w:val="bottom"/>
          </w:tcPr>
          <w:p w:rsidRPr="00322602" w:rsidR="00377776" w:rsidP="00377776" w:rsidRDefault="00377776" w14:paraId="1DB6A37D" w14:textId="360E79FD">
            <w:r w:rsidRPr="00377776">
              <w:t>24,91</w:t>
            </w:r>
          </w:p>
        </w:tc>
      </w:tr>
      <w:tr w:rsidRPr="00322602" w:rsidR="00377776" w:rsidTr="00310643" w14:paraId="0D4F779C" w14:textId="77777777">
        <w:tc>
          <w:tcPr>
            <w:tcW w:w="789" w:type="dxa"/>
            <w:vAlign w:val="bottom"/>
          </w:tcPr>
          <w:p w:rsidRPr="00322602" w:rsidR="00377776" w:rsidP="00377776" w:rsidRDefault="00377776" w14:paraId="6C45521C" w14:textId="77777777">
            <w:r w:rsidRPr="00322602">
              <w:t>2060</w:t>
            </w:r>
          </w:p>
        </w:tc>
        <w:tc>
          <w:tcPr>
            <w:tcW w:w="1954" w:type="dxa"/>
            <w:vAlign w:val="bottom"/>
          </w:tcPr>
          <w:p w:rsidRPr="00322602" w:rsidR="00377776" w:rsidP="00377776" w:rsidRDefault="00377776" w14:paraId="3A6BFA47" w14:textId="6C4A1A6A">
            <w:r w:rsidRPr="00377776">
              <w:t>22,38</w:t>
            </w:r>
          </w:p>
        </w:tc>
        <w:tc>
          <w:tcPr>
            <w:tcW w:w="1960" w:type="dxa"/>
            <w:vAlign w:val="bottom"/>
          </w:tcPr>
          <w:p w:rsidRPr="00322602" w:rsidR="00377776" w:rsidP="00377776" w:rsidRDefault="00377776" w14:paraId="5B6D5B2B" w14:textId="5A82361D">
            <w:r w:rsidRPr="00377776">
              <w:t>26,29</w:t>
            </w:r>
          </w:p>
        </w:tc>
      </w:tr>
      <w:tr w:rsidRPr="00322602" w:rsidR="00377776" w:rsidTr="00310643" w14:paraId="17A9E593" w14:textId="77777777">
        <w:tc>
          <w:tcPr>
            <w:tcW w:w="789" w:type="dxa"/>
            <w:vAlign w:val="bottom"/>
          </w:tcPr>
          <w:p w:rsidRPr="00322602" w:rsidR="00377776" w:rsidP="00377776" w:rsidRDefault="00377776" w14:paraId="3CAC603B" w14:textId="77777777">
            <w:r w:rsidRPr="00322602">
              <w:t>2070</w:t>
            </w:r>
          </w:p>
        </w:tc>
        <w:tc>
          <w:tcPr>
            <w:tcW w:w="1954" w:type="dxa"/>
            <w:vAlign w:val="bottom"/>
          </w:tcPr>
          <w:p w:rsidRPr="00322602" w:rsidR="00377776" w:rsidP="00377776" w:rsidRDefault="00377776" w14:paraId="3BF498FE" w14:textId="7C64A793">
            <w:r w:rsidRPr="00377776">
              <w:t>23,06</w:t>
            </w:r>
          </w:p>
        </w:tc>
        <w:tc>
          <w:tcPr>
            <w:tcW w:w="1960" w:type="dxa"/>
            <w:vAlign w:val="bottom"/>
          </w:tcPr>
          <w:p w:rsidRPr="00322602" w:rsidR="00377776" w:rsidP="00377776" w:rsidRDefault="00377776" w14:paraId="319E0EC8" w14:textId="3CCC7AF8">
            <w:r w:rsidRPr="00377776">
              <w:t>27,55</w:t>
            </w:r>
          </w:p>
        </w:tc>
      </w:tr>
    </w:tbl>
    <w:p w:rsidR="00DF1071" w:rsidP="00DF1071" w:rsidRDefault="00DF1071" w14:paraId="6BD906DA" w14:textId="77777777"/>
    <w:p w:rsidRPr="00322602" w:rsidR="00DF1071" w:rsidP="00DF1071" w:rsidRDefault="00DF1071" w14:paraId="7FE8B9D9" w14:textId="77777777"/>
    <w:p w:rsidR="00F57155" w:rsidRDefault="00DF1071" w14:paraId="73D43819" w14:textId="20010E12">
      <w:r w:rsidRPr="00322602">
        <w:t xml:space="preserve">Tabel 2 toont de meest recente langetermijnprognose van het CBS </w:t>
      </w:r>
      <w:r w:rsidRPr="00377776">
        <w:rPr>
          <w:color w:val="auto"/>
        </w:rPr>
        <w:t xml:space="preserve">(december ’25). </w:t>
      </w:r>
      <w:r w:rsidRPr="00322602">
        <w:t>Er is geen consensus over een piek in de levensverwachting, maar dit wordt in elk geval niet verwacht binnen de huidige langetermijncijfers. Het CBS stelt dat de kortstondige daling tijdens de coronapandemie tijdelijk was en er geen structurele stagnatie of daling wordt voorzien. Het CBS verwacht dat de levensverwachting in elk geval tot 2070 blijft stijgen, maar wel in een vertraagd tempo. Structurele veranderingen van de levensverachting treden niet abrupt op, maar ontwikkelen zich geleidelijk.</w:t>
      </w:r>
      <w:r w:rsidR="00E647CB">
        <w:t xml:space="preserve"> Binnen de scope van de CBS-prognoses zijn daar op dit moment geen aanwijzingen voor.</w:t>
      </w:r>
      <w:r w:rsidRPr="00322602">
        <w:t xml:space="preserve"> Een scenario van een stagnatie of daling van de levensverwachting </w:t>
      </w:r>
      <w:r w:rsidR="00F57155">
        <w:t>kan</w:t>
      </w:r>
      <w:r w:rsidRPr="00322602">
        <w:t xml:space="preserve"> daarom vooral hypothetisch</w:t>
      </w:r>
      <w:r w:rsidR="00F57155">
        <w:t xml:space="preserve"> worden gezien</w:t>
      </w:r>
      <w:r w:rsidRPr="00322602">
        <w:t xml:space="preserve">. </w:t>
      </w:r>
    </w:p>
    <w:sectPr w:rsidR="00F57155"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AF37A" w14:textId="77777777" w:rsidR="00E43F8D" w:rsidRDefault="00E43F8D" w:rsidP="00DF1071">
      <w:pPr>
        <w:spacing w:line="240" w:lineRule="auto"/>
      </w:pPr>
      <w:r>
        <w:separator/>
      </w:r>
    </w:p>
  </w:endnote>
  <w:endnote w:type="continuationSeparator" w:id="0">
    <w:p w14:paraId="251794BB" w14:textId="77777777" w:rsidR="00E43F8D" w:rsidRDefault="00E43F8D" w:rsidP="00DF1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BB01" w14:textId="77777777" w:rsidR="00A57A43" w:rsidRDefault="00A57A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8857" w14:textId="77777777" w:rsidR="00A57A43" w:rsidRDefault="00A57A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6840" w14:textId="77777777" w:rsidR="00A57A43" w:rsidRDefault="00A57A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56D6" w14:textId="77777777" w:rsidR="00E43F8D" w:rsidRDefault="00E43F8D" w:rsidP="00DF1071">
      <w:pPr>
        <w:spacing w:line="240" w:lineRule="auto"/>
      </w:pPr>
      <w:r>
        <w:separator/>
      </w:r>
    </w:p>
  </w:footnote>
  <w:footnote w:type="continuationSeparator" w:id="0">
    <w:p w14:paraId="2CF4DF3C" w14:textId="77777777" w:rsidR="00E43F8D" w:rsidRDefault="00E43F8D" w:rsidP="00DF1071">
      <w:pPr>
        <w:spacing w:line="240" w:lineRule="auto"/>
      </w:pPr>
      <w:r>
        <w:continuationSeparator/>
      </w:r>
    </w:p>
  </w:footnote>
  <w:footnote w:id="1">
    <w:p w14:paraId="09D84FA6" w14:textId="7C9F9D42" w:rsidR="0044466C" w:rsidRPr="00C751F9" w:rsidRDefault="0044466C" w:rsidP="0044466C">
      <w:pPr>
        <w:pStyle w:val="Voetnoottekst"/>
        <w:rPr>
          <w:sz w:val="18"/>
          <w:szCs w:val="18"/>
        </w:rPr>
      </w:pPr>
      <w:r w:rsidRPr="00C751F9">
        <w:rPr>
          <w:rStyle w:val="Voetnootmarkering"/>
          <w:sz w:val="18"/>
          <w:szCs w:val="18"/>
        </w:rPr>
        <w:footnoteRef/>
      </w:r>
      <w:r w:rsidRPr="00C751F9">
        <w:rPr>
          <w:sz w:val="18"/>
          <w:szCs w:val="18"/>
        </w:rPr>
        <w:t xml:space="preserve"> </w:t>
      </w:r>
      <w:hyperlink r:id="rId1" w:anchor="/CBS/nl/dataset/86246NED/table?dl=CC9B9" w:history="1">
        <w:r w:rsidR="00835599">
          <w:rPr>
            <w:rStyle w:val="Hyperlink"/>
            <w:sz w:val="18"/>
            <w:szCs w:val="18"/>
          </w:rPr>
          <w:t>Prognose periode levensverwachting; geslacht en leeftijd, 2025-2070 | CBS</w:t>
        </w:r>
      </w:hyperlink>
    </w:p>
  </w:footnote>
  <w:footnote w:id="2">
    <w:p w14:paraId="59E93A7C" w14:textId="77777777" w:rsidR="00F57155" w:rsidRPr="00C751F9" w:rsidRDefault="00F57155" w:rsidP="00F57155">
      <w:pPr>
        <w:pStyle w:val="Voetnoottekst"/>
        <w:rPr>
          <w:sz w:val="18"/>
          <w:szCs w:val="18"/>
        </w:rPr>
      </w:pPr>
      <w:r w:rsidRPr="00C751F9">
        <w:rPr>
          <w:rStyle w:val="Voetnootmarkering"/>
          <w:sz w:val="18"/>
          <w:szCs w:val="18"/>
        </w:rPr>
        <w:footnoteRef/>
      </w:r>
      <w:r w:rsidRPr="00C751F9">
        <w:rPr>
          <w:sz w:val="18"/>
          <w:szCs w:val="18"/>
        </w:rPr>
        <w:t xml:space="preserve"> Kamerstuk 2020/21, 35 520, nr. 11</w:t>
      </w:r>
    </w:p>
  </w:footnote>
  <w:footnote w:id="3">
    <w:p w14:paraId="3B02B0EC" w14:textId="77777777" w:rsidR="00DF1071" w:rsidRPr="00C751F9" w:rsidRDefault="00DF1071" w:rsidP="00DF1071">
      <w:pPr>
        <w:pStyle w:val="Voetnoottekst"/>
        <w:rPr>
          <w:sz w:val="18"/>
          <w:szCs w:val="18"/>
        </w:rPr>
      </w:pPr>
      <w:r w:rsidRPr="00C751F9">
        <w:rPr>
          <w:rStyle w:val="Voetnootmarkering"/>
          <w:sz w:val="18"/>
          <w:szCs w:val="18"/>
        </w:rPr>
        <w:footnoteRef/>
      </w:r>
      <w:r w:rsidRPr="00C751F9">
        <w:rPr>
          <w:sz w:val="18"/>
          <w:szCs w:val="18"/>
        </w:rPr>
        <w:t xml:space="preserve"> </w:t>
      </w:r>
      <w:hyperlink r:id="rId2" w:history="1">
        <w:r w:rsidRPr="00C751F9">
          <w:rPr>
            <w:rStyle w:val="Hyperlink"/>
            <w:sz w:val="18"/>
            <w:szCs w:val="18"/>
          </w:rPr>
          <w:t>Geslachtsneutrale levensverwachting op 65e verjaardag | CBS</w:t>
        </w:r>
      </w:hyperlink>
    </w:p>
  </w:footnote>
  <w:footnote w:id="4">
    <w:p w14:paraId="714A17C3" w14:textId="77777777" w:rsidR="00DF1071" w:rsidRPr="00EE5C26" w:rsidRDefault="00DF1071" w:rsidP="00DF1071">
      <w:pPr>
        <w:pStyle w:val="Voetnoottekst"/>
        <w:rPr>
          <w:sz w:val="18"/>
          <w:szCs w:val="18"/>
        </w:rPr>
      </w:pPr>
      <w:r w:rsidRPr="00EE5C26">
        <w:rPr>
          <w:rStyle w:val="Voetnootmarkering"/>
          <w:sz w:val="18"/>
          <w:szCs w:val="18"/>
        </w:rPr>
        <w:footnoteRef/>
      </w:r>
      <w:r w:rsidRPr="00EE5C26">
        <w:rPr>
          <w:sz w:val="18"/>
          <w:szCs w:val="18"/>
        </w:rPr>
        <w:t xml:space="preserve"> Zie voor de wettelijke formule </w:t>
      </w:r>
      <w:hyperlink r:id="rId3" w:history="1">
        <w:r w:rsidRPr="00EE5C26">
          <w:rPr>
            <w:rStyle w:val="Hyperlink"/>
            <w:sz w:val="18"/>
            <w:szCs w:val="18"/>
          </w:rPr>
          <w:t>Artikel 7a, lid 2 Algemene Ouderdomswet</w:t>
        </w:r>
      </w:hyperlink>
    </w:p>
  </w:footnote>
  <w:footnote w:id="5">
    <w:p w14:paraId="427E7F5D" w14:textId="77777777" w:rsidR="00DF1071" w:rsidRPr="00C751F9" w:rsidRDefault="00DF1071" w:rsidP="00DF1071">
      <w:pPr>
        <w:pStyle w:val="Voetnoottekst"/>
        <w:rPr>
          <w:sz w:val="18"/>
          <w:szCs w:val="18"/>
        </w:rPr>
      </w:pPr>
      <w:r w:rsidRPr="00C751F9">
        <w:rPr>
          <w:rStyle w:val="Voetnootmarkering"/>
          <w:sz w:val="18"/>
          <w:szCs w:val="18"/>
        </w:rPr>
        <w:footnoteRef/>
      </w:r>
      <w:r w:rsidRPr="00C751F9">
        <w:rPr>
          <w:sz w:val="18"/>
          <w:szCs w:val="18"/>
        </w:rPr>
        <w:t xml:space="preserve"> Kamerstukken, 2025/26, 32 163, nr. 62</w:t>
      </w:r>
    </w:p>
  </w:footnote>
  <w:footnote w:id="6">
    <w:p w14:paraId="09E8DF71" w14:textId="77777777" w:rsidR="00DF1071" w:rsidRPr="00C751F9" w:rsidRDefault="00DF1071" w:rsidP="00DF1071">
      <w:pPr>
        <w:pStyle w:val="Voetnoottekst"/>
        <w:rPr>
          <w:sz w:val="18"/>
          <w:szCs w:val="18"/>
        </w:rPr>
      </w:pPr>
      <w:r w:rsidRPr="00C751F9">
        <w:rPr>
          <w:rStyle w:val="Voetnootmarkering"/>
          <w:sz w:val="18"/>
          <w:szCs w:val="18"/>
        </w:rPr>
        <w:footnoteRef/>
      </w:r>
      <w:r w:rsidRPr="00C751F9">
        <w:rPr>
          <w:sz w:val="18"/>
          <w:szCs w:val="18"/>
        </w:rPr>
        <w:t xml:space="preserve"> </w:t>
      </w:r>
      <w:hyperlink r:id="rId4" w:history="1">
        <w:r w:rsidRPr="00C751F9">
          <w:rPr>
            <w:rStyle w:val="Hyperlink"/>
            <w:sz w:val="18"/>
            <w:szCs w:val="18"/>
          </w:rPr>
          <w:t>Sterfte en levensverwachting in de 21ste eeuw: waarom veranderde de trend rond 2012? | CBS</w:t>
        </w:r>
      </w:hyperlink>
    </w:p>
  </w:footnote>
  <w:footnote w:id="7">
    <w:p w14:paraId="45D09E8F" w14:textId="4CAADD02" w:rsidR="00DF1071" w:rsidRPr="00C751F9" w:rsidRDefault="00DF1071" w:rsidP="00DF1071">
      <w:pPr>
        <w:pStyle w:val="Voetnoottekst"/>
        <w:rPr>
          <w:sz w:val="18"/>
          <w:szCs w:val="18"/>
        </w:rPr>
      </w:pPr>
      <w:r w:rsidRPr="00C751F9">
        <w:rPr>
          <w:rStyle w:val="Voetnootmarkering"/>
          <w:sz w:val="18"/>
          <w:szCs w:val="18"/>
        </w:rPr>
        <w:footnoteRef/>
      </w:r>
      <w:r w:rsidRPr="00C751F9">
        <w:rPr>
          <w:sz w:val="18"/>
          <w:szCs w:val="18"/>
        </w:rPr>
        <w:t xml:space="preserve"> </w:t>
      </w:r>
      <w:hyperlink r:id="rId5" w:anchor="/CBS/nl/dataset/86244NED/table?dl=CC7E6" w:history="1">
        <w:r w:rsidR="00377776">
          <w:rPr>
            <w:rStyle w:val="Hyperlink"/>
            <w:sz w:val="18"/>
            <w:szCs w:val="18"/>
          </w:rPr>
          <w:t>Periode-levensverwachting 65-jarigen - Prognose bevolking; kerncijfers 2025-2070 | CBS</w:t>
        </w:r>
      </w:hyperlink>
      <w:r w:rsidRPr="00C751F9">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C3A6" w14:textId="77777777" w:rsidR="00A57A43" w:rsidRDefault="00A57A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4A6E" w14:textId="77777777" w:rsidR="00A57A43" w:rsidRDefault="00A57A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FE99" w14:textId="77777777" w:rsidR="00A57A43" w:rsidRDefault="00A57A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71"/>
    <w:rsid w:val="0014240C"/>
    <w:rsid w:val="001A683D"/>
    <w:rsid w:val="001E6A24"/>
    <w:rsid w:val="00222B1C"/>
    <w:rsid w:val="00377776"/>
    <w:rsid w:val="0044466C"/>
    <w:rsid w:val="005E305B"/>
    <w:rsid w:val="0060051B"/>
    <w:rsid w:val="00835599"/>
    <w:rsid w:val="00A57A43"/>
    <w:rsid w:val="00AF7648"/>
    <w:rsid w:val="00B06701"/>
    <w:rsid w:val="00B53F76"/>
    <w:rsid w:val="00DF1071"/>
    <w:rsid w:val="00E43F8D"/>
    <w:rsid w:val="00E57E2D"/>
    <w:rsid w:val="00E647CB"/>
    <w:rsid w:val="00F5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99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1071"/>
    <w:pPr>
      <w:autoSpaceDN w:val="0"/>
      <w:spacing w:after="0" w:line="240" w:lineRule="atLeast"/>
      <w:textAlignment w:val="baseline"/>
    </w:pPr>
    <w:rPr>
      <w:rFonts w:eastAsia="DejaVu Sans" w:cs="Lohit Hindi"/>
      <w:color w:val="000000"/>
      <w:kern w:val="0"/>
      <w:szCs w:val="18"/>
      <w:lang w:val="nl-NL" w:eastAsia="nl-NL"/>
      <w14:ligatures w14:val="none"/>
    </w:rPr>
  </w:style>
  <w:style w:type="paragraph" w:styleId="Kop1">
    <w:name w:val="heading 1"/>
    <w:basedOn w:val="Standaard"/>
    <w:next w:val="Standaard"/>
    <w:link w:val="Kop1Char"/>
    <w:uiPriority w:val="9"/>
    <w:qFormat/>
    <w:rsid w:val="00DF1071"/>
    <w:pPr>
      <w:keepNext/>
      <w:keepLines/>
      <w:autoSpaceDN/>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F1071"/>
    <w:pPr>
      <w:keepNext/>
      <w:keepLines/>
      <w:autoSpaceDN/>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F1071"/>
    <w:pPr>
      <w:keepNext/>
      <w:keepLines/>
      <w:autoSpaceDN/>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F1071"/>
    <w:pPr>
      <w:keepNext/>
      <w:keepLines/>
      <w:autoSpaceDN/>
      <w:spacing w:before="80" w:after="40" w:line="259" w:lineRule="auto"/>
      <w:textAlignment w:val="auto"/>
      <w:outlineLvl w:val="3"/>
    </w:pPr>
    <w:rPr>
      <w:rFonts w:asciiTheme="minorHAnsi" w:eastAsiaTheme="majorEastAsia" w:hAnsiTheme="minorHAnsi" w:cstheme="majorBidi"/>
      <w:i/>
      <w:iCs/>
      <w:color w:val="2E74B5" w:themeColor="accent1" w:themeShade="BF"/>
      <w:kern w:val="2"/>
      <w:szCs w:val="22"/>
      <w:lang w:eastAsia="en-US"/>
      <w14:ligatures w14:val="standardContextual"/>
    </w:rPr>
  </w:style>
  <w:style w:type="paragraph" w:styleId="Kop5">
    <w:name w:val="heading 5"/>
    <w:basedOn w:val="Standaard"/>
    <w:next w:val="Standaard"/>
    <w:link w:val="Kop5Char"/>
    <w:uiPriority w:val="9"/>
    <w:semiHidden/>
    <w:unhideWhenUsed/>
    <w:qFormat/>
    <w:rsid w:val="00DF1071"/>
    <w:pPr>
      <w:keepNext/>
      <w:keepLines/>
      <w:autoSpaceDN/>
      <w:spacing w:before="80" w:after="40" w:line="259" w:lineRule="auto"/>
      <w:textAlignment w:val="auto"/>
      <w:outlineLvl w:val="4"/>
    </w:pPr>
    <w:rPr>
      <w:rFonts w:asciiTheme="minorHAnsi" w:eastAsiaTheme="majorEastAsia" w:hAnsiTheme="minorHAnsi" w:cstheme="majorBidi"/>
      <w:color w:val="2E74B5" w:themeColor="accent1" w:themeShade="BF"/>
      <w:kern w:val="2"/>
      <w:szCs w:val="22"/>
      <w:lang w:eastAsia="en-US"/>
      <w14:ligatures w14:val="standardContextual"/>
    </w:rPr>
  </w:style>
  <w:style w:type="paragraph" w:styleId="Kop6">
    <w:name w:val="heading 6"/>
    <w:basedOn w:val="Standaard"/>
    <w:next w:val="Standaard"/>
    <w:link w:val="Kop6Char"/>
    <w:uiPriority w:val="9"/>
    <w:semiHidden/>
    <w:unhideWhenUsed/>
    <w:qFormat/>
    <w:rsid w:val="00DF1071"/>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Kop7">
    <w:name w:val="heading 7"/>
    <w:basedOn w:val="Standaard"/>
    <w:next w:val="Standaard"/>
    <w:link w:val="Kop7Char"/>
    <w:uiPriority w:val="9"/>
    <w:semiHidden/>
    <w:unhideWhenUsed/>
    <w:qFormat/>
    <w:rsid w:val="00DF1071"/>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Kop8">
    <w:name w:val="heading 8"/>
    <w:basedOn w:val="Standaard"/>
    <w:next w:val="Standaard"/>
    <w:link w:val="Kop8Char"/>
    <w:uiPriority w:val="9"/>
    <w:semiHidden/>
    <w:unhideWhenUsed/>
    <w:qFormat/>
    <w:rsid w:val="00DF1071"/>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Kop9">
    <w:name w:val="heading 9"/>
    <w:basedOn w:val="Standaard"/>
    <w:next w:val="Standaard"/>
    <w:link w:val="Kop9Char"/>
    <w:uiPriority w:val="9"/>
    <w:semiHidden/>
    <w:unhideWhenUsed/>
    <w:qFormat/>
    <w:rsid w:val="00DF1071"/>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071"/>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DF1071"/>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DF1071"/>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DF1071"/>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DF1071"/>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DF1071"/>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DF1071"/>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DF1071"/>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DF1071"/>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DF1071"/>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F1071"/>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DF1071"/>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F1071"/>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DF1071"/>
    <w:pPr>
      <w:autoSpaceDN/>
      <w:spacing w:before="160" w:after="160" w:line="259" w:lineRule="auto"/>
      <w:jc w:val="center"/>
      <w:textAlignment w:val="auto"/>
    </w:pPr>
    <w:rPr>
      <w:rFonts w:eastAsiaTheme="minorHAnsi" w:cstheme="minorBidi"/>
      <w:i/>
      <w:iCs/>
      <w:color w:val="404040" w:themeColor="text1" w:themeTint="BF"/>
      <w:kern w:val="2"/>
      <w:szCs w:val="22"/>
      <w:lang w:eastAsia="en-US"/>
      <w14:ligatures w14:val="standardContextual"/>
    </w:rPr>
  </w:style>
  <w:style w:type="character" w:customStyle="1" w:styleId="CitaatChar">
    <w:name w:val="Citaat Char"/>
    <w:basedOn w:val="Standaardalinea-lettertype"/>
    <w:link w:val="Citaat"/>
    <w:uiPriority w:val="29"/>
    <w:rsid w:val="00DF1071"/>
    <w:rPr>
      <w:i/>
      <w:iCs/>
      <w:color w:val="404040" w:themeColor="text1" w:themeTint="BF"/>
      <w:lang w:val="nl-NL"/>
    </w:rPr>
  </w:style>
  <w:style w:type="paragraph" w:styleId="Lijstalinea">
    <w:name w:val="List Paragraph"/>
    <w:basedOn w:val="Standaard"/>
    <w:uiPriority w:val="34"/>
    <w:qFormat/>
    <w:rsid w:val="00DF1071"/>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character" w:styleId="Intensievebenadrukking">
    <w:name w:val="Intense Emphasis"/>
    <w:basedOn w:val="Standaardalinea-lettertype"/>
    <w:uiPriority w:val="21"/>
    <w:qFormat/>
    <w:rsid w:val="00DF1071"/>
    <w:rPr>
      <w:i/>
      <w:iCs/>
      <w:color w:val="2E74B5" w:themeColor="accent1" w:themeShade="BF"/>
    </w:rPr>
  </w:style>
  <w:style w:type="paragraph" w:styleId="Duidelijkcitaat">
    <w:name w:val="Intense Quote"/>
    <w:basedOn w:val="Standaard"/>
    <w:next w:val="Standaard"/>
    <w:link w:val="DuidelijkcitaatChar"/>
    <w:uiPriority w:val="30"/>
    <w:qFormat/>
    <w:rsid w:val="00DF1071"/>
    <w:pPr>
      <w:pBdr>
        <w:top w:val="single" w:sz="4" w:space="10" w:color="2E74B5" w:themeColor="accent1" w:themeShade="BF"/>
        <w:bottom w:val="single" w:sz="4" w:space="10" w:color="2E74B5" w:themeColor="accent1" w:themeShade="BF"/>
      </w:pBdr>
      <w:autoSpaceDN/>
      <w:spacing w:before="360" w:after="360" w:line="259" w:lineRule="auto"/>
      <w:ind w:left="864" w:right="864"/>
      <w:jc w:val="center"/>
      <w:textAlignment w:val="auto"/>
    </w:pPr>
    <w:rPr>
      <w:rFonts w:eastAsiaTheme="minorHAnsi" w:cstheme="minorBidi"/>
      <w:i/>
      <w:iCs/>
      <w:color w:val="2E74B5" w:themeColor="accent1" w:themeShade="BF"/>
      <w:kern w:val="2"/>
      <w:szCs w:val="22"/>
      <w:lang w:eastAsia="en-US"/>
      <w14:ligatures w14:val="standardContextual"/>
    </w:rPr>
  </w:style>
  <w:style w:type="character" w:customStyle="1" w:styleId="DuidelijkcitaatChar">
    <w:name w:val="Duidelijk citaat Char"/>
    <w:basedOn w:val="Standaardalinea-lettertype"/>
    <w:link w:val="Duidelijkcitaat"/>
    <w:uiPriority w:val="30"/>
    <w:rsid w:val="00DF1071"/>
    <w:rPr>
      <w:i/>
      <w:iCs/>
      <w:color w:val="2E74B5" w:themeColor="accent1" w:themeShade="BF"/>
      <w:lang w:val="nl-NL"/>
    </w:rPr>
  </w:style>
  <w:style w:type="character" w:styleId="Intensieveverwijzing">
    <w:name w:val="Intense Reference"/>
    <w:basedOn w:val="Standaardalinea-lettertype"/>
    <w:uiPriority w:val="32"/>
    <w:qFormat/>
    <w:rsid w:val="00DF1071"/>
    <w:rPr>
      <w:b/>
      <w:bCs/>
      <w:smallCaps/>
      <w:color w:val="2E74B5" w:themeColor="accent1" w:themeShade="BF"/>
      <w:spacing w:val="5"/>
    </w:rPr>
  </w:style>
  <w:style w:type="character" w:styleId="Hyperlink">
    <w:name w:val="Hyperlink"/>
    <w:basedOn w:val="Standaardalinea-lettertype"/>
    <w:uiPriority w:val="99"/>
    <w:unhideWhenUsed/>
    <w:rsid w:val="00DF1071"/>
    <w:rPr>
      <w:color w:val="0563C1" w:themeColor="hyperlink"/>
      <w:u w:val="single"/>
    </w:rPr>
  </w:style>
  <w:style w:type="paragraph" w:styleId="Voetnoottekst">
    <w:name w:val="footnote text"/>
    <w:basedOn w:val="Standaard"/>
    <w:link w:val="VoetnoottekstChar"/>
    <w:uiPriority w:val="99"/>
    <w:semiHidden/>
    <w:unhideWhenUsed/>
    <w:rsid w:val="00DF1071"/>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F1071"/>
    <w:rPr>
      <w:sz w:val="20"/>
      <w:szCs w:val="20"/>
      <w:lang w:val="nl-NL"/>
    </w:rPr>
  </w:style>
  <w:style w:type="character" w:styleId="Voetnootmarkering">
    <w:name w:val="footnote reference"/>
    <w:basedOn w:val="Standaardalinea-lettertype"/>
    <w:uiPriority w:val="99"/>
    <w:semiHidden/>
    <w:unhideWhenUsed/>
    <w:rsid w:val="00DF1071"/>
    <w:rPr>
      <w:vertAlign w:val="superscript"/>
    </w:rPr>
  </w:style>
  <w:style w:type="table" w:styleId="Tabelraster">
    <w:name w:val="Table Grid"/>
    <w:basedOn w:val="Standaardtabel"/>
    <w:uiPriority w:val="39"/>
    <w:rsid w:val="00DF1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835599"/>
    <w:rPr>
      <w:color w:val="954F72" w:themeColor="followedHyperlink"/>
      <w:u w:val="single"/>
    </w:rPr>
  </w:style>
  <w:style w:type="paragraph" w:styleId="Koptekst">
    <w:name w:val="header"/>
    <w:basedOn w:val="Standaard"/>
    <w:link w:val="KoptekstChar"/>
    <w:uiPriority w:val="99"/>
    <w:unhideWhenUsed/>
    <w:rsid w:val="00A57A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A43"/>
    <w:rPr>
      <w:rFonts w:eastAsia="DejaVu Sans" w:cs="Lohit Hindi"/>
      <w:color w:val="000000"/>
      <w:kern w:val="0"/>
      <w:szCs w:val="18"/>
      <w:lang w:val="nl-NL" w:eastAsia="nl-NL"/>
      <w14:ligatures w14:val="none"/>
    </w:rPr>
  </w:style>
  <w:style w:type="paragraph" w:styleId="Voettekst">
    <w:name w:val="footer"/>
    <w:basedOn w:val="Standaard"/>
    <w:link w:val="VoettekstChar"/>
    <w:uiPriority w:val="99"/>
    <w:unhideWhenUsed/>
    <w:rsid w:val="00A57A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A43"/>
    <w:rPr>
      <w:rFonts w:eastAsia="DejaVu Sans" w:cs="Lohit Hindi"/>
      <w:color w:val="000000"/>
      <w:kern w:val="0"/>
      <w:szCs w:val="18"/>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2897">
      <w:bodyDiv w:val="1"/>
      <w:marLeft w:val="0"/>
      <w:marRight w:val="0"/>
      <w:marTop w:val="0"/>
      <w:marBottom w:val="0"/>
      <w:divBdr>
        <w:top w:val="none" w:sz="0" w:space="0" w:color="auto"/>
        <w:left w:val="none" w:sz="0" w:space="0" w:color="auto"/>
        <w:bottom w:val="none" w:sz="0" w:space="0" w:color="auto"/>
        <w:right w:val="none" w:sz="0" w:space="0" w:color="auto"/>
      </w:divBdr>
      <w:divsChild>
        <w:div w:id="704136761">
          <w:marLeft w:val="0"/>
          <w:marRight w:val="0"/>
          <w:marTop w:val="0"/>
          <w:marBottom w:val="0"/>
          <w:divBdr>
            <w:top w:val="none" w:sz="0" w:space="0" w:color="auto"/>
            <w:left w:val="none" w:sz="0" w:space="0" w:color="auto"/>
            <w:bottom w:val="none" w:sz="0" w:space="0" w:color="auto"/>
            <w:right w:val="none" w:sz="0" w:space="0" w:color="auto"/>
          </w:divBdr>
        </w:div>
        <w:div w:id="625232635">
          <w:marLeft w:val="0"/>
          <w:marRight w:val="0"/>
          <w:marTop w:val="0"/>
          <w:marBottom w:val="0"/>
          <w:divBdr>
            <w:top w:val="none" w:sz="0" w:space="0" w:color="auto"/>
            <w:left w:val="none" w:sz="0" w:space="0" w:color="auto"/>
            <w:bottom w:val="none" w:sz="0" w:space="0" w:color="auto"/>
            <w:right w:val="none" w:sz="0" w:space="0" w:color="auto"/>
          </w:divBdr>
        </w:div>
        <w:div w:id="238564653">
          <w:marLeft w:val="0"/>
          <w:marRight w:val="0"/>
          <w:marTop w:val="0"/>
          <w:marBottom w:val="0"/>
          <w:divBdr>
            <w:top w:val="none" w:sz="0" w:space="0" w:color="auto"/>
            <w:left w:val="none" w:sz="0" w:space="0" w:color="auto"/>
            <w:bottom w:val="none" w:sz="0" w:space="0" w:color="auto"/>
            <w:right w:val="none" w:sz="0" w:space="0" w:color="auto"/>
          </w:divBdr>
        </w:div>
        <w:div w:id="262423581">
          <w:marLeft w:val="0"/>
          <w:marRight w:val="0"/>
          <w:marTop w:val="0"/>
          <w:marBottom w:val="0"/>
          <w:divBdr>
            <w:top w:val="none" w:sz="0" w:space="0" w:color="auto"/>
            <w:left w:val="none" w:sz="0" w:space="0" w:color="auto"/>
            <w:bottom w:val="none" w:sz="0" w:space="0" w:color="auto"/>
            <w:right w:val="none" w:sz="0" w:space="0" w:color="auto"/>
          </w:divBdr>
        </w:div>
        <w:div w:id="392237741">
          <w:marLeft w:val="0"/>
          <w:marRight w:val="0"/>
          <w:marTop w:val="0"/>
          <w:marBottom w:val="0"/>
          <w:divBdr>
            <w:top w:val="none" w:sz="0" w:space="0" w:color="auto"/>
            <w:left w:val="none" w:sz="0" w:space="0" w:color="auto"/>
            <w:bottom w:val="none" w:sz="0" w:space="0" w:color="auto"/>
            <w:right w:val="none" w:sz="0" w:space="0" w:color="auto"/>
          </w:divBdr>
        </w:div>
        <w:div w:id="152381440">
          <w:marLeft w:val="0"/>
          <w:marRight w:val="0"/>
          <w:marTop w:val="0"/>
          <w:marBottom w:val="0"/>
          <w:divBdr>
            <w:top w:val="none" w:sz="0" w:space="0" w:color="auto"/>
            <w:left w:val="none" w:sz="0" w:space="0" w:color="auto"/>
            <w:bottom w:val="none" w:sz="0" w:space="0" w:color="auto"/>
            <w:right w:val="none" w:sz="0" w:space="0" w:color="auto"/>
          </w:divBdr>
        </w:div>
        <w:div w:id="758647466">
          <w:marLeft w:val="0"/>
          <w:marRight w:val="0"/>
          <w:marTop w:val="0"/>
          <w:marBottom w:val="0"/>
          <w:divBdr>
            <w:top w:val="none" w:sz="0" w:space="0" w:color="auto"/>
            <w:left w:val="none" w:sz="0" w:space="0" w:color="auto"/>
            <w:bottom w:val="none" w:sz="0" w:space="0" w:color="auto"/>
            <w:right w:val="none" w:sz="0" w:space="0" w:color="auto"/>
          </w:divBdr>
        </w:div>
        <w:div w:id="893976644">
          <w:marLeft w:val="0"/>
          <w:marRight w:val="0"/>
          <w:marTop w:val="0"/>
          <w:marBottom w:val="0"/>
          <w:divBdr>
            <w:top w:val="none" w:sz="0" w:space="0" w:color="auto"/>
            <w:left w:val="none" w:sz="0" w:space="0" w:color="auto"/>
            <w:bottom w:val="none" w:sz="0" w:space="0" w:color="auto"/>
            <w:right w:val="none" w:sz="0" w:space="0" w:color="auto"/>
          </w:divBdr>
        </w:div>
        <w:div w:id="981498596">
          <w:marLeft w:val="0"/>
          <w:marRight w:val="0"/>
          <w:marTop w:val="0"/>
          <w:marBottom w:val="0"/>
          <w:divBdr>
            <w:top w:val="none" w:sz="0" w:space="0" w:color="auto"/>
            <w:left w:val="none" w:sz="0" w:space="0" w:color="auto"/>
            <w:bottom w:val="none" w:sz="0" w:space="0" w:color="auto"/>
            <w:right w:val="none" w:sz="0" w:space="0" w:color="auto"/>
          </w:divBdr>
        </w:div>
        <w:div w:id="914895515">
          <w:marLeft w:val="0"/>
          <w:marRight w:val="0"/>
          <w:marTop w:val="0"/>
          <w:marBottom w:val="0"/>
          <w:divBdr>
            <w:top w:val="none" w:sz="0" w:space="0" w:color="auto"/>
            <w:left w:val="none" w:sz="0" w:space="0" w:color="auto"/>
            <w:bottom w:val="none" w:sz="0" w:space="0" w:color="auto"/>
            <w:right w:val="none" w:sz="0" w:space="0" w:color="auto"/>
          </w:divBdr>
        </w:div>
        <w:div w:id="160896509">
          <w:marLeft w:val="0"/>
          <w:marRight w:val="0"/>
          <w:marTop w:val="0"/>
          <w:marBottom w:val="0"/>
          <w:divBdr>
            <w:top w:val="none" w:sz="0" w:space="0" w:color="auto"/>
            <w:left w:val="none" w:sz="0" w:space="0" w:color="auto"/>
            <w:bottom w:val="none" w:sz="0" w:space="0" w:color="auto"/>
            <w:right w:val="none" w:sz="0" w:space="0" w:color="auto"/>
          </w:divBdr>
        </w:div>
        <w:div w:id="255675550">
          <w:marLeft w:val="0"/>
          <w:marRight w:val="0"/>
          <w:marTop w:val="0"/>
          <w:marBottom w:val="0"/>
          <w:divBdr>
            <w:top w:val="none" w:sz="0" w:space="0" w:color="auto"/>
            <w:left w:val="none" w:sz="0" w:space="0" w:color="auto"/>
            <w:bottom w:val="none" w:sz="0" w:space="0" w:color="auto"/>
            <w:right w:val="none" w:sz="0" w:space="0" w:color="auto"/>
          </w:divBdr>
        </w:div>
        <w:div w:id="1952006715">
          <w:marLeft w:val="0"/>
          <w:marRight w:val="0"/>
          <w:marTop w:val="0"/>
          <w:marBottom w:val="0"/>
          <w:divBdr>
            <w:top w:val="none" w:sz="0" w:space="0" w:color="auto"/>
            <w:left w:val="none" w:sz="0" w:space="0" w:color="auto"/>
            <w:bottom w:val="none" w:sz="0" w:space="0" w:color="auto"/>
            <w:right w:val="none" w:sz="0" w:space="0" w:color="auto"/>
          </w:divBdr>
        </w:div>
        <w:div w:id="2089766417">
          <w:marLeft w:val="0"/>
          <w:marRight w:val="0"/>
          <w:marTop w:val="0"/>
          <w:marBottom w:val="0"/>
          <w:divBdr>
            <w:top w:val="none" w:sz="0" w:space="0" w:color="auto"/>
            <w:left w:val="none" w:sz="0" w:space="0" w:color="auto"/>
            <w:bottom w:val="none" w:sz="0" w:space="0" w:color="auto"/>
            <w:right w:val="none" w:sz="0" w:space="0" w:color="auto"/>
          </w:divBdr>
        </w:div>
      </w:divsChild>
    </w:div>
    <w:div w:id="198706517">
      <w:bodyDiv w:val="1"/>
      <w:marLeft w:val="0"/>
      <w:marRight w:val="0"/>
      <w:marTop w:val="0"/>
      <w:marBottom w:val="0"/>
      <w:divBdr>
        <w:top w:val="none" w:sz="0" w:space="0" w:color="auto"/>
        <w:left w:val="none" w:sz="0" w:space="0" w:color="auto"/>
        <w:bottom w:val="none" w:sz="0" w:space="0" w:color="auto"/>
        <w:right w:val="none" w:sz="0" w:space="0" w:color="auto"/>
      </w:divBdr>
      <w:divsChild>
        <w:div w:id="1351297416">
          <w:marLeft w:val="0"/>
          <w:marRight w:val="0"/>
          <w:marTop w:val="0"/>
          <w:marBottom w:val="0"/>
          <w:divBdr>
            <w:top w:val="none" w:sz="0" w:space="0" w:color="auto"/>
            <w:left w:val="none" w:sz="0" w:space="0" w:color="auto"/>
            <w:bottom w:val="none" w:sz="0" w:space="0" w:color="auto"/>
            <w:right w:val="none" w:sz="0" w:space="0" w:color="auto"/>
          </w:divBdr>
        </w:div>
        <w:div w:id="1503928097">
          <w:marLeft w:val="0"/>
          <w:marRight w:val="0"/>
          <w:marTop w:val="0"/>
          <w:marBottom w:val="0"/>
          <w:divBdr>
            <w:top w:val="none" w:sz="0" w:space="0" w:color="auto"/>
            <w:left w:val="none" w:sz="0" w:space="0" w:color="auto"/>
            <w:bottom w:val="none" w:sz="0" w:space="0" w:color="auto"/>
            <w:right w:val="none" w:sz="0" w:space="0" w:color="auto"/>
          </w:divBdr>
        </w:div>
        <w:div w:id="999966035">
          <w:marLeft w:val="0"/>
          <w:marRight w:val="0"/>
          <w:marTop w:val="0"/>
          <w:marBottom w:val="0"/>
          <w:divBdr>
            <w:top w:val="none" w:sz="0" w:space="0" w:color="auto"/>
            <w:left w:val="none" w:sz="0" w:space="0" w:color="auto"/>
            <w:bottom w:val="none" w:sz="0" w:space="0" w:color="auto"/>
            <w:right w:val="none" w:sz="0" w:space="0" w:color="auto"/>
          </w:divBdr>
        </w:div>
        <w:div w:id="715084564">
          <w:marLeft w:val="0"/>
          <w:marRight w:val="0"/>
          <w:marTop w:val="0"/>
          <w:marBottom w:val="0"/>
          <w:divBdr>
            <w:top w:val="none" w:sz="0" w:space="0" w:color="auto"/>
            <w:left w:val="none" w:sz="0" w:space="0" w:color="auto"/>
            <w:bottom w:val="none" w:sz="0" w:space="0" w:color="auto"/>
            <w:right w:val="none" w:sz="0" w:space="0" w:color="auto"/>
          </w:divBdr>
        </w:div>
        <w:div w:id="1287270469">
          <w:marLeft w:val="0"/>
          <w:marRight w:val="0"/>
          <w:marTop w:val="0"/>
          <w:marBottom w:val="0"/>
          <w:divBdr>
            <w:top w:val="none" w:sz="0" w:space="0" w:color="auto"/>
            <w:left w:val="none" w:sz="0" w:space="0" w:color="auto"/>
            <w:bottom w:val="none" w:sz="0" w:space="0" w:color="auto"/>
            <w:right w:val="none" w:sz="0" w:space="0" w:color="auto"/>
          </w:divBdr>
        </w:div>
        <w:div w:id="1293175282">
          <w:marLeft w:val="0"/>
          <w:marRight w:val="0"/>
          <w:marTop w:val="0"/>
          <w:marBottom w:val="0"/>
          <w:divBdr>
            <w:top w:val="none" w:sz="0" w:space="0" w:color="auto"/>
            <w:left w:val="none" w:sz="0" w:space="0" w:color="auto"/>
            <w:bottom w:val="none" w:sz="0" w:space="0" w:color="auto"/>
            <w:right w:val="none" w:sz="0" w:space="0" w:color="auto"/>
          </w:divBdr>
        </w:div>
        <w:div w:id="1510295298">
          <w:marLeft w:val="0"/>
          <w:marRight w:val="0"/>
          <w:marTop w:val="0"/>
          <w:marBottom w:val="0"/>
          <w:divBdr>
            <w:top w:val="none" w:sz="0" w:space="0" w:color="auto"/>
            <w:left w:val="none" w:sz="0" w:space="0" w:color="auto"/>
            <w:bottom w:val="none" w:sz="0" w:space="0" w:color="auto"/>
            <w:right w:val="none" w:sz="0" w:space="0" w:color="auto"/>
          </w:divBdr>
        </w:div>
        <w:div w:id="1177578343">
          <w:marLeft w:val="0"/>
          <w:marRight w:val="0"/>
          <w:marTop w:val="0"/>
          <w:marBottom w:val="0"/>
          <w:divBdr>
            <w:top w:val="none" w:sz="0" w:space="0" w:color="auto"/>
            <w:left w:val="none" w:sz="0" w:space="0" w:color="auto"/>
            <w:bottom w:val="none" w:sz="0" w:space="0" w:color="auto"/>
            <w:right w:val="none" w:sz="0" w:space="0" w:color="auto"/>
          </w:divBdr>
        </w:div>
        <w:div w:id="147402040">
          <w:marLeft w:val="0"/>
          <w:marRight w:val="0"/>
          <w:marTop w:val="0"/>
          <w:marBottom w:val="0"/>
          <w:divBdr>
            <w:top w:val="none" w:sz="0" w:space="0" w:color="auto"/>
            <w:left w:val="none" w:sz="0" w:space="0" w:color="auto"/>
            <w:bottom w:val="none" w:sz="0" w:space="0" w:color="auto"/>
            <w:right w:val="none" w:sz="0" w:space="0" w:color="auto"/>
          </w:divBdr>
        </w:div>
        <w:div w:id="1117721364">
          <w:marLeft w:val="0"/>
          <w:marRight w:val="0"/>
          <w:marTop w:val="0"/>
          <w:marBottom w:val="0"/>
          <w:divBdr>
            <w:top w:val="none" w:sz="0" w:space="0" w:color="auto"/>
            <w:left w:val="none" w:sz="0" w:space="0" w:color="auto"/>
            <w:bottom w:val="none" w:sz="0" w:space="0" w:color="auto"/>
            <w:right w:val="none" w:sz="0" w:space="0" w:color="auto"/>
          </w:divBdr>
        </w:div>
        <w:div w:id="1869756691">
          <w:marLeft w:val="0"/>
          <w:marRight w:val="0"/>
          <w:marTop w:val="0"/>
          <w:marBottom w:val="0"/>
          <w:divBdr>
            <w:top w:val="none" w:sz="0" w:space="0" w:color="auto"/>
            <w:left w:val="none" w:sz="0" w:space="0" w:color="auto"/>
            <w:bottom w:val="none" w:sz="0" w:space="0" w:color="auto"/>
            <w:right w:val="none" w:sz="0" w:space="0" w:color="auto"/>
          </w:divBdr>
        </w:div>
        <w:div w:id="368190161">
          <w:marLeft w:val="0"/>
          <w:marRight w:val="0"/>
          <w:marTop w:val="0"/>
          <w:marBottom w:val="0"/>
          <w:divBdr>
            <w:top w:val="none" w:sz="0" w:space="0" w:color="auto"/>
            <w:left w:val="none" w:sz="0" w:space="0" w:color="auto"/>
            <w:bottom w:val="none" w:sz="0" w:space="0" w:color="auto"/>
            <w:right w:val="none" w:sz="0" w:space="0" w:color="auto"/>
          </w:divBdr>
        </w:div>
        <w:div w:id="1343970585">
          <w:marLeft w:val="0"/>
          <w:marRight w:val="0"/>
          <w:marTop w:val="0"/>
          <w:marBottom w:val="0"/>
          <w:divBdr>
            <w:top w:val="none" w:sz="0" w:space="0" w:color="auto"/>
            <w:left w:val="none" w:sz="0" w:space="0" w:color="auto"/>
            <w:bottom w:val="none" w:sz="0" w:space="0" w:color="auto"/>
            <w:right w:val="none" w:sz="0" w:space="0" w:color="auto"/>
          </w:divBdr>
        </w:div>
      </w:divsChild>
    </w:div>
    <w:div w:id="757795744">
      <w:bodyDiv w:val="1"/>
      <w:marLeft w:val="0"/>
      <w:marRight w:val="0"/>
      <w:marTop w:val="0"/>
      <w:marBottom w:val="0"/>
      <w:divBdr>
        <w:top w:val="none" w:sz="0" w:space="0" w:color="auto"/>
        <w:left w:val="none" w:sz="0" w:space="0" w:color="auto"/>
        <w:bottom w:val="none" w:sz="0" w:space="0" w:color="auto"/>
        <w:right w:val="none" w:sz="0" w:space="0" w:color="auto"/>
      </w:divBdr>
      <w:divsChild>
        <w:div w:id="768232729">
          <w:marLeft w:val="0"/>
          <w:marRight w:val="0"/>
          <w:marTop w:val="0"/>
          <w:marBottom w:val="0"/>
          <w:divBdr>
            <w:top w:val="none" w:sz="0" w:space="0" w:color="auto"/>
            <w:left w:val="none" w:sz="0" w:space="0" w:color="auto"/>
            <w:bottom w:val="none" w:sz="0" w:space="0" w:color="auto"/>
            <w:right w:val="none" w:sz="0" w:space="0" w:color="auto"/>
          </w:divBdr>
        </w:div>
        <w:div w:id="1413621151">
          <w:marLeft w:val="0"/>
          <w:marRight w:val="0"/>
          <w:marTop w:val="0"/>
          <w:marBottom w:val="0"/>
          <w:divBdr>
            <w:top w:val="none" w:sz="0" w:space="0" w:color="auto"/>
            <w:left w:val="none" w:sz="0" w:space="0" w:color="auto"/>
            <w:bottom w:val="none" w:sz="0" w:space="0" w:color="auto"/>
            <w:right w:val="none" w:sz="0" w:space="0" w:color="auto"/>
          </w:divBdr>
        </w:div>
        <w:div w:id="1346706166">
          <w:marLeft w:val="0"/>
          <w:marRight w:val="0"/>
          <w:marTop w:val="0"/>
          <w:marBottom w:val="0"/>
          <w:divBdr>
            <w:top w:val="none" w:sz="0" w:space="0" w:color="auto"/>
            <w:left w:val="none" w:sz="0" w:space="0" w:color="auto"/>
            <w:bottom w:val="none" w:sz="0" w:space="0" w:color="auto"/>
            <w:right w:val="none" w:sz="0" w:space="0" w:color="auto"/>
          </w:divBdr>
        </w:div>
        <w:div w:id="1531456602">
          <w:marLeft w:val="0"/>
          <w:marRight w:val="0"/>
          <w:marTop w:val="0"/>
          <w:marBottom w:val="0"/>
          <w:divBdr>
            <w:top w:val="none" w:sz="0" w:space="0" w:color="auto"/>
            <w:left w:val="none" w:sz="0" w:space="0" w:color="auto"/>
            <w:bottom w:val="none" w:sz="0" w:space="0" w:color="auto"/>
            <w:right w:val="none" w:sz="0" w:space="0" w:color="auto"/>
          </w:divBdr>
        </w:div>
        <w:div w:id="2120753339">
          <w:marLeft w:val="0"/>
          <w:marRight w:val="0"/>
          <w:marTop w:val="0"/>
          <w:marBottom w:val="0"/>
          <w:divBdr>
            <w:top w:val="none" w:sz="0" w:space="0" w:color="auto"/>
            <w:left w:val="none" w:sz="0" w:space="0" w:color="auto"/>
            <w:bottom w:val="none" w:sz="0" w:space="0" w:color="auto"/>
            <w:right w:val="none" w:sz="0" w:space="0" w:color="auto"/>
          </w:divBdr>
        </w:div>
        <w:div w:id="906961379">
          <w:marLeft w:val="0"/>
          <w:marRight w:val="0"/>
          <w:marTop w:val="0"/>
          <w:marBottom w:val="0"/>
          <w:divBdr>
            <w:top w:val="none" w:sz="0" w:space="0" w:color="auto"/>
            <w:left w:val="none" w:sz="0" w:space="0" w:color="auto"/>
            <w:bottom w:val="none" w:sz="0" w:space="0" w:color="auto"/>
            <w:right w:val="none" w:sz="0" w:space="0" w:color="auto"/>
          </w:divBdr>
        </w:div>
        <w:div w:id="388118285">
          <w:marLeft w:val="0"/>
          <w:marRight w:val="0"/>
          <w:marTop w:val="0"/>
          <w:marBottom w:val="0"/>
          <w:divBdr>
            <w:top w:val="none" w:sz="0" w:space="0" w:color="auto"/>
            <w:left w:val="none" w:sz="0" w:space="0" w:color="auto"/>
            <w:bottom w:val="none" w:sz="0" w:space="0" w:color="auto"/>
            <w:right w:val="none" w:sz="0" w:space="0" w:color="auto"/>
          </w:divBdr>
        </w:div>
        <w:div w:id="1944266881">
          <w:marLeft w:val="0"/>
          <w:marRight w:val="0"/>
          <w:marTop w:val="0"/>
          <w:marBottom w:val="0"/>
          <w:divBdr>
            <w:top w:val="none" w:sz="0" w:space="0" w:color="auto"/>
            <w:left w:val="none" w:sz="0" w:space="0" w:color="auto"/>
            <w:bottom w:val="none" w:sz="0" w:space="0" w:color="auto"/>
            <w:right w:val="none" w:sz="0" w:space="0" w:color="auto"/>
          </w:divBdr>
        </w:div>
        <w:div w:id="1716352962">
          <w:marLeft w:val="0"/>
          <w:marRight w:val="0"/>
          <w:marTop w:val="0"/>
          <w:marBottom w:val="0"/>
          <w:divBdr>
            <w:top w:val="none" w:sz="0" w:space="0" w:color="auto"/>
            <w:left w:val="none" w:sz="0" w:space="0" w:color="auto"/>
            <w:bottom w:val="none" w:sz="0" w:space="0" w:color="auto"/>
            <w:right w:val="none" w:sz="0" w:space="0" w:color="auto"/>
          </w:divBdr>
        </w:div>
        <w:div w:id="2096853611">
          <w:marLeft w:val="0"/>
          <w:marRight w:val="0"/>
          <w:marTop w:val="0"/>
          <w:marBottom w:val="0"/>
          <w:divBdr>
            <w:top w:val="none" w:sz="0" w:space="0" w:color="auto"/>
            <w:left w:val="none" w:sz="0" w:space="0" w:color="auto"/>
            <w:bottom w:val="none" w:sz="0" w:space="0" w:color="auto"/>
            <w:right w:val="none" w:sz="0" w:space="0" w:color="auto"/>
          </w:divBdr>
        </w:div>
        <w:div w:id="538476051">
          <w:marLeft w:val="0"/>
          <w:marRight w:val="0"/>
          <w:marTop w:val="0"/>
          <w:marBottom w:val="0"/>
          <w:divBdr>
            <w:top w:val="none" w:sz="0" w:space="0" w:color="auto"/>
            <w:left w:val="none" w:sz="0" w:space="0" w:color="auto"/>
            <w:bottom w:val="none" w:sz="0" w:space="0" w:color="auto"/>
            <w:right w:val="none" w:sz="0" w:space="0" w:color="auto"/>
          </w:divBdr>
        </w:div>
        <w:div w:id="1377462055">
          <w:marLeft w:val="0"/>
          <w:marRight w:val="0"/>
          <w:marTop w:val="0"/>
          <w:marBottom w:val="0"/>
          <w:divBdr>
            <w:top w:val="none" w:sz="0" w:space="0" w:color="auto"/>
            <w:left w:val="none" w:sz="0" w:space="0" w:color="auto"/>
            <w:bottom w:val="none" w:sz="0" w:space="0" w:color="auto"/>
            <w:right w:val="none" w:sz="0" w:space="0" w:color="auto"/>
          </w:divBdr>
        </w:div>
        <w:div w:id="1963919591">
          <w:marLeft w:val="0"/>
          <w:marRight w:val="0"/>
          <w:marTop w:val="0"/>
          <w:marBottom w:val="0"/>
          <w:divBdr>
            <w:top w:val="none" w:sz="0" w:space="0" w:color="auto"/>
            <w:left w:val="none" w:sz="0" w:space="0" w:color="auto"/>
            <w:bottom w:val="none" w:sz="0" w:space="0" w:color="auto"/>
            <w:right w:val="none" w:sz="0" w:space="0" w:color="auto"/>
          </w:divBdr>
        </w:div>
      </w:divsChild>
    </w:div>
    <w:div w:id="854155327">
      <w:bodyDiv w:val="1"/>
      <w:marLeft w:val="0"/>
      <w:marRight w:val="0"/>
      <w:marTop w:val="0"/>
      <w:marBottom w:val="0"/>
      <w:divBdr>
        <w:top w:val="none" w:sz="0" w:space="0" w:color="auto"/>
        <w:left w:val="none" w:sz="0" w:space="0" w:color="auto"/>
        <w:bottom w:val="none" w:sz="0" w:space="0" w:color="auto"/>
        <w:right w:val="none" w:sz="0" w:space="0" w:color="auto"/>
      </w:divBdr>
      <w:divsChild>
        <w:div w:id="1644847637">
          <w:marLeft w:val="0"/>
          <w:marRight w:val="0"/>
          <w:marTop w:val="0"/>
          <w:marBottom w:val="0"/>
          <w:divBdr>
            <w:top w:val="none" w:sz="0" w:space="0" w:color="auto"/>
            <w:left w:val="none" w:sz="0" w:space="0" w:color="auto"/>
            <w:bottom w:val="none" w:sz="0" w:space="0" w:color="auto"/>
            <w:right w:val="none" w:sz="0" w:space="0" w:color="auto"/>
          </w:divBdr>
        </w:div>
        <w:div w:id="1588614979">
          <w:marLeft w:val="0"/>
          <w:marRight w:val="0"/>
          <w:marTop w:val="0"/>
          <w:marBottom w:val="0"/>
          <w:divBdr>
            <w:top w:val="none" w:sz="0" w:space="0" w:color="auto"/>
            <w:left w:val="none" w:sz="0" w:space="0" w:color="auto"/>
            <w:bottom w:val="none" w:sz="0" w:space="0" w:color="auto"/>
            <w:right w:val="none" w:sz="0" w:space="0" w:color="auto"/>
          </w:divBdr>
        </w:div>
        <w:div w:id="1353650374">
          <w:marLeft w:val="0"/>
          <w:marRight w:val="0"/>
          <w:marTop w:val="0"/>
          <w:marBottom w:val="0"/>
          <w:divBdr>
            <w:top w:val="none" w:sz="0" w:space="0" w:color="auto"/>
            <w:left w:val="none" w:sz="0" w:space="0" w:color="auto"/>
            <w:bottom w:val="none" w:sz="0" w:space="0" w:color="auto"/>
            <w:right w:val="none" w:sz="0" w:space="0" w:color="auto"/>
          </w:divBdr>
        </w:div>
        <w:div w:id="2130854917">
          <w:marLeft w:val="0"/>
          <w:marRight w:val="0"/>
          <w:marTop w:val="0"/>
          <w:marBottom w:val="0"/>
          <w:divBdr>
            <w:top w:val="none" w:sz="0" w:space="0" w:color="auto"/>
            <w:left w:val="none" w:sz="0" w:space="0" w:color="auto"/>
            <w:bottom w:val="none" w:sz="0" w:space="0" w:color="auto"/>
            <w:right w:val="none" w:sz="0" w:space="0" w:color="auto"/>
          </w:divBdr>
        </w:div>
        <w:div w:id="311059693">
          <w:marLeft w:val="0"/>
          <w:marRight w:val="0"/>
          <w:marTop w:val="0"/>
          <w:marBottom w:val="0"/>
          <w:divBdr>
            <w:top w:val="none" w:sz="0" w:space="0" w:color="auto"/>
            <w:left w:val="none" w:sz="0" w:space="0" w:color="auto"/>
            <w:bottom w:val="none" w:sz="0" w:space="0" w:color="auto"/>
            <w:right w:val="none" w:sz="0" w:space="0" w:color="auto"/>
          </w:divBdr>
        </w:div>
        <w:div w:id="189152056">
          <w:marLeft w:val="0"/>
          <w:marRight w:val="0"/>
          <w:marTop w:val="0"/>
          <w:marBottom w:val="0"/>
          <w:divBdr>
            <w:top w:val="none" w:sz="0" w:space="0" w:color="auto"/>
            <w:left w:val="none" w:sz="0" w:space="0" w:color="auto"/>
            <w:bottom w:val="none" w:sz="0" w:space="0" w:color="auto"/>
            <w:right w:val="none" w:sz="0" w:space="0" w:color="auto"/>
          </w:divBdr>
        </w:div>
        <w:div w:id="2018000116">
          <w:marLeft w:val="0"/>
          <w:marRight w:val="0"/>
          <w:marTop w:val="0"/>
          <w:marBottom w:val="0"/>
          <w:divBdr>
            <w:top w:val="none" w:sz="0" w:space="0" w:color="auto"/>
            <w:left w:val="none" w:sz="0" w:space="0" w:color="auto"/>
            <w:bottom w:val="none" w:sz="0" w:space="0" w:color="auto"/>
            <w:right w:val="none" w:sz="0" w:space="0" w:color="auto"/>
          </w:divBdr>
        </w:div>
        <w:div w:id="2008513251">
          <w:marLeft w:val="0"/>
          <w:marRight w:val="0"/>
          <w:marTop w:val="0"/>
          <w:marBottom w:val="0"/>
          <w:divBdr>
            <w:top w:val="none" w:sz="0" w:space="0" w:color="auto"/>
            <w:left w:val="none" w:sz="0" w:space="0" w:color="auto"/>
            <w:bottom w:val="none" w:sz="0" w:space="0" w:color="auto"/>
            <w:right w:val="none" w:sz="0" w:space="0" w:color="auto"/>
          </w:divBdr>
        </w:div>
        <w:div w:id="2046904822">
          <w:marLeft w:val="0"/>
          <w:marRight w:val="0"/>
          <w:marTop w:val="0"/>
          <w:marBottom w:val="0"/>
          <w:divBdr>
            <w:top w:val="none" w:sz="0" w:space="0" w:color="auto"/>
            <w:left w:val="none" w:sz="0" w:space="0" w:color="auto"/>
            <w:bottom w:val="none" w:sz="0" w:space="0" w:color="auto"/>
            <w:right w:val="none" w:sz="0" w:space="0" w:color="auto"/>
          </w:divBdr>
        </w:div>
        <w:div w:id="324281646">
          <w:marLeft w:val="0"/>
          <w:marRight w:val="0"/>
          <w:marTop w:val="0"/>
          <w:marBottom w:val="0"/>
          <w:divBdr>
            <w:top w:val="none" w:sz="0" w:space="0" w:color="auto"/>
            <w:left w:val="none" w:sz="0" w:space="0" w:color="auto"/>
            <w:bottom w:val="none" w:sz="0" w:space="0" w:color="auto"/>
            <w:right w:val="none" w:sz="0" w:space="0" w:color="auto"/>
          </w:divBdr>
        </w:div>
        <w:div w:id="1851675046">
          <w:marLeft w:val="0"/>
          <w:marRight w:val="0"/>
          <w:marTop w:val="0"/>
          <w:marBottom w:val="0"/>
          <w:divBdr>
            <w:top w:val="none" w:sz="0" w:space="0" w:color="auto"/>
            <w:left w:val="none" w:sz="0" w:space="0" w:color="auto"/>
            <w:bottom w:val="none" w:sz="0" w:space="0" w:color="auto"/>
            <w:right w:val="none" w:sz="0" w:space="0" w:color="auto"/>
          </w:divBdr>
        </w:div>
        <w:div w:id="2064868929">
          <w:marLeft w:val="0"/>
          <w:marRight w:val="0"/>
          <w:marTop w:val="0"/>
          <w:marBottom w:val="0"/>
          <w:divBdr>
            <w:top w:val="none" w:sz="0" w:space="0" w:color="auto"/>
            <w:left w:val="none" w:sz="0" w:space="0" w:color="auto"/>
            <w:bottom w:val="none" w:sz="0" w:space="0" w:color="auto"/>
            <w:right w:val="none" w:sz="0" w:space="0" w:color="auto"/>
          </w:divBdr>
        </w:div>
        <w:div w:id="1796635250">
          <w:marLeft w:val="0"/>
          <w:marRight w:val="0"/>
          <w:marTop w:val="0"/>
          <w:marBottom w:val="0"/>
          <w:divBdr>
            <w:top w:val="none" w:sz="0" w:space="0" w:color="auto"/>
            <w:left w:val="none" w:sz="0" w:space="0" w:color="auto"/>
            <w:bottom w:val="none" w:sz="0" w:space="0" w:color="auto"/>
            <w:right w:val="none" w:sz="0" w:space="0" w:color="auto"/>
          </w:divBdr>
        </w:div>
      </w:divsChild>
    </w:div>
    <w:div w:id="1437865623">
      <w:bodyDiv w:val="1"/>
      <w:marLeft w:val="0"/>
      <w:marRight w:val="0"/>
      <w:marTop w:val="0"/>
      <w:marBottom w:val="0"/>
      <w:divBdr>
        <w:top w:val="none" w:sz="0" w:space="0" w:color="auto"/>
        <w:left w:val="none" w:sz="0" w:space="0" w:color="auto"/>
        <w:bottom w:val="none" w:sz="0" w:space="0" w:color="auto"/>
        <w:right w:val="none" w:sz="0" w:space="0" w:color="auto"/>
      </w:divBdr>
      <w:divsChild>
        <w:div w:id="1295059013">
          <w:marLeft w:val="0"/>
          <w:marRight w:val="0"/>
          <w:marTop w:val="0"/>
          <w:marBottom w:val="0"/>
          <w:divBdr>
            <w:top w:val="none" w:sz="0" w:space="0" w:color="auto"/>
            <w:left w:val="none" w:sz="0" w:space="0" w:color="auto"/>
            <w:bottom w:val="none" w:sz="0" w:space="0" w:color="auto"/>
            <w:right w:val="none" w:sz="0" w:space="0" w:color="auto"/>
          </w:divBdr>
        </w:div>
        <w:div w:id="1141537142">
          <w:marLeft w:val="0"/>
          <w:marRight w:val="0"/>
          <w:marTop w:val="0"/>
          <w:marBottom w:val="0"/>
          <w:divBdr>
            <w:top w:val="none" w:sz="0" w:space="0" w:color="auto"/>
            <w:left w:val="none" w:sz="0" w:space="0" w:color="auto"/>
            <w:bottom w:val="none" w:sz="0" w:space="0" w:color="auto"/>
            <w:right w:val="none" w:sz="0" w:space="0" w:color="auto"/>
          </w:divBdr>
        </w:div>
        <w:div w:id="1225331344">
          <w:marLeft w:val="0"/>
          <w:marRight w:val="0"/>
          <w:marTop w:val="0"/>
          <w:marBottom w:val="0"/>
          <w:divBdr>
            <w:top w:val="none" w:sz="0" w:space="0" w:color="auto"/>
            <w:left w:val="none" w:sz="0" w:space="0" w:color="auto"/>
            <w:bottom w:val="none" w:sz="0" w:space="0" w:color="auto"/>
            <w:right w:val="none" w:sz="0" w:space="0" w:color="auto"/>
          </w:divBdr>
        </w:div>
        <w:div w:id="415201806">
          <w:marLeft w:val="0"/>
          <w:marRight w:val="0"/>
          <w:marTop w:val="0"/>
          <w:marBottom w:val="0"/>
          <w:divBdr>
            <w:top w:val="none" w:sz="0" w:space="0" w:color="auto"/>
            <w:left w:val="none" w:sz="0" w:space="0" w:color="auto"/>
            <w:bottom w:val="none" w:sz="0" w:space="0" w:color="auto"/>
            <w:right w:val="none" w:sz="0" w:space="0" w:color="auto"/>
          </w:divBdr>
        </w:div>
        <w:div w:id="396436815">
          <w:marLeft w:val="0"/>
          <w:marRight w:val="0"/>
          <w:marTop w:val="0"/>
          <w:marBottom w:val="0"/>
          <w:divBdr>
            <w:top w:val="none" w:sz="0" w:space="0" w:color="auto"/>
            <w:left w:val="none" w:sz="0" w:space="0" w:color="auto"/>
            <w:bottom w:val="none" w:sz="0" w:space="0" w:color="auto"/>
            <w:right w:val="none" w:sz="0" w:space="0" w:color="auto"/>
          </w:divBdr>
        </w:div>
        <w:div w:id="1538541455">
          <w:marLeft w:val="0"/>
          <w:marRight w:val="0"/>
          <w:marTop w:val="0"/>
          <w:marBottom w:val="0"/>
          <w:divBdr>
            <w:top w:val="none" w:sz="0" w:space="0" w:color="auto"/>
            <w:left w:val="none" w:sz="0" w:space="0" w:color="auto"/>
            <w:bottom w:val="none" w:sz="0" w:space="0" w:color="auto"/>
            <w:right w:val="none" w:sz="0" w:space="0" w:color="auto"/>
          </w:divBdr>
        </w:div>
        <w:div w:id="1607734295">
          <w:marLeft w:val="0"/>
          <w:marRight w:val="0"/>
          <w:marTop w:val="0"/>
          <w:marBottom w:val="0"/>
          <w:divBdr>
            <w:top w:val="none" w:sz="0" w:space="0" w:color="auto"/>
            <w:left w:val="none" w:sz="0" w:space="0" w:color="auto"/>
            <w:bottom w:val="none" w:sz="0" w:space="0" w:color="auto"/>
            <w:right w:val="none" w:sz="0" w:space="0" w:color="auto"/>
          </w:divBdr>
        </w:div>
        <w:div w:id="1023704005">
          <w:marLeft w:val="0"/>
          <w:marRight w:val="0"/>
          <w:marTop w:val="0"/>
          <w:marBottom w:val="0"/>
          <w:divBdr>
            <w:top w:val="none" w:sz="0" w:space="0" w:color="auto"/>
            <w:left w:val="none" w:sz="0" w:space="0" w:color="auto"/>
            <w:bottom w:val="none" w:sz="0" w:space="0" w:color="auto"/>
            <w:right w:val="none" w:sz="0" w:space="0" w:color="auto"/>
          </w:divBdr>
        </w:div>
        <w:div w:id="1381898010">
          <w:marLeft w:val="0"/>
          <w:marRight w:val="0"/>
          <w:marTop w:val="0"/>
          <w:marBottom w:val="0"/>
          <w:divBdr>
            <w:top w:val="none" w:sz="0" w:space="0" w:color="auto"/>
            <w:left w:val="none" w:sz="0" w:space="0" w:color="auto"/>
            <w:bottom w:val="none" w:sz="0" w:space="0" w:color="auto"/>
            <w:right w:val="none" w:sz="0" w:space="0" w:color="auto"/>
          </w:divBdr>
        </w:div>
        <w:div w:id="1619800915">
          <w:marLeft w:val="0"/>
          <w:marRight w:val="0"/>
          <w:marTop w:val="0"/>
          <w:marBottom w:val="0"/>
          <w:divBdr>
            <w:top w:val="none" w:sz="0" w:space="0" w:color="auto"/>
            <w:left w:val="none" w:sz="0" w:space="0" w:color="auto"/>
            <w:bottom w:val="none" w:sz="0" w:space="0" w:color="auto"/>
            <w:right w:val="none" w:sz="0" w:space="0" w:color="auto"/>
          </w:divBdr>
        </w:div>
        <w:div w:id="152765877">
          <w:marLeft w:val="0"/>
          <w:marRight w:val="0"/>
          <w:marTop w:val="0"/>
          <w:marBottom w:val="0"/>
          <w:divBdr>
            <w:top w:val="none" w:sz="0" w:space="0" w:color="auto"/>
            <w:left w:val="none" w:sz="0" w:space="0" w:color="auto"/>
            <w:bottom w:val="none" w:sz="0" w:space="0" w:color="auto"/>
            <w:right w:val="none" w:sz="0" w:space="0" w:color="auto"/>
          </w:divBdr>
        </w:div>
        <w:div w:id="2131824208">
          <w:marLeft w:val="0"/>
          <w:marRight w:val="0"/>
          <w:marTop w:val="0"/>
          <w:marBottom w:val="0"/>
          <w:divBdr>
            <w:top w:val="none" w:sz="0" w:space="0" w:color="auto"/>
            <w:left w:val="none" w:sz="0" w:space="0" w:color="auto"/>
            <w:bottom w:val="none" w:sz="0" w:space="0" w:color="auto"/>
            <w:right w:val="none" w:sz="0" w:space="0" w:color="auto"/>
          </w:divBdr>
        </w:div>
        <w:div w:id="223681056">
          <w:marLeft w:val="0"/>
          <w:marRight w:val="0"/>
          <w:marTop w:val="0"/>
          <w:marBottom w:val="0"/>
          <w:divBdr>
            <w:top w:val="none" w:sz="0" w:space="0" w:color="auto"/>
            <w:left w:val="none" w:sz="0" w:space="0" w:color="auto"/>
            <w:bottom w:val="none" w:sz="0" w:space="0" w:color="auto"/>
            <w:right w:val="none" w:sz="0" w:space="0" w:color="auto"/>
          </w:divBdr>
        </w:div>
      </w:divsChild>
    </w:div>
    <w:div w:id="2115708036">
      <w:bodyDiv w:val="1"/>
      <w:marLeft w:val="0"/>
      <w:marRight w:val="0"/>
      <w:marTop w:val="0"/>
      <w:marBottom w:val="0"/>
      <w:divBdr>
        <w:top w:val="none" w:sz="0" w:space="0" w:color="auto"/>
        <w:left w:val="none" w:sz="0" w:space="0" w:color="auto"/>
        <w:bottom w:val="none" w:sz="0" w:space="0" w:color="auto"/>
        <w:right w:val="none" w:sz="0" w:space="0" w:color="auto"/>
      </w:divBdr>
      <w:divsChild>
        <w:div w:id="2002737687">
          <w:marLeft w:val="0"/>
          <w:marRight w:val="0"/>
          <w:marTop w:val="0"/>
          <w:marBottom w:val="0"/>
          <w:divBdr>
            <w:top w:val="none" w:sz="0" w:space="0" w:color="auto"/>
            <w:left w:val="none" w:sz="0" w:space="0" w:color="auto"/>
            <w:bottom w:val="none" w:sz="0" w:space="0" w:color="auto"/>
            <w:right w:val="none" w:sz="0" w:space="0" w:color="auto"/>
          </w:divBdr>
        </w:div>
        <w:div w:id="961032144">
          <w:marLeft w:val="0"/>
          <w:marRight w:val="0"/>
          <w:marTop w:val="0"/>
          <w:marBottom w:val="0"/>
          <w:divBdr>
            <w:top w:val="none" w:sz="0" w:space="0" w:color="auto"/>
            <w:left w:val="none" w:sz="0" w:space="0" w:color="auto"/>
            <w:bottom w:val="none" w:sz="0" w:space="0" w:color="auto"/>
            <w:right w:val="none" w:sz="0" w:space="0" w:color="auto"/>
          </w:divBdr>
        </w:div>
        <w:div w:id="1182625626">
          <w:marLeft w:val="0"/>
          <w:marRight w:val="0"/>
          <w:marTop w:val="0"/>
          <w:marBottom w:val="0"/>
          <w:divBdr>
            <w:top w:val="none" w:sz="0" w:space="0" w:color="auto"/>
            <w:left w:val="none" w:sz="0" w:space="0" w:color="auto"/>
            <w:bottom w:val="none" w:sz="0" w:space="0" w:color="auto"/>
            <w:right w:val="none" w:sz="0" w:space="0" w:color="auto"/>
          </w:divBdr>
        </w:div>
        <w:div w:id="2052264271">
          <w:marLeft w:val="0"/>
          <w:marRight w:val="0"/>
          <w:marTop w:val="0"/>
          <w:marBottom w:val="0"/>
          <w:divBdr>
            <w:top w:val="none" w:sz="0" w:space="0" w:color="auto"/>
            <w:left w:val="none" w:sz="0" w:space="0" w:color="auto"/>
            <w:bottom w:val="none" w:sz="0" w:space="0" w:color="auto"/>
            <w:right w:val="none" w:sz="0" w:space="0" w:color="auto"/>
          </w:divBdr>
        </w:div>
        <w:div w:id="515583934">
          <w:marLeft w:val="0"/>
          <w:marRight w:val="0"/>
          <w:marTop w:val="0"/>
          <w:marBottom w:val="0"/>
          <w:divBdr>
            <w:top w:val="none" w:sz="0" w:space="0" w:color="auto"/>
            <w:left w:val="none" w:sz="0" w:space="0" w:color="auto"/>
            <w:bottom w:val="none" w:sz="0" w:space="0" w:color="auto"/>
            <w:right w:val="none" w:sz="0" w:space="0" w:color="auto"/>
          </w:divBdr>
        </w:div>
        <w:div w:id="275328954">
          <w:marLeft w:val="0"/>
          <w:marRight w:val="0"/>
          <w:marTop w:val="0"/>
          <w:marBottom w:val="0"/>
          <w:divBdr>
            <w:top w:val="none" w:sz="0" w:space="0" w:color="auto"/>
            <w:left w:val="none" w:sz="0" w:space="0" w:color="auto"/>
            <w:bottom w:val="none" w:sz="0" w:space="0" w:color="auto"/>
            <w:right w:val="none" w:sz="0" w:space="0" w:color="auto"/>
          </w:divBdr>
        </w:div>
        <w:div w:id="359673214">
          <w:marLeft w:val="0"/>
          <w:marRight w:val="0"/>
          <w:marTop w:val="0"/>
          <w:marBottom w:val="0"/>
          <w:divBdr>
            <w:top w:val="none" w:sz="0" w:space="0" w:color="auto"/>
            <w:left w:val="none" w:sz="0" w:space="0" w:color="auto"/>
            <w:bottom w:val="none" w:sz="0" w:space="0" w:color="auto"/>
            <w:right w:val="none" w:sz="0" w:space="0" w:color="auto"/>
          </w:divBdr>
        </w:div>
        <w:div w:id="1158424015">
          <w:marLeft w:val="0"/>
          <w:marRight w:val="0"/>
          <w:marTop w:val="0"/>
          <w:marBottom w:val="0"/>
          <w:divBdr>
            <w:top w:val="none" w:sz="0" w:space="0" w:color="auto"/>
            <w:left w:val="none" w:sz="0" w:space="0" w:color="auto"/>
            <w:bottom w:val="none" w:sz="0" w:space="0" w:color="auto"/>
            <w:right w:val="none" w:sz="0" w:space="0" w:color="auto"/>
          </w:divBdr>
        </w:div>
        <w:div w:id="270212622">
          <w:marLeft w:val="0"/>
          <w:marRight w:val="0"/>
          <w:marTop w:val="0"/>
          <w:marBottom w:val="0"/>
          <w:divBdr>
            <w:top w:val="none" w:sz="0" w:space="0" w:color="auto"/>
            <w:left w:val="none" w:sz="0" w:space="0" w:color="auto"/>
            <w:bottom w:val="none" w:sz="0" w:space="0" w:color="auto"/>
            <w:right w:val="none" w:sz="0" w:space="0" w:color="auto"/>
          </w:divBdr>
        </w:div>
        <w:div w:id="159272765">
          <w:marLeft w:val="0"/>
          <w:marRight w:val="0"/>
          <w:marTop w:val="0"/>
          <w:marBottom w:val="0"/>
          <w:divBdr>
            <w:top w:val="none" w:sz="0" w:space="0" w:color="auto"/>
            <w:left w:val="none" w:sz="0" w:space="0" w:color="auto"/>
            <w:bottom w:val="none" w:sz="0" w:space="0" w:color="auto"/>
            <w:right w:val="none" w:sz="0" w:space="0" w:color="auto"/>
          </w:divBdr>
        </w:div>
        <w:div w:id="2061128442">
          <w:marLeft w:val="0"/>
          <w:marRight w:val="0"/>
          <w:marTop w:val="0"/>
          <w:marBottom w:val="0"/>
          <w:divBdr>
            <w:top w:val="none" w:sz="0" w:space="0" w:color="auto"/>
            <w:left w:val="none" w:sz="0" w:space="0" w:color="auto"/>
            <w:bottom w:val="none" w:sz="0" w:space="0" w:color="auto"/>
            <w:right w:val="none" w:sz="0" w:space="0" w:color="auto"/>
          </w:divBdr>
        </w:div>
        <w:div w:id="1907375706">
          <w:marLeft w:val="0"/>
          <w:marRight w:val="0"/>
          <w:marTop w:val="0"/>
          <w:marBottom w:val="0"/>
          <w:divBdr>
            <w:top w:val="none" w:sz="0" w:space="0" w:color="auto"/>
            <w:left w:val="none" w:sz="0" w:space="0" w:color="auto"/>
            <w:bottom w:val="none" w:sz="0" w:space="0" w:color="auto"/>
            <w:right w:val="none" w:sz="0" w:space="0" w:color="auto"/>
          </w:divBdr>
        </w:div>
        <w:div w:id="809978564">
          <w:marLeft w:val="0"/>
          <w:marRight w:val="0"/>
          <w:marTop w:val="0"/>
          <w:marBottom w:val="0"/>
          <w:divBdr>
            <w:top w:val="none" w:sz="0" w:space="0" w:color="auto"/>
            <w:left w:val="none" w:sz="0" w:space="0" w:color="auto"/>
            <w:bottom w:val="none" w:sz="0" w:space="0" w:color="auto"/>
            <w:right w:val="none" w:sz="0" w:space="0" w:color="auto"/>
          </w:divBdr>
        </w:div>
        <w:div w:id="1377118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jci1.3:c:BWBR0002221&amp;hoofdstuk=III&amp;paragraaf=1&amp;artikel=7a&amp;z=2025-01-01&amp;g=2025-01-01" TargetMode="External"/><Relationship Id="rId2" Type="http://schemas.openxmlformats.org/officeDocument/2006/relationships/hyperlink" Target="https://www.cbs.nl/nl-nl/maatwerk/2025/45/geslachtsneutrale-levensverwachting-op-65e-verjaardag" TargetMode="External"/><Relationship Id="rId1" Type="http://schemas.openxmlformats.org/officeDocument/2006/relationships/hyperlink" Target="https://opendata.cbs.nl/" TargetMode="External"/><Relationship Id="rId5" Type="http://schemas.openxmlformats.org/officeDocument/2006/relationships/hyperlink" Target="https://opendata.cbs.nl/" TargetMode="External"/><Relationship Id="rId4" Type="http://schemas.openxmlformats.org/officeDocument/2006/relationships/hyperlink" Target="https://www.cbs.nl/nl-nl/longread/statistische-trends/2020/sterfte-en-levensverwachting-in-de-21ste-eeuw-waarom-veranderde-de-trend-rond-2012-?onepage=tru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1059</ap:Words>
  <ap:Characters>5830</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2025-12-12T10:44:00.0000000Z</dcterms:created>
  <dcterms:modified xsi:type="dcterms:W3CDTF">2026-01-06T09:20:00.0000000Z</dcterms:modified>
  <version/>
  <category/>
</coreProperties>
</file>