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0812" w:rsidR="00E0398C" w:rsidP="00E0398C" w:rsidRDefault="00E0398C" w14:paraId="6DF27DC4" w14:textId="77777777">
      <w:pPr>
        <w:spacing w:after="0" w:line="259" w:lineRule="auto"/>
        <w:jc w:val="center"/>
        <w:rPr>
          <w:rFonts w:ascii="Calibri" w:hAnsi="Calibri" w:eastAsia="Calibri" w:cs="Times New Roman"/>
          <w:kern w:val="0"/>
          <w:sz w:val="22"/>
          <w:szCs w:val="22"/>
          <w14:ligatures w14:val="none"/>
        </w:rPr>
      </w:pPr>
      <w:r w:rsidRPr="00F00812">
        <w:rPr>
          <w:rFonts w:ascii="Verdana" w:hAnsi="Verdana" w:eastAsia="Verdana" w:cs="Verdana"/>
          <w:b/>
          <w:bCs/>
          <w:kern w:val="0"/>
          <w14:ligatures w14:val="none"/>
        </w:rPr>
        <w:t xml:space="preserve">Geannoteerde agenda van de </w:t>
      </w:r>
      <w:r>
        <w:rPr>
          <w:rFonts w:ascii="Verdana" w:hAnsi="Verdana" w:eastAsia="Verdana" w:cs="Verdana"/>
          <w:b/>
          <w:bCs/>
          <w:kern w:val="0"/>
          <w14:ligatures w14:val="none"/>
        </w:rPr>
        <w:t xml:space="preserve">informele </w:t>
      </w:r>
      <w:r w:rsidRPr="00F00812">
        <w:rPr>
          <w:rFonts w:ascii="Verdana" w:hAnsi="Verdana" w:eastAsia="Verdana" w:cs="Verdana"/>
          <w:b/>
          <w:bCs/>
          <w:kern w:val="0"/>
          <w14:ligatures w14:val="none"/>
        </w:rPr>
        <w:t>bijeenkomst</w:t>
      </w:r>
    </w:p>
    <w:p w:rsidRPr="00F00812" w:rsidR="00E0398C" w:rsidP="00E0398C" w:rsidRDefault="00E0398C" w14:paraId="0ACFBCB8" w14:textId="77777777">
      <w:pPr>
        <w:spacing w:after="0" w:line="259" w:lineRule="auto"/>
        <w:jc w:val="center"/>
        <w:rPr>
          <w:rFonts w:ascii="Calibri" w:hAnsi="Calibri" w:eastAsia="Calibri" w:cs="Times New Roman"/>
          <w:kern w:val="0"/>
          <w:sz w:val="22"/>
          <w:szCs w:val="22"/>
          <w14:ligatures w14:val="none"/>
        </w:rPr>
      </w:pPr>
      <w:r w:rsidRPr="00F00812">
        <w:rPr>
          <w:rFonts w:ascii="Verdana" w:hAnsi="Verdana" w:eastAsia="Verdana" w:cs="Verdana"/>
          <w:b/>
          <w:bCs/>
          <w:kern w:val="0"/>
          <w14:ligatures w14:val="none"/>
        </w:rPr>
        <w:t xml:space="preserve">van </w:t>
      </w:r>
      <w:r>
        <w:rPr>
          <w:rFonts w:ascii="Verdana" w:hAnsi="Verdana" w:eastAsia="Verdana" w:cs="Verdana"/>
          <w:b/>
          <w:bCs/>
          <w:kern w:val="0"/>
          <w14:ligatures w14:val="none"/>
        </w:rPr>
        <w:t xml:space="preserve">de Raad </w:t>
      </w:r>
      <w:r w:rsidRPr="00F00812">
        <w:rPr>
          <w:rFonts w:ascii="Verdana" w:hAnsi="Verdana" w:eastAsia="Verdana" w:cs="Verdana"/>
          <w:b/>
          <w:bCs/>
          <w:kern w:val="0"/>
          <w14:ligatures w14:val="none"/>
        </w:rPr>
        <w:t>Justitie en Binnenlandse Zaken,</w:t>
      </w:r>
    </w:p>
    <w:p w:rsidRPr="00F00812" w:rsidR="00E0398C" w:rsidP="00E0398C" w:rsidRDefault="00E0398C" w14:paraId="5E87A3B4" w14:textId="77777777">
      <w:pPr>
        <w:spacing w:after="0" w:line="259" w:lineRule="auto"/>
        <w:jc w:val="center"/>
        <w:rPr>
          <w:rFonts w:ascii="Calibri" w:hAnsi="Calibri" w:eastAsia="Calibri" w:cs="Times New Roman"/>
          <w:kern w:val="0"/>
          <w:sz w:val="22"/>
          <w:szCs w:val="22"/>
          <w14:ligatures w14:val="none"/>
        </w:rPr>
      </w:pPr>
      <w:r>
        <w:rPr>
          <w:rFonts w:ascii="Verdana" w:hAnsi="Verdana" w:eastAsia="Verdana" w:cs="Verdana"/>
          <w:b/>
          <w:bCs/>
          <w:kern w:val="0"/>
          <w14:ligatures w14:val="none"/>
        </w:rPr>
        <w:t>22 en 23 januari 2026</w:t>
      </w:r>
    </w:p>
    <w:p w:rsidRPr="00F00812" w:rsidR="004649E9" w:rsidP="004649E9" w:rsidRDefault="004649E9" w14:paraId="6B0667C9" w14:textId="77777777">
      <w:pPr>
        <w:spacing w:after="0" w:line="259" w:lineRule="auto"/>
        <w:jc w:val="both"/>
        <w:rPr>
          <w:rFonts w:ascii="Verdana" w:hAnsi="Verdana" w:eastAsia="Verdana" w:cs="Verdana"/>
          <w:b/>
          <w:bCs/>
        </w:rPr>
      </w:pPr>
    </w:p>
    <w:p w:rsidRPr="004649E9" w:rsidR="004649E9" w:rsidP="004649E9" w:rsidRDefault="004649E9" w14:paraId="1277732A" w14:textId="77777777">
      <w:pPr>
        <w:pStyle w:val="Lijstalinea"/>
        <w:numPr>
          <w:ilvl w:val="0"/>
          <w:numId w:val="1"/>
        </w:numPr>
        <w:rPr>
          <w:rFonts w:ascii="Verdana" w:hAnsi="Verdana"/>
          <w:b/>
          <w:bCs/>
          <w:lang w:val="en-US"/>
        </w:rPr>
      </w:pPr>
      <w:proofErr w:type="spellStart"/>
      <w:r>
        <w:rPr>
          <w:rFonts w:ascii="Verdana" w:hAnsi="Verdana"/>
          <w:b/>
          <w:bCs/>
          <w:lang w:val="en-US"/>
        </w:rPr>
        <w:t>Binnenlandse</w:t>
      </w:r>
      <w:proofErr w:type="spellEnd"/>
      <w:r>
        <w:rPr>
          <w:rFonts w:ascii="Verdana" w:hAnsi="Verdana"/>
          <w:b/>
          <w:bCs/>
          <w:lang w:val="en-US"/>
        </w:rPr>
        <w:t xml:space="preserve"> Zaken</w:t>
      </w:r>
      <w:r>
        <w:rPr>
          <w:rFonts w:ascii="Verdana" w:hAnsi="Verdana"/>
          <w:b/>
          <w:bCs/>
          <w:lang w:val="en-US"/>
        </w:rPr>
        <w:br/>
      </w:r>
    </w:p>
    <w:p w:rsidRPr="004649E9" w:rsidR="004649E9" w:rsidP="004649E9" w:rsidRDefault="00812E25" w14:paraId="118BCB5F" w14:textId="73FDB1AE">
      <w:pPr>
        <w:pStyle w:val="Lijstalinea"/>
        <w:numPr>
          <w:ilvl w:val="0"/>
          <w:numId w:val="6"/>
        </w:numPr>
        <w:rPr>
          <w:rFonts w:ascii="Verdana" w:hAnsi="Verdana"/>
          <w:b/>
          <w:bCs/>
        </w:rPr>
      </w:pPr>
      <w:r>
        <w:rPr>
          <w:rFonts w:ascii="Verdana" w:hAnsi="Verdana"/>
          <w:b/>
          <w:bCs/>
          <w:sz w:val="18"/>
          <w:szCs w:val="18"/>
          <w:lang w:val="nl-BE"/>
        </w:rPr>
        <w:t xml:space="preserve">Werksessie I - </w:t>
      </w:r>
      <w:r w:rsidRPr="004649E9" w:rsidR="004649E9">
        <w:rPr>
          <w:rFonts w:ascii="Verdana" w:hAnsi="Verdana"/>
          <w:b/>
          <w:bCs/>
          <w:sz w:val="18"/>
          <w:szCs w:val="18"/>
          <w:lang w:val="nl-BE"/>
        </w:rPr>
        <w:t xml:space="preserve">Duurzame benaderingen van terugkeer en </w:t>
      </w:r>
      <w:r w:rsidR="0086618B">
        <w:rPr>
          <w:rFonts w:ascii="Verdana" w:hAnsi="Verdana"/>
          <w:b/>
          <w:bCs/>
          <w:sz w:val="18"/>
          <w:szCs w:val="18"/>
          <w:lang w:val="nl-BE"/>
        </w:rPr>
        <w:t>her</w:t>
      </w:r>
      <w:r w:rsidRPr="004649E9" w:rsidR="004649E9">
        <w:rPr>
          <w:rFonts w:ascii="Verdana" w:hAnsi="Verdana"/>
          <w:b/>
          <w:bCs/>
          <w:sz w:val="18"/>
          <w:szCs w:val="18"/>
          <w:lang w:val="nl-BE"/>
        </w:rPr>
        <w:t>integratie</w:t>
      </w:r>
      <w:r w:rsidR="003B6A17">
        <w:rPr>
          <w:rFonts w:ascii="Verdana" w:hAnsi="Verdana"/>
          <w:b/>
          <w:bCs/>
          <w:sz w:val="18"/>
          <w:szCs w:val="18"/>
          <w:lang w:val="nl-BE"/>
        </w:rPr>
        <w:t xml:space="preserve"> </w:t>
      </w:r>
    </w:p>
    <w:p w:rsidRPr="00BA778F" w:rsidR="00BA778F" w:rsidP="00BA778F" w:rsidRDefault="00BA778F" w14:paraId="0DE192AB" w14:textId="5238BBD2">
      <w:pPr>
        <w:rPr>
          <w:rFonts w:ascii="Verdana" w:hAnsi="Verdana"/>
          <w:sz w:val="18"/>
          <w:szCs w:val="18"/>
        </w:rPr>
      </w:pPr>
      <w:r w:rsidRPr="00BA778F">
        <w:rPr>
          <w:rFonts w:ascii="Verdana" w:hAnsi="Verdana"/>
          <w:sz w:val="18"/>
          <w:szCs w:val="18"/>
        </w:rPr>
        <w:t>Het Cypriotisch</w:t>
      </w:r>
      <w:r w:rsidR="00725AFB">
        <w:rPr>
          <w:rFonts w:ascii="Verdana" w:hAnsi="Verdana"/>
          <w:sz w:val="18"/>
          <w:szCs w:val="18"/>
        </w:rPr>
        <w:t>e</w:t>
      </w:r>
      <w:r w:rsidRPr="00BA778F">
        <w:rPr>
          <w:rFonts w:ascii="Verdana" w:hAnsi="Verdana"/>
          <w:sz w:val="18"/>
          <w:szCs w:val="18"/>
        </w:rPr>
        <w:t xml:space="preserve"> voorzitterschap heeft een strategische discussie geagendeerd </w:t>
      </w:r>
      <w:r w:rsidR="00AE1095">
        <w:rPr>
          <w:rFonts w:ascii="Verdana" w:hAnsi="Verdana"/>
          <w:sz w:val="18"/>
          <w:szCs w:val="18"/>
        </w:rPr>
        <w:t>tijdens</w:t>
      </w:r>
      <w:r w:rsidRPr="00BA778F">
        <w:rPr>
          <w:rFonts w:ascii="Verdana" w:hAnsi="Verdana"/>
          <w:sz w:val="18"/>
          <w:szCs w:val="18"/>
        </w:rPr>
        <w:t xml:space="preserve"> de informele JBZ-Raad over duurzame terugkeer en herintegratie van </w:t>
      </w:r>
      <w:proofErr w:type="spellStart"/>
      <w:r w:rsidRPr="00BA778F">
        <w:rPr>
          <w:rFonts w:ascii="Verdana" w:hAnsi="Verdana"/>
          <w:sz w:val="18"/>
          <w:szCs w:val="18"/>
        </w:rPr>
        <w:t>vertrekplichtige</w:t>
      </w:r>
      <w:proofErr w:type="spellEnd"/>
      <w:r w:rsidRPr="00BA778F">
        <w:rPr>
          <w:rFonts w:ascii="Verdana" w:hAnsi="Verdana"/>
          <w:sz w:val="18"/>
          <w:szCs w:val="18"/>
        </w:rPr>
        <w:t xml:space="preserve"> vreemdelingen. De precieze focus van het agendapunt is op het moment van schrijven nog niet bekend. </w:t>
      </w:r>
    </w:p>
    <w:p w:rsidRPr="004474CB" w:rsidR="004474CB" w:rsidP="004474CB" w:rsidRDefault="00BA778F" w14:paraId="5779870C" w14:textId="3EC6F387">
      <w:pPr>
        <w:rPr>
          <w:rFonts w:ascii="Verdana" w:hAnsi="Verdana"/>
          <w:sz w:val="18"/>
          <w:szCs w:val="18"/>
          <w:highlight w:val="yellow"/>
        </w:rPr>
      </w:pPr>
      <w:r w:rsidRPr="00BA778F">
        <w:rPr>
          <w:rFonts w:ascii="Verdana" w:hAnsi="Verdana"/>
          <w:sz w:val="18"/>
          <w:szCs w:val="18"/>
        </w:rPr>
        <w:t xml:space="preserve">Het bevorderen van terugkeer van </w:t>
      </w:r>
      <w:proofErr w:type="spellStart"/>
      <w:r w:rsidRPr="00BA778F">
        <w:rPr>
          <w:rFonts w:ascii="Verdana" w:hAnsi="Verdana"/>
          <w:sz w:val="18"/>
          <w:szCs w:val="18"/>
        </w:rPr>
        <w:t>vertrekplichtige</w:t>
      </w:r>
      <w:proofErr w:type="spellEnd"/>
      <w:r w:rsidRPr="00BA778F">
        <w:rPr>
          <w:rFonts w:ascii="Verdana" w:hAnsi="Verdana"/>
          <w:sz w:val="18"/>
          <w:szCs w:val="18"/>
        </w:rPr>
        <w:t xml:space="preserve"> vreemdelingen is een prioriteit voor het kabinet. De terugkeerprocedure in Europa moet simpeler en efficiënter worden en</w:t>
      </w:r>
      <w:r w:rsidR="0018134C">
        <w:rPr>
          <w:rFonts w:ascii="Verdana" w:hAnsi="Verdana"/>
          <w:sz w:val="18"/>
          <w:szCs w:val="18"/>
        </w:rPr>
        <w:t xml:space="preserve"> zorgen dat</w:t>
      </w:r>
      <w:r w:rsidRPr="00BA778F">
        <w:rPr>
          <w:rFonts w:ascii="Verdana" w:hAnsi="Verdana"/>
          <w:sz w:val="18"/>
          <w:szCs w:val="18"/>
        </w:rPr>
        <w:t xml:space="preserve"> er meer ruimte komt voor innovatieve partnerschappen, zoals terugkeerhubs. Het kabinet verwelkomde tegen die achtergrond de </w:t>
      </w:r>
      <w:r w:rsidRPr="004474CB">
        <w:rPr>
          <w:rFonts w:ascii="Verdana" w:hAnsi="Verdana"/>
          <w:sz w:val="18"/>
          <w:szCs w:val="18"/>
        </w:rPr>
        <w:t>instemming van de Raad met een algemene oriëntatie ten aanzien van een voorstel voor een Terugkeerverordening</w:t>
      </w:r>
      <w:r w:rsidRPr="004474CB" w:rsidR="00AE1095">
        <w:rPr>
          <w:rFonts w:ascii="Verdana" w:hAnsi="Verdana"/>
          <w:sz w:val="18"/>
          <w:szCs w:val="18"/>
        </w:rPr>
        <w:t xml:space="preserve"> tijdens</w:t>
      </w:r>
      <w:r w:rsidRPr="004474CB">
        <w:rPr>
          <w:rFonts w:ascii="Verdana" w:hAnsi="Verdana"/>
          <w:sz w:val="18"/>
          <w:szCs w:val="18"/>
        </w:rPr>
        <w:t xml:space="preserve"> de vorige JBZ-Raad in december.</w:t>
      </w:r>
      <w:r w:rsidRPr="004474CB">
        <w:rPr>
          <w:rStyle w:val="Voetnootmarkering"/>
          <w:rFonts w:ascii="Verdana" w:hAnsi="Verdana"/>
          <w:sz w:val="18"/>
          <w:szCs w:val="18"/>
        </w:rPr>
        <w:footnoteReference w:id="2"/>
      </w:r>
      <w:r w:rsidRPr="004474CB">
        <w:rPr>
          <w:rFonts w:ascii="Verdana" w:hAnsi="Verdana"/>
          <w:sz w:val="18"/>
          <w:szCs w:val="18"/>
        </w:rPr>
        <w:t xml:space="preserve"> </w:t>
      </w:r>
      <w:r w:rsidRPr="004474CB" w:rsidR="004474CB">
        <w:rPr>
          <w:rFonts w:ascii="Verdana" w:hAnsi="Verdana"/>
          <w:sz w:val="18"/>
          <w:szCs w:val="18"/>
        </w:rPr>
        <w:t xml:space="preserve">Daarnaast is het kabinet van mening dat de EU en haar lidstaten blijvend moeten werken aan het verhogen van de terugkeerpercentages. Belangrijke elementen hiervoor zijn het verbeteren van de samenwerking met derde landen, het versterken van de operationele samenwerking o.a. door verdere ondersteuning van </w:t>
      </w:r>
      <w:proofErr w:type="spellStart"/>
      <w:r w:rsidRPr="004474CB" w:rsidR="004474CB">
        <w:rPr>
          <w:rFonts w:ascii="Verdana" w:hAnsi="Verdana"/>
          <w:sz w:val="18"/>
          <w:szCs w:val="18"/>
        </w:rPr>
        <w:t>Frontex</w:t>
      </w:r>
      <w:proofErr w:type="spellEnd"/>
      <w:r w:rsidRPr="004474CB" w:rsidR="004474CB">
        <w:rPr>
          <w:rFonts w:ascii="Verdana" w:hAnsi="Verdana"/>
          <w:sz w:val="18"/>
          <w:szCs w:val="18"/>
        </w:rPr>
        <w:t xml:space="preserve"> en door het bevorderen van terugkeer van derde landen naar derde landen.</w:t>
      </w:r>
      <w:r w:rsidRPr="004474CB" w:rsidR="004474CB">
        <w:rPr>
          <w:rStyle w:val="Voetnootmarkering"/>
          <w:rFonts w:ascii="Verdana" w:hAnsi="Verdana"/>
          <w:sz w:val="18"/>
          <w:szCs w:val="18"/>
        </w:rPr>
        <w:footnoteReference w:id="3"/>
      </w:r>
      <w:r w:rsidRPr="004474CB" w:rsidR="004474CB">
        <w:rPr>
          <w:rFonts w:ascii="Verdana" w:hAnsi="Verdana"/>
          <w:sz w:val="18"/>
          <w:szCs w:val="18"/>
        </w:rPr>
        <w:t xml:space="preserve"> Daarnaast heeft het kabinet om meer inzicht te verkrijgen naar de invloed van de verschillende vormen van herintegratieondersteuning via het Europees Migratienetwerk en de </w:t>
      </w:r>
      <w:proofErr w:type="spellStart"/>
      <w:r w:rsidRPr="004474CB" w:rsidR="004474CB">
        <w:rPr>
          <w:rFonts w:ascii="Verdana" w:hAnsi="Verdana"/>
          <w:i/>
          <w:iCs/>
          <w:sz w:val="18"/>
          <w:szCs w:val="18"/>
        </w:rPr>
        <w:t>Regional</w:t>
      </w:r>
      <w:proofErr w:type="spellEnd"/>
      <w:r w:rsidRPr="004474CB" w:rsidR="004474CB">
        <w:rPr>
          <w:rFonts w:ascii="Verdana" w:hAnsi="Verdana"/>
          <w:i/>
          <w:iCs/>
          <w:sz w:val="18"/>
          <w:szCs w:val="18"/>
        </w:rPr>
        <w:t xml:space="preserve"> Expert Group on Migration </w:t>
      </w:r>
      <w:proofErr w:type="spellStart"/>
      <w:r w:rsidRPr="004474CB" w:rsidR="004474CB">
        <w:rPr>
          <w:rFonts w:ascii="Verdana" w:hAnsi="Verdana"/>
          <w:i/>
          <w:iCs/>
          <w:sz w:val="18"/>
          <w:szCs w:val="18"/>
        </w:rPr>
        <w:t>and</w:t>
      </w:r>
      <w:proofErr w:type="spellEnd"/>
      <w:r w:rsidRPr="004474CB" w:rsidR="004474CB">
        <w:rPr>
          <w:rFonts w:ascii="Verdana" w:hAnsi="Verdana"/>
          <w:i/>
          <w:iCs/>
          <w:sz w:val="18"/>
          <w:szCs w:val="18"/>
        </w:rPr>
        <w:t xml:space="preserve"> Health</w:t>
      </w:r>
      <w:r w:rsidRPr="004474CB" w:rsidR="004474CB">
        <w:rPr>
          <w:rFonts w:ascii="Verdana" w:hAnsi="Verdana"/>
          <w:sz w:val="18"/>
          <w:szCs w:val="18"/>
        </w:rPr>
        <w:t xml:space="preserve"> een onderzoek uitgezet onder </w:t>
      </w:r>
      <w:r w:rsidR="0018134C">
        <w:rPr>
          <w:rFonts w:ascii="Verdana" w:hAnsi="Verdana"/>
          <w:sz w:val="18"/>
          <w:szCs w:val="18"/>
        </w:rPr>
        <w:t>de</w:t>
      </w:r>
      <w:r w:rsidRPr="004474CB" w:rsidR="0018134C">
        <w:rPr>
          <w:rFonts w:ascii="Verdana" w:hAnsi="Verdana"/>
          <w:sz w:val="18"/>
          <w:szCs w:val="18"/>
        </w:rPr>
        <w:t xml:space="preserve"> </w:t>
      </w:r>
      <w:r w:rsidRPr="004474CB" w:rsidR="004474CB">
        <w:rPr>
          <w:rFonts w:ascii="Verdana" w:hAnsi="Verdana"/>
          <w:sz w:val="18"/>
          <w:szCs w:val="18"/>
        </w:rPr>
        <w:t xml:space="preserve">lidstaten. De uitkomsten daarvan worden eind 2026 verwacht. </w:t>
      </w:r>
    </w:p>
    <w:p w:rsidRPr="004649E9" w:rsidR="004649E9" w:rsidP="00BA778F" w:rsidRDefault="00BA778F" w14:paraId="30E2070D" w14:textId="3F50CB33">
      <w:pPr>
        <w:rPr>
          <w:rFonts w:ascii="Verdana" w:hAnsi="Verdana"/>
          <w:b/>
          <w:bCs/>
        </w:rPr>
      </w:pPr>
      <w:r w:rsidRPr="00BA778F">
        <w:rPr>
          <w:rFonts w:ascii="Verdana" w:hAnsi="Verdana"/>
          <w:sz w:val="18"/>
          <w:szCs w:val="18"/>
        </w:rPr>
        <w:t xml:space="preserve">Het kabinet zal </w:t>
      </w:r>
      <w:r>
        <w:rPr>
          <w:rFonts w:ascii="Verdana" w:hAnsi="Verdana"/>
          <w:sz w:val="18"/>
          <w:szCs w:val="18"/>
        </w:rPr>
        <w:t>tijdens de JBZ-Raad</w:t>
      </w:r>
      <w:r w:rsidRPr="00BA778F">
        <w:rPr>
          <w:rFonts w:ascii="Verdana" w:hAnsi="Verdana"/>
          <w:sz w:val="18"/>
          <w:szCs w:val="18"/>
        </w:rPr>
        <w:t xml:space="preserve"> haar positie ten aanzien van het bevorderen van terugkeer naar voren brengen. </w:t>
      </w:r>
      <w:r>
        <w:rPr>
          <w:rFonts w:ascii="Verdana" w:hAnsi="Verdana"/>
          <w:sz w:val="18"/>
          <w:szCs w:val="18"/>
        </w:rPr>
        <w:t>De v</w:t>
      </w:r>
      <w:r w:rsidRPr="00BA778F">
        <w:rPr>
          <w:rFonts w:ascii="Verdana" w:hAnsi="Verdana"/>
          <w:sz w:val="18"/>
          <w:szCs w:val="18"/>
        </w:rPr>
        <w:t xml:space="preserve">erwachting is dat andere lidstaten hetzelfde zullen doen. </w:t>
      </w:r>
    </w:p>
    <w:p w:rsidRPr="004649E9" w:rsidR="004649E9" w:rsidP="004649E9" w:rsidRDefault="004649E9" w14:paraId="097E17A5" w14:textId="4682E3AF">
      <w:pPr>
        <w:pStyle w:val="Lijstalinea"/>
        <w:numPr>
          <w:ilvl w:val="0"/>
          <w:numId w:val="6"/>
        </w:numPr>
        <w:rPr>
          <w:rFonts w:ascii="Verdana" w:hAnsi="Verdana"/>
          <w:b/>
          <w:bCs/>
        </w:rPr>
      </w:pPr>
      <w:r>
        <w:rPr>
          <w:rFonts w:ascii="Verdana" w:hAnsi="Verdana"/>
          <w:b/>
          <w:bCs/>
          <w:sz w:val="18"/>
          <w:szCs w:val="18"/>
          <w:lang w:val="nl-BE"/>
        </w:rPr>
        <w:t xml:space="preserve">Werklunch - </w:t>
      </w:r>
      <w:r w:rsidRPr="004649E9">
        <w:rPr>
          <w:rFonts w:ascii="Verdana" w:hAnsi="Verdana"/>
          <w:b/>
          <w:bCs/>
          <w:sz w:val="18"/>
          <w:szCs w:val="18"/>
          <w:lang w:val="nl-BE"/>
        </w:rPr>
        <w:t>Terugkeer naar Syrië en Afghanistan</w:t>
      </w:r>
      <w:r w:rsidR="003B6A17">
        <w:rPr>
          <w:rFonts w:ascii="Verdana" w:hAnsi="Verdana"/>
          <w:b/>
          <w:bCs/>
          <w:sz w:val="18"/>
          <w:szCs w:val="18"/>
          <w:lang w:val="nl-BE"/>
        </w:rPr>
        <w:t xml:space="preserve"> </w:t>
      </w:r>
      <w:r w:rsidR="00A372D7">
        <w:rPr>
          <w:rFonts w:ascii="Verdana" w:hAnsi="Verdana"/>
          <w:b/>
          <w:bCs/>
          <w:sz w:val="18"/>
          <w:szCs w:val="18"/>
          <w:lang w:val="nl-BE"/>
        </w:rPr>
        <w:br/>
      </w:r>
    </w:p>
    <w:p w:rsidRPr="00D0552B" w:rsidR="00784633" w:rsidP="00784633" w:rsidRDefault="00784633" w14:paraId="0ACCF1ED" w14:textId="658A57D4">
      <w:pPr>
        <w:pStyle w:val="Lijstalinea"/>
        <w:ind w:left="0"/>
        <w:rPr>
          <w:rFonts w:ascii="Verdana" w:hAnsi="Verdana"/>
          <w:kern w:val="0"/>
          <w:sz w:val="18"/>
          <w:szCs w:val="18"/>
          <w14:ligatures w14:val="none"/>
        </w:rPr>
      </w:pPr>
      <w:r w:rsidRPr="00D0552B">
        <w:rPr>
          <w:rFonts w:ascii="Verdana" w:hAnsi="Verdana"/>
          <w:kern w:val="0"/>
          <w:sz w:val="18"/>
          <w:szCs w:val="18"/>
          <w14:ligatures w14:val="none"/>
        </w:rPr>
        <w:t>Het Cypriotisch</w:t>
      </w:r>
      <w:r w:rsidR="00725AFB">
        <w:rPr>
          <w:rFonts w:ascii="Verdana" w:hAnsi="Verdana"/>
          <w:kern w:val="0"/>
          <w:sz w:val="18"/>
          <w:szCs w:val="18"/>
          <w14:ligatures w14:val="none"/>
        </w:rPr>
        <w:t>e</w:t>
      </w:r>
      <w:r w:rsidRPr="00D0552B">
        <w:rPr>
          <w:rFonts w:ascii="Verdana" w:hAnsi="Verdana"/>
          <w:kern w:val="0"/>
          <w:sz w:val="18"/>
          <w:szCs w:val="18"/>
          <w14:ligatures w14:val="none"/>
        </w:rPr>
        <w:t xml:space="preserve"> voorzitterschap heeft aangegeven belang te hechten aan een ambitieuze inzet op de externe dimensie van migratie onder andere waar het gaat om het bevorderen van terugkeer. Naar verwachting zal het Voorzitterschap lidstaten vragen te reflecteren op de inzet en prioriteiten op terugkeer naar Syrië en Afghanistan.</w:t>
      </w:r>
    </w:p>
    <w:p w:rsidRPr="00D0552B" w:rsidR="00784633" w:rsidP="00784633" w:rsidRDefault="00784633" w14:paraId="7369D0A2" w14:textId="77777777">
      <w:pPr>
        <w:pStyle w:val="Lijstalinea"/>
        <w:ind w:left="0"/>
        <w:rPr>
          <w:rFonts w:ascii="Verdana" w:hAnsi="Verdana"/>
          <w:kern w:val="0"/>
          <w:sz w:val="18"/>
          <w:szCs w:val="18"/>
          <w14:ligatures w14:val="none"/>
        </w:rPr>
      </w:pPr>
    </w:p>
    <w:p w:rsidRPr="004649E9" w:rsidR="004649E9" w:rsidP="00A372D7" w:rsidRDefault="00784633" w14:paraId="437A575F" w14:textId="28BEEDD7">
      <w:pPr>
        <w:pStyle w:val="Lijstalinea"/>
        <w:ind w:left="0"/>
        <w:rPr>
          <w:rFonts w:ascii="Verdana" w:hAnsi="Verdana"/>
          <w:b/>
          <w:bCs/>
        </w:rPr>
      </w:pPr>
      <w:r w:rsidRPr="00D0552B">
        <w:rPr>
          <w:rFonts w:ascii="Verdana" w:hAnsi="Verdana"/>
          <w:kern w:val="0"/>
          <w:sz w:val="18"/>
          <w:szCs w:val="18"/>
          <w14:ligatures w14:val="none"/>
        </w:rPr>
        <w:t xml:space="preserve">Het kabinet onderschrijft dat </w:t>
      </w:r>
      <w:proofErr w:type="spellStart"/>
      <w:r w:rsidRPr="00D0552B">
        <w:rPr>
          <w:rFonts w:ascii="Verdana" w:hAnsi="Verdana"/>
          <w:kern w:val="0"/>
          <w:sz w:val="18"/>
          <w:szCs w:val="18"/>
          <w14:ligatures w14:val="none"/>
        </w:rPr>
        <w:t>vertrekplichtige</w:t>
      </w:r>
      <w:proofErr w:type="spellEnd"/>
      <w:r w:rsidRPr="00D0552B">
        <w:rPr>
          <w:rFonts w:ascii="Verdana" w:hAnsi="Verdana"/>
          <w:kern w:val="0"/>
          <w:sz w:val="18"/>
          <w:szCs w:val="18"/>
          <w14:ligatures w14:val="none"/>
        </w:rPr>
        <w:t xml:space="preserve"> vreemdelingen zo snel als mogelijk Nederland moeten verlaten, dit geldt ook voor Afghanen en Syriërs. Wat betreft Syrië benadrukt het kabinet dat grip op migratie inclusief de terugkeer van Syriërs en het tegengegaan van irreguliere migratie van groot belang is voor Nederland</w:t>
      </w:r>
      <w:r w:rsidR="00AE1095">
        <w:rPr>
          <w:rFonts w:ascii="Verdana" w:hAnsi="Verdana"/>
          <w:kern w:val="0"/>
          <w:sz w:val="18"/>
          <w:szCs w:val="18"/>
          <w14:ligatures w14:val="none"/>
        </w:rPr>
        <w:t>.</w:t>
      </w:r>
      <w:r>
        <w:rPr>
          <w:rStyle w:val="Voetnootmarkering"/>
          <w:rFonts w:ascii="Verdana" w:hAnsi="Verdana"/>
          <w:kern w:val="0"/>
          <w:sz w:val="18"/>
          <w:szCs w:val="18"/>
          <w14:ligatures w14:val="none"/>
        </w:rPr>
        <w:footnoteReference w:id="4"/>
      </w:r>
      <w:r w:rsidRPr="00D0552B">
        <w:rPr>
          <w:rFonts w:ascii="Verdana" w:hAnsi="Verdana"/>
          <w:kern w:val="0"/>
          <w:sz w:val="18"/>
          <w:szCs w:val="18"/>
          <w14:ligatures w14:val="none"/>
        </w:rPr>
        <w:t xml:space="preserve"> De</w:t>
      </w:r>
      <w:r w:rsidR="00AE1095">
        <w:rPr>
          <w:rFonts w:ascii="Verdana" w:hAnsi="Verdana"/>
          <w:kern w:val="0"/>
          <w:sz w:val="18"/>
          <w:szCs w:val="18"/>
          <w14:ligatures w14:val="none"/>
        </w:rPr>
        <w:t xml:space="preserve"> Europese</w:t>
      </w:r>
      <w:r w:rsidRPr="00D0552B">
        <w:rPr>
          <w:rFonts w:ascii="Verdana" w:hAnsi="Verdana"/>
          <w:kern w:val="0"/>
          <w:sz w:val="18"/>
          <w:szCs w:val="18"/>
          <w14:ligatures w14:val="none"/>
        </w:rPr>
        <w:t xml:space="preserve"> Commissie </w:t>
      </w:r>
      <w:r w:rsidR="00AE1095">
        <w:rPr>
          <w:rFonts w:ascii="Verdana" w:hAnsi="Verdana"/>
          <w:kern w:val="0"/>
          <w:sz w:val="18"/>
          <w:szCs w:val="18"/>
          <w14:ligatures w14:val="none"/>
        </w:rPr>
        <w:t xml:space="preserve">(Commissie) </w:t>
      </w:r>
      <w:r w:rsidRPr="00D0552B">
        <w:rPr>
          <w:rFonts w:ascii="Verdana" w:hAnsi="Verdana"/>
          <w:kern w:val="0"/>
          <w:sz w:val="18"/>
          <w:szCs w:val="18"/>
          <w14:ligatures w14:val="none"/>
        </w:rPr>
        <w:t xml:space="preserve">heeft een belangrijke rol in de coördinatie om te zorgen dat de inzet van de EU en de lidstaten effectief is, en dat de inzet duurzame terugkeer naar Syrië bevordert door onder andere de omstandigheden in Syrië te verbeteren, irreguliere migratie tegen te gaan en gastlanden in de regio blijvend te ondersteunen in hun inspanningen om vluchtelingen op te vangen en te beschermen zolang zij nog niet kunnen terugkeren naar Syrië. Het kabinet roept daarom de Commissie op tot het opstellen van een gecoördineerder EU-aanpak in samenwerking met Syrië en landen in de regio. Voor Afghanistan geldt dat de terugkeer naar Afghanistan complex is. Zo is het krijgen van reisdocumenten moeilijk omdat Nederland, net zoals andere EU-lidstaten, minimale contacten onderhoudt met de Taliban. Nederland erkent net als andere EU-lidstaten het Taliban-regime niet als de legitieme vertegenwoordiging van de Afghaanse bevolking en het normaliseren van de relatie met de Taliban is niet aan de orde. Het kabinet gelooft dat het bevorderen van terugkeer naar Afghanistan gebaat </w:t>
      </w:r>
      <w:r w:rsidRPr="00D0552B">
        <w:rPr>
          <w:rFonts w:ascii="Verdana" w:hAnsi="Verdana"/>
          <w:kern w:val="0"/>
          <w:sz w:val="18"/>
          <w:szCs w:val="18"/>
          <w14:ligatures w14:val="none"/>
        </w:rPr>
        <w:lastRenderedPageBreak/>
        <w:t>is bij een gezamenlijke en gecoördineerde aanpak. Nederland is daarom één van de landen die de Commissie gezamenlijk oproept tot het bevorderen van terugkeer naar Afghanistan. Nederland heeft in dat kader met 19 andere lidstaten</w:t>
      </w:r>
      <w:r w:rsidRPr="00D0552B">
        <w:rPr>
          <w:kern w:val="0"/>
          <w:vertAlign w:val="superscript"/>
          <w14:ligatures w14:val="none"/>
        </w:rPr>
        <w:footnoteReference w:id="5"/>
      </w:r>
      <w:r w:rsidRPr="00D0552B">
        <w:rPr>
          <w:rFonts w:ascii="Verdana" w:hAnsi="Verdana"/>
          <w:kern w:val="0"/>
          <w:sz w:val="18"/>
          <w:szCs w:val="18"/>
          <w14:ligatures w14:val="none"/>
        </w:rPr>
        <w:t xml:space="preserve"> de Commissie opgeroepen om terugkeer naar Afghanistan te bevorderen. Het kabinet zal op de Raad haar positie ten aanzien van terugkeer naar Syrië en Afghanistan naar voren brengen. Verwachting is dat andere lidstaten hetzelfde zullen doen. </w:t>
      </w:r>
      <w:r w:rsidR="00A372D7">
        <w:rPr>
          <w:rFonts w:ascii="Verdana" w:hAnsi="Verdana"/>
          <w:kern w:val="0"/>
          <w:sz w:val="18"/>
          <w:szCs w:val="18"/>
          <w14:ligatures w14:val="none"/>
        </w:rPr>
        <w:br/>
      </w:r>
    </w:p>
    <w:p w:rsidR="0086618B" w:rsidP="0086618B" w:rsidRDefault="0086618B" w14:paraId="2CA953AC" w14:textId="289CCCE3">
      <w:pPr>
        <w:pStyle w:val="Lijstalinea"/>
        <w:numPr>
          <w:ilvl w:val="0"/>
          <w:numId w:val="6"/>
        </w:numPr>
        <w:rPr>
          <w:rFonts w:ascii="Verdana" w:hAnsi="Verdana"/>
          <w:b/>
          <w:bCs/>
          <w:sz w:val="18"/>
          <w:szCs w:val="18"/>
        </w:rPr>
      </w:pPr>
      <w:r>
        <w:rPr>
          <w:rFonts w:ascii="Verdana" w:hAnsi="Verdana"/>
          <w:b/>
          <w:bCs/>
          <w:sz w:val="18"/>
          <w:szCs w:val="18"/>
        </w:rPr>
        <w:t xml:space="preserve">Werksessie II - </w:t>
      </w:r>
      <w:r w:rsidRPr="00C423F6">
        <w:rPr>
          <w:rFonts w:ascii="Verdana" w:hAnsi="Verdana"/>
          <w:b/>
          <w:bCs/>
          <w:sz w:val="18"/>
          <w:szCs w:val="18"/>
        </w:rPr>
        <w:t>Versterken van het Schengengebied: Interne veiligheidsmaatregelen o</w:t>
      </w:r>
      <w:r>
        <w:rPr>
          <w:rFonts w:ascii="Verdana" w:hAnsi="Verdana"/>
          <w:b/>
          <w:bCs/>
          <w:sz w:val="18"/>
          <w:szCs w:val="18"/>
        </w:rPr>
        <w:t>m</w:t>
      </w:r>
      <w:r w:rsidRPr="00C423F6">
        <w:rPr>
          <w:rFonts w:ascii="Verdana" w:hAnsi="Verdana"/>
          <w:b/>
          <w:bCs/>
          <w:sz w:val="18"/>
          <w:szCs w:val="18"/>
        </w:rPr>
        <w:t xml:space="preserve"> secundaire migratie binnen Schengen te voorkomen </w:t>
      </w:r>
    </w:p>
    <w:p w:rsidRPr="00A372D7" w:rsidR="00A372D7" w:rsidP="00A372D7" w:rsidRDefault="00A372D7" w14:paraId="5AA17DE6" w14:textId="7379134D">
      <w:pPr>
        <w:rPr>
          <w:rFonts w:ascii="Verdana" w:hAnsi="Verdana"/>
          <w:sz w:val="18"/>
          <w:szCs w:val="18"/>
        </w:rPr>
      </w:pPr>
      <w:r w:rsidRPr="00A372D7">
        <w:rPr>
          <w:rFonts w:ascii="Verdana" w:hAnsi="Verdana"/>
          <w:sz w:val="18"/>
          <w:szCs w:val="18"/>
        </w:rPr>
        <w:t xml:space="preserve">Onder dit agendapunt zal het Voorzitterschap naar verwachting aansturen op een brede discussie over maatregelen die lidstaten genomen hebben om de interne veiligheid te versterken, waarbij er specifiek gefocust wordt op maatregelen die secundaire bewegingen in de Schengenzone tegengaan. Lidstaten </w:t>
      </w:r>
      <w:r w:rsidR="001E65E6">
        <w:rPr>
          <w:rFonts w:ascii="Verdana" w:hAnsi="Verdana"/>
          <w:sz w:val="18"/>
          <w:szCs w:val="18"/>
        </w:rPr>
        <w:t>zal</w:t>
      </w:r>
      <w:r w:rsidRPr="00A372D7">
        <w:rPr>
          <w:rFonts w:ascii="Verdana" w:hAnsi="Verdana"/>
          <w:sz w:val="18"/>
          <w:szCs w:val="18"/>
        </w:rPr>
        <w:t xml:space="preserve"> naar verwachting gevraagd worden stil te staan bij de maatregelen die zij genomen hebben om secundaire migratie tegen te gaan. </w:t>
      </w:r>
    </w:p>
    <w:p w:rsidRPr="00A372D7" w:rsidR="00A372D7" w:rsidP="00A372D7" w:rsidRDefault="00A372D7" w14:paraId="5D4BEC84" w14:textId="0067C929">
      <w:pPr>
        <w:rPr>
          <w:rFonts w:ascii="Verdana" w:hAnsi="Verdana"/>
          <w:sz w:val="18"/>
          <w:szCs w:val="18"/>
        </w:rPr>
      </w:pPr>
      <w:r w:rsidRPr="00A372D7">
        <w:rPr>
          <w:rFonts w:ascii="Verdana" w:hAnsi="Verdana"/>
          <w:sz w:val="18"/>
          <w:szCs w:val="18"/>
        </w:rPr>
        <w:t>Het tegengaan van secundaire migratiebewegingen en het beschermen van de interne veiligheid van de Schengenzone zijn belangrijke prioriteiten van het kabinet, die in samenhang worden bezien. Het kabinet verwelkomt daarom de aandacht die er is voor maatregelen die secundaire migratie tegengaan. Hierbij is het voor Nederland van belang dat deze maatregelen verder aangescherpt worden en dat tekortkomingen die er op dit gebied en op het gebied van buitengrensbeheer zijn door lidstaten worden aangepakt. Het kabinet is dan ook voorstander van een open gesprek over deze tekortkomingen in de Raad. Daarnaast moet er ook oog zijn voor de bredere maatregelen op het gebied van secundaire migratie, zoals effectief buitengrensbeheer, alsook de verbetering van informatie-uitwisseling en samenwerking op de binnengrens. Naar verwachting zal een aantal lidstaten zich ook kritisch uitlaten ten aanzien van de binnengrenscontroles in het Schengengebied.</w:t>
      </w:r>
    </w:p>
    <w:p w:rsidR="004649E9" w:rsidP="004649E9" w:rsidRDefault="004649E9" w14:paraId="762AA428" w14:textId="77777777">
      <w:pPr>
        <w:pStyle w:val="Lijstalinea"/>
        <w:numPr>
          <w:ilvl w:val="0"/>
          <w:numId w:val="1"/>
        </w:numPr>
      </w:pPr>
      <w:r w:rsidRPr="00404A77">
        <w:rPr>
          <w:rFonts w:ascii="Verdana" w:hAnsi="Verdana" w:eastAsia="Verdana" w:cs="Verdana"/>
          <w:b/>
          <w:bCs/>
          <w:kern w:val="0"/>
          <w14:ligatures w14:val="none"/>
        </w:rPr>
        <w:t>Justitie</w:t>
      </w:r>
      <w:r>
        <w:rPr>
          <w:rFonts w:ascii="Verdana" w:hAnsi="Verdana" w:eastAsia="Verdana" w:cs="Verdana"/>
          <w:b/>
          <w:bCs/>
          <w:kern w:val="0"/>
          <w14:ligatures w14:val="none"/>
        </w:rPr>
        <w:br/>
      </w:r>
    </w:p>
    <w:p w:rsidRPr="00750E6E" w:rsidR="003C01FC" w:rsidP="003C01FC" w:rsidRDefault="00812E25" w14:paraId="5F79B449" w14:textId="4CA4097A">
      <w:pPr>
        <w:pStyle w:val="Lijstalinea"/>
        <w:numPr>
          <w:ilvl w:val="0"/>
          <w:numId w:val="8"/>
        </w:numPr>
        <w:rPr>
          <w:rFonts w:ascii="Verdana" w:hAnsi="Verdana"/>
          <w:b/>
          <w:bCs/>
          <w:color w:val="FF0000"/>
          <w:sz w:val="18"/>
          <w:szCs w:val="18"/>
        </w:rPr>
      </w:pPr>
      <w:r>
        <w:rPr>
          <w:rFonts w:ascii="Verdana" w:hAnsi="Verdana"/>
          <w:b/>
          <w:bCs/>
          <w:sz w:val="18"/>
          <w:szCs w:val="18"/>
        </w:rPr>
        <w:t xml:space="preserve">Werksessie I - </w:t>
      </w:r>
      <w:r w:rsidRPr="004649E9" w:rsidR="004649E9">
        <w:rPr>
          <w:rFonts w:ascii="Verdana" w:hAnsi="Verdana"/>
          <w:b/>
          <w:bCs/>
          <w:sz w:val="18"/>
          <w:szCs w:val="18"/>
        </w:rPr>
        <w:t xml:space="preserve">Versterking van </w:t>
      </w:r>
      <w:r w:rsidR="003C01FC">
        <w:rPr>
          <w:rFonts w:ascii="Verdana" w:hAnsi="Verdana"/>
          <w:b/>
          <w:bCs/>
          <w:sz w:val="18"/>
          <w:szCs w:val="18"/>
        </w:rPr>
        <w:t>confiscatie</w:t>
      </w:r>
      <w:r w:rsidR="00D47ED1">
        <w:rPr>
          <w:rFonts w:ascii="Verdana" w:hAnsi="Verdana"/>
          <w:b/>
          <w:bCs/>
          <w:sz w:val="18"/>
          <w:szCs w:val="18"/>
        </w:rPr>
        <w:t xml:space="preserve"> crimineel vermogen</w:t>
      </w:r>
      <w:r w:rsidRPr="004649E9" w:rsidR="004649E9">
        <w:rPr>
          <w:rFonts w:ascii="Verdana" w:hAnsi="Verdana"/>
          <w:b/>
          <w:bCs/>
          <w:sz w:val="18"/>
          <w:szCs w:val="18"/>
        </w:rPr>
        <w:t xml:space="preserve"> in een veranderend financieel landschap</w:t>
      </w:r>
    </w:p>
    <w:p w:rsidR="0018134C" w:rsidP="004649E9" w:rsidRDefault="003F6C1F" w14:paraId="3BB63C2D" w14:textId="00493B0E">
      <w:pPr>
        <w:rPr>
          <w:rFonts w:ascii="Verdana" w:hAnsi="Verdana"/>
          <w:sz w:val="18"/>
          <w:szCs w:val="18"/>
        </w:rPr>
      </w:pPr>
      <w:r>
        <w:rPr>
          <w:rFonts w:ascii="Verdana" w:hAnsi="Verdana"/>
          <w:sz w:val="18"/>
          <w:szCs w:val="18"/>
        </w:rPr>
        <w:t>Tijdens de</w:t>
      </w:r>
      <w:r w:rsidR="006A2519">
        <w:rPr>
          <w:rFonts w:ascii="Verdana" w:hAnsi="Verdana"/>
          <w:sz w:val="18"/>
          <w:szCs w:val="18"/>
        </w:rPr>
        <w:t>ze werksessie wordt gesproken</w:t>
      </w:r>
      <w:r>
        <w:rPr>
          <w:rFonts w:ascii="Verdana" w:hAnsi="Verdana"/>
          <w:sz w:val="18"/>
          <w:szCs w:val="18"/>
        </w:rPr>
        <w:t xml:space="preserve"> </w:t>
      </w:r>
      <w:r w:rsidRPr="003F6C1F">
        <w:rPr>
          <w:rFonts w:ascii="Verdana" w:hAnsi="Verdana"/>
          <w:sz w:val="18"/>
          <w:szCs w:val="18"/>
        </w:rPr>
        <w:t xml:space="preserve">over uitdagingen en ontwikkelingen bij de </w:t>
      </w:r>
      <w:r w:rsidR="003C01FC">
        <w:rPr>
          <w:rFonts w:ascii="Verdana" w:hAnsi="Verdana"/>
          <w:sz w:val="18"/>
          <w:szCs w:val="18"/>
        </w:rPr>
        <w:t>confiscatie van crimineel vermogen</w:t>
      </w:r>
      <w:r w:rsidRPr="003F6C1F">
        <w:rPr>
          <w:rFonts w:ascii="Verdana" w:hAnsi="Verdana"/>
          <w:sz w:val="18"/>
          <w:szCs w:val="18"/>
        </w:rPr>
        <w:t xml:space="preserve"> in het licht van veranderingen in het financiële landschap, zoals digitalisering en het gebruik van nieuwe financiële instrumenten</w:t>
      </w:r>
      <w:r w:rsidR="003C01FC">
        <w:rPr>
          <w:rFonts w:ascii="Verdana" w:hAnsi="Verdana"/>
          <w:sz w:val="18"/>
          <w:szCs w:val="18"/>
        </w:rPr>
        <w:t xml:space="preserve"> waaronder </w:t>
      </w:r>
      <w:proofErr w:type="spellStart"/>
      <w:r w:rsidRPr="007B54E1" w:rsidR="003C01FC">
        <w:rPr>
          <w:rFonts w:ascii="Verdana" w:hAnsi="Verdana"/>
          <w:i/>
          <w:iCs/>
          <w:sz w:val="18"/>
          <w:szCs w:val="18"/>
        </w:rPr>
        <w:t>cryptocurrencies</w:t>
      </w:r>
      <w:proofErr w:type="spellEnd"/>
      <w:r w:rsidRPr="003F6C1F">
        <w:rPr>
          <w:rFonts w:ascii="Verdana" w:hAnsi="Verdana"/>
          <w:sz w:val="18"/>
          <w:szCs w:val="18"/>
        </w:rPr>
        <w:t xml:space="preserve">. </w:t>
      </w:r>
      <w:r w:rsidR="003C01FC">
        <w:rPr>
          <w:rFonts w:ascii="Verdana" w:hAnsi="Verdana"/>
          <w:sz w:val="18"/>
          <w:szCs w:val="18"/>
        </w:rPr>
        <w:t>Er is nog geen discussiestuk verspreid, maar d</w:t>
      </w:r>
      <w:r w:rsidRPr="003F6C1F">
        <w:rPr>
          <w:rFonts w:ascii="Verdana" w:hAnsi="Verdana"/>
          <w:sz w:val="18"/>
          <w:szCs w:val="18"/>
        </w:rPr>
        <w:t xml:space="preserve">e gedachtewisseling zal vermoedelijk gericht zijn op het uitwisselen van ervaringen en werkwijzen tussen lidstaten, evenals op mogelijke knelpunten bij de grensoverschrijdende identificatie, bevriezing en terugvordering </w:t>
      </w:r>
      <w:r w:rsidRPr="003F6C1F" w:rsidDel="003C01FC">
        <w:rPr>
          <w:rFonts w:ascii="Verdana" w:hAnsi="Verdana"/>
          <w:sz w:val="18"/>
          <w:szCs w:val="18"/>
        </w:rPr>
        <w:t xml:space="preserve">van </w:t>
      </w:r>
      <w:r w:rsidR="003C01FC">
        <w:rPr>
          <w:rFonts w:ascii="Verdana" w:hAnsi="Verdana"/>
          <w:sz w:val="18"/>
          <w:szCs w:val="18"/>
        </w:rPr>
        <w:t>crimineel vermogen</w:t>
      </w:r>
      <w:r w:rsidRPr="003F6C1F">
        <w:rPr>
          <w:rFonts w:ascii="Verdana" w:hAnsi="Verdana"/>
          <w:sz w:val="18"/>
          <w:szCs w:val="18"/>
        </w:rPr>
        <w:t>.</w:t>
      </w:r>
      <w:r w:rsidR="003C01FC">
        <w:rPr>
          <w:rFonts w:ascii="Verdana" w:hAnsi="Verdana"/>
          <w:sz w:val="18"/>
          <w:szCs w:val="18"/>
        </w:rPr>
        <w:t xml:space="preserve"> </w:t>
      </w:r>
      <w:r w:rsidR="00210110">
        <w:rPr>
          <w:rFonts w:ascii="Verdana" w:hAnsi="Verdana"/>
          <w:sz w:val="18"/>
          <w:szCs w:val="18"/>
        </w:rPr>
        <w:t>Verder zal het Voorzitterschap mogelijk stilstaan bij een door</w:t>
      </w:r>
      <w:r w:rsidRPr="00210110" w:rsidR="00210110">
        <w:rPr>
          <w:rFonts w:ascii="Verdana" w:hAnsi="Verdana"/>
          <w:sz w:val="18"/>
          <w:szCs w:val="18"/>
        </w:rPr>
        <w:t xml:space="preserve"> België </w:t>
      </w:r>
      <w:r w:rsidR="00CB7C12">
        <w:rPr>
          <w:rFonts w:ascii="Verdana" w:hAnsi="Verdana"/>
          <w:sz w:val="18"/>
          <w:szCs w:val="18"/>
        </w:rPr>
        <w:t>opgesteld</w:t>
      </w:r>
      <w:r w:rsidR="009E75BE">
        <w:rPr>
          <w:rFonts w:ascii="Verdana" w:hAnsi="Verdana"/>
          <w:sz w:val="18"/>
          <w:szCs w:val="18"/>
        </w:rPr>
        <w:t xml:space="preserve"> non-paper met voorstellen om de tenuitvoerlegging van confiscatie van crimineel vermogen te vergemakkelijken</w:t>
      </w:r>
      <w:r w:rsidR="00210110">
        <w:rPr>
          <w:rFonts w:ascii="Verdana" w:hAnsi="Verdana"/>
          <w:sz w:val="18"/>
          <w:szCs w:val="18"/>
        </w:rPr>
        <w:t>, dat tijdens de JBZ-Raad van 8 en 9 december 2025 is</w:t>
      </w:r>
      <w:r w:rsidRPr="00210110" w:rsidR="00210110">
        <w:rPr>
          <w:rFonts w:ascii="Verdana" w:hAnsi="Verdana"/>
          <w:sz w:val="18"/>
          <w:szCs w:val="18"/>
        </w:rPr>
        <w:t xml:space="preserve"> gepresenteerd. </w:t>
      </w:r>
      <w:r w:rsidR="00B91C47">
        <w:rPr>
          <w:rFonts w:ascii="Verdana" w:hAnsi="Verdana"/>
          <w:sz w:val="18"/>
          <w:szCs w:val="18"/>
        </w:rPr>
        <w:t xml:space="preserve">Zoals </w:t>
      </w:r>
      <w:r w:rsidR="00400EF5">
        <w:rPr>
          <w:rFonts w:ascii="Verdana" w:hAnsi="Verdana"/>
          <w:sz w:val="18"/>
          <w:szCs w:val="18"/>
        </w:rPr>
        <w:t>eerder</w:t>
      </w:r>
      <w:r w:rsidR="00B91C47">
        <w:rPr>
          <w:rFonts w:ascii="Verdana" w:hAnsi="Verdana"/>
          <w:sz w:val="18"/>
          <w:szCs w:val="18"/>
        </w:rPr>
        <w:t xml:space="preserve"> aangegeven steunt h</w:t>
      </w:r>
      <w:r w:rsidR="003C01FC">
        <w:rPr>
          <w:rFonts w:ascii="Verdana" w:hAnsi="Verdana"/>
          <w:sz w:val="18"/>
          <w:szCs w:val="18"/>
        </w:rPr>
        <w:t xml:space="preserve">et Kabinet </w:t>
      </w:r>
      <w:r w:rsidR="0076119B">
        <w:rPr>
          <w:rFonts w:ascii="Verdana" w:hAnsi="Verdana"/>
          <w:sz w:val="18"/>
          <w:szCs w:val="18"/>
        </w:rPr>
        <w:t xml:space="preserve">de noodzaak om </w:t>
      </w:r>
      <w:r w:rsidRPr="0064601F" w:rsidR="0076119B">
        <w:rPr>
          <w:rFonts w:ascii="Verdana" w:hAnsi="Verdana"/>
          <w:sz w:val="18"/>
          <w:szCs w:val="18"/>
        </w:rPr>
        <w:t xml:space="preserve">Europese samenwerking </w:t>
      </w:r>
      <w:r w:rsidR="0076119B">
        <w:rPr>
          <w:rFonts w:ascii="Verdana" w:hAnsi="Verdana"/>
          <w:sz w:val="18"/>
          <w:szCs w:val="18"/>
        </w:rPr>
        <w:t>in</w:t>
      </w:r>
      <w:r w:rsidRPr="0064601F" w:rsidR="0076119B">
        <w:rPr>
          <w:rFonts w:ascii="Verdana" w:hAnsi="Verdana"/>
          <w:sz w:val="18"/>
          <w:szCs w:val="18"/>
        </w:rPr>
        <w:t xml:space="preserve"> de executiefase van confiscatie te verbeteren</w:t>
      </w:r>
      <w:r w:rsidR="00210110">
        <w:rPr>
          <w:rStyle w:val="Voetnootmarkering"/>
          <w:rFonts w:ascii="Verdana" w:hAnsi="Verdana"/>
          <w:sz w:val="18"/>
          <w:szCs w:val="18"/>
        </w:rPr>
        <w:footnoteReference w:id="6"/>
      </w:r>
      <w:r w:rsidR="0076119B">
        <w:rPr>
          <w:rFonts w:ascii="Verdana" w:hAnsi="Verdana"/>
          <w:sz w:val="18"/>
          <w:szCs w:val="18"/>
        </w:rPr>
        <w:t xml:space="preserve"> en </w:t>
      </w:r>
      <w:r w:rsidR="00D11BE0">
        <w:rPr>
          <w:rFonts w:ascii="Verdana" w:hAnsi="Verdana"/>
          <w:sz w:val="18"/>
          <w:szCs w:val="18"/>
        </w:rPr>
        <w:t xml:space="preserve">kijkt </w:t>
      </w:r>
      <w:r w:rsidR="00A362F1">
        <w:rPr>
          <w:rFonts w:ascii="Verdana" w:hAnsi="Verdana"/>
          <w:sz w:val="18"/>
          <w:szCs w:val="18"/>
        </w:rPr>
        <w:t xml:space="preserve">het </w:t>
      </w:r>
      <w:r w:rsidR="00D11BE0">
        <w:rPr>
          <w:rFonts w:ascii="Verdana" w:hAnsi="Verdana"/>
          <w:sz w:val="18"/>
          <w:szCs w:val="18"/>
        </w:rPr>
        <w:t xml:space="preserve">uit naar een uitwisseling van </w:t>
      </w:r>
      <w:r w:rsidRPr="00121179" w:rsidR="00D11BE0">
        <w:rPr>
          <w:rFonts w:ascii="Verdana" w:hAnsi="Verdana"/>
          <w:i/>
          <w:iCs/>
          <w:sz w:val="18"/>
          <w:szCs w:val="18"/>
        </w:rPr>
        <w:t xml:space="preserve">best </w:t>
      </w:r>
      <w:proofErr w:type="spellStart"/>
      <w:r w:rsidRPr="00121179" w:rsidR="00D11BE0">
        <w:rPr>
          <w:rFonts w:ascii="Verdana" w:hAnsi="Verdana"/>
          <w:i/>
          <w:iCs/>
          <w:sz w:val="18"/>
          <w:szCs w:val="18"/>
        </w:rPr>
        <w:t>practices</w:t>
      </w:r>
      <w:proofErr w:type="spellEnd"/>
      <w:r w:rsidR="00B91C47">
        <w:rPr>
          <w:rFonts w:ascii="Verdana" w:hAnsi="Verdana"/>
          <w:sz w:val="18"/>
          <w:szCs w:val="18"/>
        </w:rPr>
        <w:t xml:space="preserve"> over confiscatie van vermogen in nieuwe financiële instrumenten</w:t>
      </w:r>
      <w:r w:rsidR="0076119B">
        <w:rPr>
          <w:rFonts w:ascii="Verdana" w:hAnsi="Verdana"/>
          <w:sz w:val="18"/>
          <w:szCs w:val="18"/>
        </w:rPr>
        <w:t xml:space="preserve">. </w:t>
      </w:r>
    </w:p>
    <w:p w:rsidR="0018134C" w:rsidRDefault="0018134C" w14:paraId="146B48C1" w14:textId="77777777">
      <w:pPr>
        <w:rPr>
          <w:rFonts w:ascii="Verdana" w:hAnsi="Verdana"/>
          <w:sz w:val="18"/>
          <w:szCs w:val="18"/>
        </w:rPr>
      </w:pPr>
      <w:r>
        <w:rPr>
          <w:rFonts w:ascii="Verdana" w:hAnsi="Verdana"/>
          <w:sz w:val="18"/>
          <w:szCs w:val="18"/>
        </w:rPr>
        <w:br w:type="page"/>
      </w:r>
    </w:p>
    <w:p w:rsidR="0076119B" w:rsidP="0076119B" w:rsidRDefault="00812E25" w14:paraId="704CC6E6" w14:textId="662EAD5A">
      <w:pPr>
        <w:pStyle w:val="Lijstalinea"/>
        <w:numPr>
          <w:ilvl w:val="0"/>
          <w:numId w:val="8"/>
        </w:numPr>
        <w:rPr>
          <w:rFonts w:ascii="Verdana" w:hAnsi="Verdana"/>
          <w:b/>
          <w:bCs/>
          <w:sz w:val="18"/>
          <w:szCs w:val="18"/>
        </w:rPr>
      </w:pPr>
      <w:r>
        <w:rPr>
          <w:rFonts w:ascii="Verdana" w:hAnsi="Verdana"/>
          <w:b/>
          <w:bCs/>
          <w:sz w:val="18"/>
          <w:szCs w:val="18"/>
        </w:rPr>
        <w:lastRenderedPageBreak/>
        <w:t xml:space="preserve">Werksessie II - </w:t>
      </w:r>
      <w:r w:rsidR="00B941E1">
        <w:rPr>
          <w:rFonts w:ascii="Verdana" w:hAnsi="Verdana"/>
          <w:b/>
          <w:bCs/>
          <w:sz w:val="18"/>
          <w:szCs w:val="18"/>
        </w:rPr>
        <w:t>G</w:t>
      </w:r>
      <w:r w:rsidRPr="004649E9" w:rsidR="004649E9">
        <w:rPr>
          <w:rFonts w:ascii="Verdana" w:hAnsi="Verdana"/>
          <w:b/>
          <w:bCs/>
          <w:sz w:val="18"/>
          <w:szCs w:val="18"/>
        </w:rPr>
        <w:t>rensoverschrijdende</w:t>
      </w:r>
      <w:r w:rsidR="00B941E1">
        <w:rPr>
          <w:rFonts w:ascii="Verdana" w:hAnsi="Verdana"/>
          <w:b/>
          <w:bCs/>
          <w:sz w:val="18"/>
          <w:szCs w:val="18"/>
        </w:rPr>
        <w:t xml:space="preserve"> samenwerking en</w:t>
      </w:r>
      <w:r w:rsidRPr="004649E9" w:rsidR="004649E9">
        <w:rPr>
          <w:rFonts w:ascii="Verdana" w:hAnsi="Verdana"/>
          <w:b/>
          <w:bCs/>
          <w:sz w:val="18"/>
          <w:szCs w:val="18"/>
        </w:rPr>
        <w:t xml:space="preserve"> teruggave van </w:t>
      </w:r>
      <w:r w:rsidR="00B941E1">
        <w:rPr>
          <w:rFonts w:ascii="Verdana" w:hAnsi="Verdana"/>
          <w:b/>
          <w:bCs/>
          <w:sz w:val="18"/>
          <w:szCs w:val="18"/>
        </w:rPr>
        <w:t>illegaal verkregen</w:t>
      </w:r>
      <w:r w:rsidRPr="004649E9" w:rsidR="004649E9">
        <w:rPr>
          <w:rFonts w:ascii="Verdana" w:hAnsi="Verdana"/>
          <w:b/>
          <w:bCs/>
          <w:sz w:val="18"/>
          <w:szCs w:val="18"/>
        </w:rPr>
        <w:t xml:space="preserve"> cultuurgoederen</w:t>
      </w:r>
    </w:p>
    <w:p w:rsidR="00E75BFE" w:rsidP="00E60F14" w:rsidRDefault="006A2519" w14:paraId="770E4885" w14:textId="646E8321">
      <w:pPr>
        <w:pStyle w:val="Default"/>
        <w:rPr>
          <w:rFonts w:ascii="Verdana" w:hAnsi="Verdana" w:cs="Calibri"/>
          <w:sz w:val="18"/>
          <w:szCs w:val="18"/>
        </w:rPr>
      </w:pPr>
      <w:bookmarkStart w:name="_Hlk219106205" w:id="0"/>
      <w:r>
        <w:rPr>
          <w:rFonts w:ascii="Verdana" w:hAnsi="Verdana"/>
          <w:sz w:val="18"/>
          <w:szCs w:val="18"/>
        </w:rPr>
        <w:t xml:space="preserve">Onder dit agendapunt wordt gesproken </w:t>
      </w:r>
      <w:r w:rsidR="0076119B">
        <w:rPr>
          <w:rFonts w:ascii="Verdana" w:hAnsi="Verdana"/>
          <w:sz w:val="18"/>
          <w:szCs w:val="18"/>
        </w:rPr>
        <w:t xml:space="preserve">over de aanpak van cultureel erfgoedcriminaliteit en hoe grensoverschrijdende samenwerking hierop kan worden verbeterd. </w:t>
      </w:r>
      <w:r w:rsidR="00E75BFE">
        <w:rPr>
          <w:rFonts w:ascii="Verdana" w:hAnsi="Verdana"/>
          <w:sz w:val="18"/>
          <w:szCs w:val="18"/>
        </w:rPr>
        <w:t>Mogelijk zal</w:t>
      </w:r>
      <w:r w:rsidR="0076119B">
        <w:rPr>
          <w:rFonts w:ascii="Verdana" w:hAnsi="Verdana"/>
          <w:sz w:val="18"/>
          <w:szCs w:val="18"/>
        </w:rPr>
        <w:t xml:space="preserve"> het Voorzitterschap </w:t>
      </w:r>
      <w:r w:rsidR="00E00D7B">
        <w:rPr>
          <w:rFonts w:ascii="Verdana" w:hAnsi="Verdana"/>
          <w:sz w:val="18"/>
          <w:szCs w:val="18"/>
        </w:rPr>
        <w:t>stil staan</w:t>
      </w:r>
      <w:r w:rsidR="0076119B">
        <w:rPr>
          <w:rFonts w:ascii="Verdana" w:hAnsi="Verdana"/>
          <w:sz w:val="18"/>
          <w:szCs w:val="18"/>
        </w:rPr>
        <w:t xml:space="preserve"> bij aanvullende stappen </w:t>
      </w:r>
      <w:r w:rsidR="00A362F1">
        <w:rPr>
          <w:rFonts w:ascii="Verdana" w:hAnsi="Verdana"/>
          <w:sz w:val="18"/>
          <w:szCs w:val="18"/>
        </w:rPr>
        <w:t>in de samenwerking</w:t>
      </w:r>
      <w:r w:rsidR="0076119B">
        <w:rPr>
          <w:rFonts w:ascii="Verdana" w:hAnsi="Verdana"/>
          <w:sz w:val="18"/>
          <w:szCs w:val="18"/>
        </w:rPr>
        <w:t xml:space="preserve"> en </w:t>
      </w:r>
      <w:r w:rsidR="00E60F14">
        <w:rPr>
          <w:rFonts w:ascii="Verdana" w:hAnsi="Verdana"/>
          <w:sz w:val="18"/>
          <w:szCs w:val="18"/>
        </w:rPr>
        <w:t xml:space="preserve">worden er </w:t>
      </w:r>
      <w:r w:rsidRPr="006A2519" w:rsidR="00E60F14">
        <w:rPr>
          <w:rFonts w:ascii="Verdana" w:hAnsi="Verdana"/>
          <w:i/>
          <w:iCs/>
          <w:sz w:val="18"/>
          <w:szCs w:val="18"/>
        </w:rPr>
        <w:t xml:space="preserve">best </w:t>
      </w:r>
      <w:proofErr w:type="spellStart"/>
      <w:r w:rsidRPr="006A2519" w:rsidR="00E60F14">
        <w:rPr>
          <w:rFonts w:ascii="Verdana" w:hAnsi="Verdana"/>
          <w:i/>
          <w:iCs/>
          <w:sz w:val="18"/>
          <w:szCs w:val="18"/>
        </w:rPr>
        <w:t>practices</w:t>
      </w:r>
      <w:proofErr w:type="spellEnd"/>
      <w:r w:rsidR="00E60F14">
        <w:rPr>
          <w:rFonts w:ascii="Verdana" w:hAnsi="Verdana"/>
          <w:sz w:val="18"/>
          <w:szCs w:val="18"/>
        </w:rPr>
        <w:t xml:space="preserve"> uitgewisseld.</w:t>
      </w:r>
      <w:bookmarkStart w:name="_Hlk218778762" w:id="1"/>
    </w:p>
    <w:bookmarkEnd w:id="1"/>
    <w:p w:rsidRPr="00E60F14" w:rsidR="00E60F14" w:rsidP="00E60F14" w:rsidRDefault="00E75BFE" w14:paraId="3F959EE9" w14:textId="59934ED2">
      <w:pPr>
        <w:rPr>
          <w:rFonts w:ascii="Verdana" w:hAnsi="Verdana"/>
          <w:sz w:val="18"/>
          <w:szCs w:val="18"/>
        </w:rPr>
      </w:pPr>
      <w:r>
        <w:rPr>
          <w:rFonts w:ascii="Verdana" w:hAnsi="Verdana" w:cs="Calibri"/>
          <w:sz w:val="18"/>
          <w:szCs w:val="18"/>
        </w:rPr>
        <w:br/>
      </w:r>
      <w:r w:rsidR="006A2519">
        <w:rPr>
          <w:rFonts w:ascii="Verdana" w:hAnsi="Verdana"/>
          <w:sz w:val="18"/>
          <w:szCs w:val="18"/>
        </w:rPr>
        <w:t>Nederland</w:t>
      </w:r>
      <w:r w:rsidRPr="00E60F14" w:rsidR="00E60F14">
        <w:rPr>
          <w:rFonts w:ascii="Verdana" w:hAnsi="Verdana"/>
          <w:sz w:val="18"/>
          <w:szCs w:val="18"/>
        </w:rPr>
        <w:t xml:space="preserve"> draagt actief bij om de internationale samenwerking in de aanpak van de illegale handel in cultuurgoederen te bevorderen, ook vanuit de verplichtingen die voortvloeien uit EU- en UNESCO-regelgeving. Zo heeft Nederland</w:t>
      </w:r>
      <w:r w:rsidR="00E60F14">
        <w:rPr>
          <w:rFonts w:ascii="Verdana" w:hAnsi="Verdana"/>
          <w:sz w:val="18"/>
          <w:szCs w:val="18"/>
        </w:rPr>
        <w:t xml:space="preserve"> </w:t>
      </w:r>
      <w:r w:rsidRPr="00E60F14" w:rsidR="00E60F14">
        <w:rPr>
          <w:rFonts w:ascii="Verdana" w:hAnsi="Verdana"/>
          <w:sz w:val="18"/>
          <w:szCs w:val="18"/>
        </w:rPr>
        <w:t xml:space="preserve">het voortouw bij de uitvoering van de zogenaamde Pandora-acties en is Nederland actief in </w:t>
      </w:r>
      <w:r w:rsidR="00E60F14">
        <w:rPr>
          <w:rFonts w:ascii="Verdana" w:hAnsi="Verdana"/>
          <w:sz w:val="18"/>
          <w:szCs w:val="18"/>
        </w:rPr>
        <w:t>CULTNET</w:t>
      </w:r>
      <w:r w:rsidRPr="00E60F14" w:rsidR="00E60F14">
        <w:rPr>
          <w:rFonts w:ascii="Verdana" w:hAnsi="Verdana"/>
          <w:sz w:val="18"/>
          <w:szCs w:val="18"/>
        </w:rPr>
        <w:t>.</w:t>
      </w:r>
      <w:r w:rsidR="008136FC">
        <w:rPr>
          <w:rStyle w:val="Voetnootmarkering"/>
          <w:rFonts w:ascii="Verdana" w:hAnsi="Verdana"/>
          <w:sz w:val="18"/>
          <w:szCs w:val="18"/>
        </w:rPr>
        <w:footnoteReference w:id="7"/>
      </w:r>
    </w:p>
    <w:p w:rsidRPr="00E60F14" w:rsidR="00E60F14" w:rsidP="00E60F14" w:rsidRDefault="006A2519" w14:paraId="6A302AF6" w14:textId="6DF0A0D9">
      <w:pPr>
        <w:rPr>
          <w:rFonts w:ascii="Verdana" w:hAnsi="Verdana"/>
          <w:sz w:val="18"/>
          <w:szCs w:val="18"/>
        </w:rPr>
      </w:pPr>
      <w:r>
        <w:rPr>
          <w:rFonts w:ascii="Verdana" w:hAnsi="Verdana"/>
          <w:sz w:val="18"/>
          <w:szCs w:val="18"/>
        </w:rPr>
        <w:t>Het kabinet</w:t>
      </w:r>
      <w:r w:rsidRPr="00E60F14" w:rsidR="00E60F14">
        <w:rPr>
          <w:rFonts w:ascii="Verdana" w:hAnsi="Verdana"/>
          <w:sz w:val="18"/>
          <w:szCs w:val="18"/>
        </w:rPr>
        <w:t xml:space="preserve"> is voorstander van de versterking van de aanpak gericht op preventie en internationale samenwerking, door middel van informatie en kennisuitwisseling, </w:t>
      </w:r>
      <w:proofErr w:type="spellStart"/>
      <w:r w:rsidRPr="00404EDD" w:rsidR="00E60F14">
        <w:rPr>
          <w:rFonts w:ascii="Verdana" w:hAnsi="Verdana"/>
          <w:i/>
          <w:iCs/>
          <w:sz w:val="18"/>
          <w:szCs w:val="18"/>
        </w:rPr>
        <w:t>evidence</w:t>
      </w:r>
      <w:proofErr w:type="spellEnd"/>
      <w:r w:rsidRPr="00404EDD" w:rsidR="00E60F14">
        <w:rPr>
          <w:rFonts w:ascii="Verdana" w:hAnsi="Verdana"/>
          <w:i/>
          <w:iCs/>
          <w:sz w:val="18"/>
          <w:szCs w:val="18"/>
        </w:rPr>
        <w:t xml:space="preserve"> </w:t>
      </w:r>
      <w:proofErr w:type="spellStart"/>
      <w:r w:rsidRPr="00404EDD" w:rsidR="00E60F14">
        <w:rPr>
          <w:rFonts w:ascii="Verdana" w:hAnsi="Verdana"/>
          <w:i/>
          <w:iCs/>
          <w:sz w:val="18"/>
          <w:szCs w:val="18"/>
        </w:rPr>
        <w:t>based</w:t>
      </w:r>
      <w:proofErr w:type="spellEnd"/>
      <w:r w:rsidRPr="00E60F14" w:rsidR="00E60F14">
        <w:rPr>
          <w:rFonts w:ascii="Verdana" w:hAnsi="Verdana"/>
          <w:sz w:val="18"/>
          <w:szCs w:val="18"/>
        </w:rPr>
        <w:t xml:space="preserve"> onderzoek en deskundigheidsbevordering.</w:t>
      </w:r>
      <w:r w:rsidR="007B54E1">
        <w:rPr>
          <w:rFonts w:ascii="Verdana" w:hAnsi="Verdana"/>
          <w:sz w:val="18"/>
          <w:szCs w:val="18"/>
        </w:rPr>
        <w:t xml:space="preserve"> </w:t>
      </w:r>
      <w:r w:rsidR="00535078">
        <w:rPr>
          <w:rFonts w:ascii="Verdana" w:hAnsi="Verdana"/>
          <w:sz w:val="18"/>
          <w:szCs w:val="18"/>
        </w:rPr>
        <w:t>Het kabinet</w:t>
      </w:r>
      <w:r w:rsidRPr="00E60F14" w:rsidR="00E60F14">
        <w:rPr>
          <w:rFonts w:ascii="Verdana" w:hAnsi="Verdana"/>
          <w:sz w:val="18"/>
          <w:szCs w:val="18"/>
        </w:rPr>
        <w:t xml:space="preserve"> zal daarom ook voorstellen om CULTNET van een informeel samenwerkingsverband naar een gestructureerd platform, met een duidelijk omschreven operationeel mandaat ondersteunen.</w:t>
      </w:r>
    </w:p>
    <w:p w:rsidRPr="003F6C1F" w:rsidR="004649E9" w:rsidP="00E75BFE" w:rsidRDefault="00E60F14" w14:paraId="4A2B71A5" w14:textId="1CDFB235">
      <w:pPr>
        <w:rPr>
          <w:rFonts w:ascii="Verdana" w:hAnsi="Verdana"/>
          <w:sz w:val="18"/>
          <w:szCs w:val="18"/>
        </w:rPr>
      </w:pPr>
      <w:r>
        <w:rPr>
          <w:rFonts w:ascii="Verdana" w:hAnsi="Verdana"/>
          <w:sz w:val="18"/>
          <w:szCs w:val="18"/>
        </w:rPr>
        <w:t xml:space="preserve">Voor wat betreft </w:t>
      </w:r>
      <w:r w:rsidRPr="002B2DAC">
        <w:rPr>
          <w:rFonts w:ascii="Verdana" w:hAnsi="Verdana"/>
          <w:i/>
          <w:iCs/>
          <w:sz w:val="18"/>
          <w:szCs w:val="18"/>
        </w:rPr>
        <w:t xml:space="preserve">best </w:t>
      </w:r>
      <w:proofErr w:type="spellStart"/>
      <w:r w:rsidRPr="002B2DAC">
        <w:rPr>
          <w:rFonts w:ascii="Verdana" w:hAnsi="Verdana"/>
          <w:i/>
          <w:iCs/>
          <w:sz w:val="18"/>
          <w:szCs w:val="18"/>
        </w:rPr>
        <w:t>practices</w:t>
      </w:r>
      <w:proofErr w:type="spellEnd"/>
      <w:r>
        <w:rPr>
          <w:rFonts w:ascii="Verdana" w:hAnsi="Verdana"/>
          <w:sz w:val="18"/>
          <w:szCs w:val="18"/>
        </w:rPr>
        <w:t xml:space="preserve"> zal </w:t>
      </w:r>
      <w:r w:rsidR="006A2519">
        <w:rPr>
          <w:rFonts w:ascii="Verdana" w:hAnsi="Verdana"/>
          <w:sz w:val="18"/>
          <w:szCs w:val="18"/>
        </w:rPr>
        <w:t>het kabinet</w:t>
      </w:r>
      <w:r>
        <w:rPr>
          <w:rFonts w:ascii="Verdana" w:hAnsi="Verdana"/>
          <w:sz w:val="18"/>
          <w:szCs w:val="18"/>
        </w:rPr>
        <w:t xml:space="preserve"> tijdens de </w:t>
      </w:r>
      <w:r w:rsidR="006A2519">
        <w:rPr>
          <w:rFonts w:ascii="Verdana" w:hAnsi="Verdana"/>
          <w:sz w:val="18"/>
          <w:szCs w:val="18"/>
        </w:rPr>
        <w:t>JBZ-</w:t>
      </w:r>
      <w:r>
        <w:rPr>
          <w:rFonts w:ascii="Verdana" w:hAnsi="Verdana"/>
          <w:sz w:val="18"/>
          <w:szCs w:val="18"/>
        </w:rPr>
        <w:t>Raad benoemen dat voor</w:t>
      </w:r>
      <w:r w:rsidRPr="00E60F14">
        <w:rPr>
          <w:rFonts w:ascii="Verdana" w:hAnsi="Verdana"/>
          <w:sz w:val="18"/>
          <w:szCs w:val="18"/>
        </w:rPr>
        <w:t xml:space="preserve"> de bestrijding van de illegale handel met de vierhoek Inspectie Overheidsinformatie en Erfgoed, Douane, Politie en Openbaar Ministerie in</w:t>
      </w:r>
      <w:r w:rsidR="002B2DAC">
        <w:rPr>
          <w:rFonts w:ascii="Verdana" w:hAnsi="Verdana"/>
          <w:sz w:val="18"/>
          <w:szCs w:val="18"/>
        </w:rPr>
        <w:t>gezet wordt</w:t>
      </w:r>
      <w:r w:rsidRPr="00E60F14">
        <w:rPr>
          <w:rFonts w:ascii="Verdana" w:hAnsi="Verdana"/>
          <w:sz w:val="18"/>
          <w:szCs w:val="18"/>
        </w:rPr>
        <w:t xml:space="preserve"> op de verbetering van de werking van de toezichts- en handhavingsketen, waardoor samenwerking, kennisoverdracht en deskundigheidsbevordering efficiënter en effectiever kan plaatsvinden. </w:t>
      </w:r>
      <w:r w:rsidR="002B2DAC">
        <w:rPr>
          <w:rFonts w:ascii="Verdana" w:hAnsi="Verdana"/>
          <w:sz w:val="18"/>
          <w:szCs w:val="18"/>
        </w:rPr>
        <w:t xml:space="preserve">Het kabinet kijkt uit naar het delen van </w:t>
      </w:r>
      <w:r w:rsidRPr="008C3625" w:rsidR="002B2DAC">
        <w:rPr>
          <w:rFonts w:ascii="Verdana" w:hAnsi="Verdana"/>
          <w:i/>
          <w:iCs/>
          <w:sz w:val="18"/>
          <w:szCs w:val="18"/>
        </w:rPr>
        <w:t xml:space="preserve">best </w:t>
      </w:r>
      <w:proofErr w:type="spellStart"/>
      <w:r w:rsidRPr="008C3625" w:rsidR="002B2DAC">
        <w:rPr>
          <w:rFonts w:ascii="Verdana" w:hAnsi="Verdana"/>
          <w:i/>
          <w:iCs/>
          <w:sz w:val="18"/>
          <w:szCs w:val="18"/>
        </w:rPr>
        <w:t>practices</w:t>
      </w:r>
      <w:proofErr w:type="spellEnd"/>
      <w:r w:rsidR="002B2DAC">
        <w:rPr>
          <w:rFonts w:ascii="Verdana" w:hAnsi="Verdana"/>
          <w:sz w:val="18"/>
          <w:szCs w:val="18"/>
        </w:rPr>
        <w:t xml:space="preserve"> </w:t>
      </w:r>
      <w:r w:rsidR="00AF4D7D">
        <w:rPr>
          <w:rFonts w:ascii="Verdana" w:hAnsi="Verdana"/>
          <w:sz w:val="18"/>
          <w:szCs w:val="18"/>
        </w:rPr>
        <w:t>tijdens de Raad.</w:t>
      </w:r>
      <w:bookmarkEnd w:id="0"/>
      <w:r w:rsidRPr="00E60F14">
        <w:rPr>
          <w:rFonts w:ascii="Verdana" w:hAnsi="Verdana"/>
          <w:sz w:val="18"/>
          <w:szCs w:val="18"/>
        </w:rPr>
        <w:t xml:space="preserve"> </w:t>
      </w:r>
    </w:p>
    <w:p w:rsidRPr="004649E9" w:rsidR="004649E9" w:rsidP="004649E9" w:rsidRDefault="004649E9" w14:paraId="2FD29653" w14:textId="5424A479">
      <w:pPr>
        <w:pStyle w:val="Lijstalinea"/>
        <w:numPr>
          <w:ilvl w:val="0"/>
          <w:numId w:val="8"/>
        </w:numPr>
        <w:rPr>
          <w:rFonts w:ascii="Verdana" w:hAnsi="Verdana"/>
          <w:b/>
          <w:bCs/>
          <w:sz w:val="18"/>
          <w:szCs w:val="18"/>
        </w:rPr>
      </w:pPr>
      <w:r>
        <w:rPr>
          <w:rFonts w:ascii="Verdana" w:hAnsi="Verdana"/>
          <w:b/>
          <w:bCs/>
          <w:sz w:val="18"/>
          <w:szCs w:val="18"/>
        </w:rPr>
        <w:t xml:space="preserve">Werklunch </w:t>
      </w:r>
      <w:r w:rsidR="00E00D7B">
        <w:rPr>
          <w:rFonts w:ascii="Verdana" w:hAnsi="Verdana"/>
          <w:b/>
          <w:bCs/>
          <w:sz w:val="18"/>
          <w:szCs w:val="18"/>
        </w:rPr>
        <w:t>–</w:t>
      </w:r>
      <w:r>
        <w:rPr>
          <w:rFonts w:ascii="Verdana" w:hAnsi="Verdana"/>
          <w:b/>
          <w:bCs/>
          <w:sz w:val="18"/>
          <w:szCs w:val="18"/>
        </w:rPr>
        <w:t xml:space="preserve"> </w:t>
      </w:r>
      <w:r w:rsidR="00E00D7B">
        <w:rPr>
          <w:rFonts w:ascii="Verdana" w:hAnsi="Verdana"/>
          <w:b/>
          <w:bCs/>
          <w:sz w:val="18"/>
          <w:szCs w:val="18"/>
        </w:rPr>
        <w:t xml:space="preserve">Het bevorderen van alternatieven voor detentie voor jongeren waaronder </w:t>
      </w:r>
      <w:r w:rsidRPr="004649E9">
        <w:rPr>
          <w:rFonts w:ascii="Verdana" w:hAnsi="Verdana"/>
          <w:b/>
          <w:bCs/>
          <w:sz w:val="18"/>
          <w:szCs w:val="18"/>
        </w:rPr>
        <w:t xml:space="preserve">doorverwijzen naar een drugsbehandeling </w:t>
      </w:r>
    </w:p>
    <w:p w:rsidR="0021323C" w:rsidP="004649E9" w:rsidRDefault="00BF2875" w14:paraId="31D33223" w14:textId="0CDBEA70">
      <w:pPr>
        <w:rPr>
          <w:rFonts w:ascii="Verdana" w:hAnsi="Verdana"/>
          <w:sz w:val="18"/>
          <w:szCs w:val="18"/>
        </w:rPr>
      </w:pPr>
      <w:r w:rsidRPr="00BF2875">
        <w:rPr>
          <w:rFonts w:ascii="Verdana" w:hAnsi="Verdana"/>
          <w:sz w:val="18"/>
          <w:szCs w:val="18"/>
        </w:rPr>
        <w:t xml:space="preserve">Tijdens de werklunch </w:t>
      </w:r>
      <w:r w:rsidR="00751E92">
        <w:rPr>
          <w:rFonts w:ascii="Verdana" w:hAnsi="Verdana"/>
          <w:sz w:val="18"/>
          <w:szCs w:val="18"/>
        </w:rPr>
        <w:t>wenst het Voorzitterschap van gedachten te wisselen</w:t>
      </w:r>
      <w:r w:rsidRPr="00BF2875">
        <w:rPr>
          <w:rFonts w:ascii="Verdana" w:hAnsi="Verdana"/>
          <w:sz w:val="18"/>
          <w:szCs w:val="18"/>
        </w:rPr>
        <w:t xml:space="preserve"> over alternatieven voor detentie voor jongeren die in aanraking zijn gekomen met justitie, met </w:t>
      </w:r>
      <w:r w:rsidR="000D213F">
        <w:rPr>
          <w:rFonts w:ascii="Verdana" w:hAnsi="Verdana"/>
          <w:sz w:val="18"/>
          <w:szCs w:val="18"/>
        </w:rPr>
        <w:t xml:space="preserve">ook </w:t>
      </w:r>
      <w:r w:rsidRPr="00BF2875">
        <w:rPr>
          <w:rFonts w:ascii="Verdana" w:hAnsi="Verdana"/>
          <w:sz w:val="18"/>
          <w:szCs w:val="18"/>
        </w:rPr>
        <w:t xml:space="preserve">aandacht voor doorverwijzing naar drugsbehandeling. De gedachtewisseling zal </w:t>
      </w:r>
      <w:r w:rsidR="00960BFA">
        <w:rPr>
          <w:rFonts w:ascii="Verdana" w:hAnsi="Verdana"/>
          <w:sz w:val="18"/>
          <w:szCs w:val="18"/>
        </w:rPr>
        <w:t xml:space="preserve">mogelijk </w:t>
      </w:r>
      <w:r w:rsidRPr="00BF2875">
        <w:rPr>
          <w:rFonts w:ascii="Verdana" w:hAnsi="Verdana"/>
          <w:sz w:val="18"/>
          <w:szCs w:val="18"/>
        </w:rPr>
        <w:t xml:space="preserve">gericht zijn op preventie, rehabilitatie en het voorkomen van </w:t>
      </w:r>
      <w:r>
        <w:rPr>
          <w:rFonts w:ascii="Verdana" w:hAnsi="Verdana"/>
          <w:sz w:val="18"/>
          <w:szCs w:val="18"/>
        </w:rPr>
        <w:t xml:space="preserve">herhaald </w:t>
      </w:r>
      <w:r w:rsidR="00CF070E">
        <w:rPr>
          <w:rFonts w:ascii="Verdana" w:hAnsi="Verdana"/>
          <w:sz w:val="18"/>
          <w:szCs w:val="18"/>
        </w:rPr>
        <w:t>strafbaar gedrag</w:t>
      </w:r>
      <w:r w:rsidRPr="00BF2875">
        <w:rPr>
          <w:rFonts w:ascii="Verdana" w:hAnsi="Verdana"/>
          <w:sz w:val="18"/>
          <w:szCs w:val="18"/>
        </w:rPr>
        <w:t xml:space="preserve">, waarbij lidstaten </w:t>
      </w:r>
      <w:r w:rsidR="00CF070E">
        <w:rPr>
          <w:rFonts w:ascii="Verdana" w:hAnsi="Verdana"/>
          <w:i/>
          <w:iCs/>
          <w:sz w:val="18"/>
          <w:szCs w:val="18"/>
        </w:rPr>
        <w:t xml:space="preserve">best </w:t>
      </w:r>
      <w:proofErr w:type="spellStart"/>
      <w:r w:rsidR="00CF070E">
        <w:rPr>
          <w:rFonts w:ascii="Verdana" w:hAnsi="Verdana"/>
          <w:i/>
          <w:iCs/>
          <w:sz w:val="18"/>
          <w:szCs w:val="18"/>
        </w:rPr>
        <w:t>practices</w:t>
      </w:r>
      <w:proofErr w:type="spellEnd"/>
      <w:r w:rsidR="00CF070E">
        <w:rPr>
          <w:rFonts w:ascii="Verdana" w:hAnsi="Verdana"/>
          <w:i/>
          <w:iCs/>
          <w:sz w:val="18"/>
          <w:szCs w:val="18"/>
        </w:rPr>
        <w:t xml:space="preserve"> </w:t>
      </w:r>
      <w:r w:rsidRPr="00BF2875">
        <w:rPr>
          <w:rFonts w:ascii="Verdana" w:hAnsi="Verdana"/>
          <w:sz w:val="18"/>
          <w:szCs w:val="18"/>
        </w:rPr>
        <w:t>kunnen uitwisselen</w:t>
      </w:r>
      <w:r w:rsidR="00CF070E">
        <w:rPr>
          <w:rFonts w:ascii="Verdana" w:hAnsi="Verdana"/>
          <w:sz w:val="18"/>
          <w:szCs w:val="18"/>
        </w:rPr>
        <w:t xml:space="preserve">. </w:t>
      </w:r>
    </w:p>
    <w:p w:rsidR="004235E1" w:rsidP="004235E1" w:rsidRDefault="00E647C7" w14:paraId="5EA76CAF" w14:textId="57A8962A">
      <w:pPr>
        <w:rPr>
          <w:rFonts w:ascii="Verdana" w:hAnsi="Verdana"/>
          <w:sz w:val="18"/>
          <w:szCs w:val="18"/>
        </w:rPr>
      </w:pPr>
      <w:r>
        <w:rPr>
          <w:rFonts w:ascii="Verdana" w:hAnsi="Verdana"/>
          <w:sz w:val="18"/>
          <w:szCs w:val="18"/>
        </w:rPr>
        <w:t xml:space="preserve">Het kabinet verwelkomt deze discussie nu </w:t>
      </w:r>
      <w:r w:rsidR="003261C4">
        <w:rPr>
          <w:rFonts w:ascii="Verdana" w:hAnsi="Verdana"/>
          <w:sz w:val="18"/>
          <w:szCs w:val="18"/>
        </w:rPr>
        <w:t xml:space="preserve">preventie van jeugdcriminaliteit </w:t>
      </w:r>
      <w:r w:rsidR="002A334C">
        <w:rPr>
          <w:rFonts w:ascii="Verdana" w:hAnsi="Verdana"/>
          <w:sz w:val="18"/>
          <w:szCs w:val="18"/>
        </w:rPr>
        <w:t xml:space="preserve">een </w:t>
      </w:r>
      <w:r w:rsidR="003261C4">
        <w:rPr>
          <w:rFonts w:ascii="Verdana" w:hAnsi="Verdana"/>
          <w:sz w:val="18"/>
          <w:szCs w:val="18"/>
        </w:rPr>
        <w:t>prioriteit</w:t>
      </w:r>
      <w:r>
        <w:rPr>
          <w:rFonts w:ascii="Verdana" w:hAnsi="Verdana"/>
          <w:sz w:val="18"/>
          <w:szCs w:val="18"/>
        </w:rPr>
        <w:t xml:space="preserve"> </w:t>
      </w:r>
      <w:r w:rsidR="002A334C">
        <w:rPr>
          <w:rFonts w:ascii="Verdana" w:hAnsi="Verdana"/>
          <w:sz w:val="18"/>
          <w:szCs w:val="18"/>
        </w:rPr>
        <w:t>vormt</w:t>
      </w:r>
      <w:r w:rsidR="00A362F1">
        <w:rPr>
          <w:rFonts w:ascii="Verdana" w:hAnsi="Verdana"/>
          <w:sz w:val="18"/>
          <w:szCs w:val="18"/>
        </w:rPr>
        <w:t>.</w:t>
      </w:r>
      <w:r w:rsidR="004303BC">
        <w:rPr>
          <w:rFonts w:ascii="Verdana" w:hAnsi="Verdana"/>
          <w:sz w:val="18"/>
          <w:szCs w:val="18"/>
        </w:rPr>
        <w:t xml:space="preserve"> </w:t>
      </w:r>
      <w:r w:rsidR="002A334C">
        <w:rPr>
          <w:rFonts w:ascii="Verdana" w:hAnsi="Verdana"/>
          <w:sz w:val="18"/>
          <w:szCs w:val="18"/>
        </w:rPr>
        <w:t>Zo is in</w:t>
      </w:r>
      <w:r w:rsidR="004235E1">
        <w:rPr>
          <w:rFonts w:ascii="Verdana" w:hAnsi="Verdana"/>
          <w:sz w:val="18"/>
          <w:szCs w:val="18"/>
        </w:rPr>
        <w:t xml:space="preserve"> 2022 </w:t>
      </w:r>
      <w:r w:rsidR="002A334C">
        <w:rPr>
          <w:rFonts w:ascii="Verdana" w:hAnsi="Verdana"/>
          <w:sz w:val="18"/>
          <w:szCs w:val="18"/>
        </w:rPr>
        <w:t>m</w:t>
      </w:r>
      <w:r w:rsidR="004235E1">
        <w:rPr>
          <w:rFonts w:ascii="Verdana" w:hAnsi="Verdana"/>
          <w:sz w:val="18"/>
          <w:szCs w:val="18"/>
        </w:rPr>
        <w:t>et het programma Preventie met Gezag gestart. Hiermee worden 27 structurele en 20 incidentele op basis van data geselecteerde steden ondersteunt bij het voorkomen dat jongeren en hun gezinnen in een kwetsbare positie in aanraking komen met criminaliteit, daarin afglijden of doorgroeien tot geharde criminelen.</w:t>
      </w:r>
      <w:r w:rsidRPr="008209C7" w:rsidR="004235E1">
        <w:rPr>
          <w:rFonts w:ascii="Verdana" w:hAnsi="Verdana"/>
          <w:sz w:val="18"/>
          <w:szCs w:val="18"/>
        </w:rPr>
        <w:t xml:space="preserve"> </w:t>
      </w:r>
      <w:r w:rsidRPr="00A362F1" w:rsidR="004235E1">
        <w:rPr>
          <w:rFonts w:ascii="Verdana" w:hAnsi="Verdana"/>
          <w:sz w:val="18"/>
          <w:szCs w:val="18"/>
        </w:rPr>
        <w:t xml:space="preserve">Dit is een </w:t>
      </w:r>
      <w:r w:rsidRPr="007B54E1" w:rsidR="004235E1">
        <w:rPr>
          <w:rFonts w:ascii="Verdana" w:hAnsi="Verdana" w:cs="Arial"/>
          <w:sz w:val="18"/>
          <w:szCs w:val="18"/>
        </w:rPr>
        <w:t>brede aanpak van (georganiseerde en ondermijnende) jeugdcriminaliteit, waarvoor structureel ruim 143 miljoen euro beschikbaar is.</w:t>
      </w:r>
      <w:r w:rsidR="004235E1">
        <w:rPr>
          <w:rFonts w:ascii="Verdana" w:hAnsi="Verdana" w:cs="Arial"/>
          <w:sz w:val="20"/>
          <w:szCs w:val="20"/>
        </w:rPr>
        <w:t xml:space="preserve"> </w:t>
      </w:r>
    </w:p>
    <w:p w:rsidRPr="007B54E1" w:rsidR="004235E1" w:rsidP="004235E1" w:rsidRDefault="004235E1" w14:paraId="58017134" w14:textId="0F120A51">
      <w:pPr>
        <w:spacing w:before="240" w:after="0"/>
        <w:rPr>
          <w:rFonts w:ascii="Verdana" w:hAnsi="Verdana" w:cs="Arial"/>
          <w:sz w:val="18"/>
          <w:szCs w:val="18"/>
        </w:rPr>
      </w:pPr>
      <w:r w:rsidRPr="007B54E1">
        <w:rPr>
          <w:rFonts w:ascii="Verdana" w:hAnsi="Verdana" w:cs="Arial"/>
          <w:sz w:val="18"/>
          <w:szCs w:val="18"/>
        </w:rPr>
        <w:t xml:space="preserve">Het programma biedt jongeren en jongvolwassenen in een kwetsbare positie kansen en stelt grenzen om te voorkomen dat ze in de criminaliteit terecht komen, daar verder in afglijden of doorgroeien. Er wordt dus niet enkel ingezet op het weerbaar maken van jongeren, maar ook stevig op de rehabilitatie van jongeren en jongvolwassenen die al in de criminaliteit zitten. </w:t>
      </w:r>
    </w:p>
    <w:p w:rsidR="00613981" w:rsidP="004649E9" w:rsidRDefault="002A334C" w14:paraId="1B45D848" w14:textId="77777777">
      <w:pPr>
        <w:rPr>
          <w:rFonts w:ascii="Verdana" w:hAnsi="Verdana"/>
          <w:sz w:val="18"/>
          <w:szCs w:val="18"/>
        </w:rPr>
      </w:pPr>
      <w:r>
        <w:rPr>
          <w:rFonts w:ascii="Verdana" w:hAnsi="Verdana"/>
          <w:sz w:val="18"/>
          <w:szCs w:val="18"/>
        </w:rPr>
        <w:br/>
        <w:t>Voor wat betreft</w:t>
      </w:r>
      <w:r w:rsidR="004235E1">
        <w:rPr>
          <w:rFonts w:ascii="Verdana" w:hAnsi="Verdana"/>
          <w:sz w:val="18"/>
          <w:szCs w:val="18"/>
        </w:rPr>
        <w:t xml:space="preserve"> de nazorg en re-integratie tijdens en na detentie, wordt voor volwassenen ex-gedetineerden van zwaardere delicten</w:t>
      </w:r>
      <w:r w:rsidR="00613981">
        <w:rPr>
          <w:rFonts w:ascii="Verdana" w:hAnsi="Verdana"/>
          <w:sz w:val="18"/>
          <w:szCs w:val="18"/>
        </w:rPr>
        <w:t xml:space="preserve"> </w:t>
      </w:r>
      <w:r w:rsidR="004235E1">
        <w:rPr>
          <w:rFonts w:ascii="Verdana" w:hAnsi="Verdana"/>
          <w:sz w:val="18"/>
          <w:szCs w:val="18"/>
        </w:rPr>
        <w:t>de werkwijze van de re-integratieofficier (</w:t>
      </w:r>
      <w:proofErr w:type="spellStart"/>
      <w:r w:rsidR="004235E1">
        <w:rPr>
          <w:rFonts w:ascii="Verdana" w:hAnsi="Verdana"/>
          <w:sz w:val="18"/>
          <w:szCs w:val="18"/>
        </w:rPr>
        <w:t>rio</w:t>
      </w:r>
      <w:proofErr w:type="spellEnd"/>
      <w:r w:rsidR="004235E1">
        <w:rPr>
          <w:rFonts w:ascii="Verdana" w:hAnsi="Verdana"/>
          <w:sz w:val="18"/>
          <w:szCs w:val="18"/>
        </w:rPr>
        <w:t>) in gemeenten ingezet en samen met gemeenten ontwikkeld.</w:t>
      </w:r>
      <w:r>
        <w:rPr>
          <w:rFonts w:ascii="Verdana" w:hAnsi="Verdana"/>
          <w:sz w:val="18"/>
          <w:szCs w:val="18"/>
        </w:rPr>
        <w:t xml:space="preserve"> </w:t>
      </w:r>
      <w:r w:rsidRPr="00F704CF" w:rsidR="004235E1">
        <w:rPr>
          <w:rFonts w:ascii="Verdana" w:hAnsi="Verdana"/>
          <w:sz w:val="18"/>
          <w:szCs w:val="18"/>
        </w:rPr>
        <w:t>De</w:t>
      </w:r>
      <w:r>
        <w:rPr>
          <w:rFonts w:ascii="Verdana" w:hAnsi="Verdana"/>
          <w:sz w:val="18"/>
          <w:szCs w:val="18"/>
        </w:rPr>
        <w:t>ze</w:t>
      </w:r>
      <w:r w:rsidRPr="00F704CF" w:rsidR="004235E1">
        <w:rPr>
          <w:rFonts w:ascii="Verdana" w:hAnsi="Verdana"/>
          <w:sz w:val="18"/>
          <w:szCs w:val="18"/>
        </w:rPr>
        <w:t xml:space="preserve"> re-integratieofficier biedt hulp voor ex-gedetineerde plegers van geweld</w:t>
      </w:r>
      <w:r w:rsidR="004235E1">
        <w:rPr>
          <w:rFonts w:ascii="Verdana" w:hAnsi="Verdana"/>
          <w:sz w:val="18"/>
          <w:szCs w:val="18"/>
        </w:rPr>
        <w:t xml:space="preserve">dadige (vermogens) </w:t>
      </w:r>
      <w:r w:rsidRPr="00F704CF" w:rsidR="004235E1">
        <w:rPr>
          <w:rFonts w:ascii="Verdana" w:hAnsi="Verdana"/>
          <w:sz w:val="18"/>
          <w:szCs w:val="18"/>
        </w:rPr>
        <w:t xml:space="preserve">criminaliteit in den brede met hardnekkige </w:t>
      </w:r>
      <w:proofErr w:type="spellStart"/>
      <w:r w:rsidRPr="00F704CF" w:rsidR="004235E1">
        <w:rPr>
          <w:rFonts w:ascii="Verdana" w:hAnsi="Verdana"/>
          <w:sz w:val="18"/>
          <w:szCs w:val="18"/>
        </w:rPr>
        <w:t>multiproblematiek</w:t>
      </w:r>
      <w:proofErr w:type="spellEnd"/>
      <w:r w:rsidRPr="00F704CF" w:rsidR="004235E1">
        <w:rPr>
          <w:rFonts w:ascii="Verdana" w:hAnsi="Verdana"/>
          <w:sz w:val="18"/>
          <w:szCs w:val="18"/>
        </w:rPr>
        <w:t xml:space="preserve"> op meerdere leefgebieden. </w:t>
      </w:r>
      <w:bookmarkStart w:name="_Hlk214460795" w:id="2"/>
    </w:p>
    <w:p w:rsidRPr="000D07FF" w:rsidR="004649E9" w:rsidP="004649E9" w:rsidRDefault="00256A08" w14:paraId="09B34105" w14:textId="4B309DC3">
      <w:pPr>
        <w:rPr>
          <w:rFonts w:ascii="Verdana" w:hAnsi="Verdana"/>
          <w:sz w:val="18"/>
          <w:szCs w:val="18"/>
        </w:rPr>
      </w:pPr>
      <w:r w:rsidRPr="00613981">
        <w:rPr>
          <w:rFonts w:ascii="Verdana" w:hAnsi="Verdana" w:cs="Arial"/>
          <w:sz w:val="18"/>
          <w:szCs w:val="18"/>
        </w:rPr>
        <w:lastRenderedPageBreak/>
        <w:t xml:space="preserve">Nederland hecht veel waarde aan </w:t>
      </w:r>
      <w:proofErr w:type="spellStart"/>
      <w:r w:rsidRPr="00613981">
        <w:rPr>
          <w:rFonts w:ascii="Verdana" w:hAnsi="Verdana" w:cs="Arial"/>
          <w:i/>
          <w:iCs/>
          <w:sz w:val="18"/>
          <w:szCs w:val="18"/>
        </w:rPr>
        <w:t>evidence-based</w:t>
      </w:r>
      <w:proofErr w:type="spellEnd"/>
      <w:r w:rsidRPr="00613981">
        <w:rPr>
          <w:rFonts w:ascii="Verdana" w:hAnsi="Verdana" w:cs="Arial"/>
          <w:sz w:val="18"/>
          <w:szCs w:val="18"/>
        </w:rPr>
        <w:t xml:space="preserve"> preventie en een doorlopende adaptieve leercyclus. </w:t>
      </w:r>
      <w:r w:rsidR="00E647C7">
        <w:rPr>
          <w:rFonts w:ascii="Verdana" w:hAnsi="Verdana"/>
          <w:sz w:val="18"/>
          <w:szCs w:val="18"/>
        </w:rPr>
        <w:t xml:space="preserve">Het </w:t>
      </w:r>
      <w:r w:rsidR="002A334C">
        <w:rPr>
          <w:rFonts w:ascii="Verdana" w:hAnsi="Verdana"/>
          <w:sz w:val="18"/>
          <w:szCs w:val="18"/>
        </w:rPr>
        <w:t>k</w:t>
      </w:r>
      <w:r w:rsidR="00E647C7">
        <w:rPr>
          <w:rFonts w:ascii="Verdana" w:hAnsi="Verdana"/>
          <w:sz w:val="18"/>
          <w:szCs w:val="18"/>
        </w:rPr>
        <w:t xml:space="preserve">abinet </w:t>
      </w:r>
      <w:r w:rsidR="00613981">
        <w:rPr>
          <w:rFonts w:ascii="Verdana" w:hAnsi="Verdana"/>
          <w:sz w:val="18"/>
          <w:szCs w:val="18"/>
        </w:rPr>
        <w:t xml:space="preserve">zal tijdens de JBZ-Raad dan ook een aantal </w:t>
      </w:r>
      <w:r w:rsidRPr="00613981" w:rsidR="00613981">
        <w:rPr>
          <w:rFonts w:ascii="Verdana" w:hAnsi="Verdana"/>
          <w:i/>
          <w:iCs/>
          <w:sz w:val="18"/>
          <w:szCs w:val="18"/>
        </w:rPr>
        <w:t xml:space="preserve">best </w:t>
      </w:r>
      <w:proofErr w:type="spellStart"/>
      <w:r w:rsidRPr="00613981" w:rsidR="00613981">
        <w:rPr>
          <w:rFonts w:ascii="Verdana" w:hAnsi="Verdana"/>
          <w:i/>
          <w:iCs/>
          <w:sz w:val="18"/>
          <w:szCs w:val="18"/>
        </w:rPr>
        <w:t>practices</w:t>
      </w:r>
      <w:proofErr w:type="spellEnd"/>
      <w:r w:rsidR="00613981">
        <w:rPr>
          <w:rFonts w:ascii="Verdana" w:hAnsi="Verdana"/>
          <w:sz w:val="18"/>
          <w:szCs w:val="18"/>
        </w:rPr>
        <w:t xml:space="preserve"> delen en kijkt </w:t>
      </w:r>
      <w:r w:rsidR="00A362F1">
        <w:rPr>
          <w:rFonts w:ascii="Verdana" w:hAnsi="Verdana"/>
          <w:sz w:val="18"/>
          <w:szCs w:val="18"/>
        </w:rPr>
        <w:t xml:space="preserve">uit naar </w:t>
      </w:r>
      <w:r w:rsidR="00E647C7">
        <w:rPr>
          <w:rFonts w:ascii="Verdana" w:hAnsi="Verdana"/>
          <w:sz w:val="18"/>
          <w:szCs w:val="18"/>
        </w:rPr>
        <w:t>de uitwisseling van goede praktijken tussen de lidstaten.</w:t>
      </w:r>
    </w:p>
    <w:bookmarkEnd w:id="2"/>
    <w:p w:rsidRPr="0087337D" w:rsidR="004649E9" w:rsidP="007B54E1" w:rsidRDefault="004649E9" w14:paraId="3CD20C3F" w14:textId="77777777">
      <w:pPr>
        <w:rPr>
          <w:rFonts w:ascii="Verdana" w:hAnsi="Verdana"/>
          <w:b/>
          <w:sz w:val="18"/>
          <w:szCs w:val="18"/>
        </w:rPr>
      </w:pPr>
    </w:p>
    <w:p w:rsidR="004649E9" w:rsidRDefault="004649E9" w14:paraId="3D7317B5" w14:textId="77777777"/>
    <w:sectPr w:rsidR="004649E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0491" w14:textId="77777777" w:rsidR="00DE4983" w:rsidRDefault="00DE4983" w:rsidP="004649E9">
      <w:pPr>
        <w:spacing w:after="0" w:line="240" w:lineRule="auto"/>
      </w:pPr>
      <w:r>
        <w:separator/>
      </w:r>
    </w:p>
  </w:endnote>
  <w:endnote w:type="continuationSeparator" w:id="0">
    <w:p w14:paraId="6C4D4572" w14:textId="77777777" w:rsidR="00DE4983" w:rsidRDefault="00DE4983" w:rsidP="004649E9">
      <w:pPr>
        <w:spacing w:after="0" w:line="240" w:lineRule="auto"/>
      </w:pPr>
      <w:r>
        <w:continuationSeparator/>
      </w:r>
    </w:p>
  </w:endnote>
  <w:endnote w:type="continuationNotice" w:id="1">
    <w:p w14:paraId="7A53D516" w14:textId="77777777" w:rsidR="00DE4983" w:rsidRDefault="00DE4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08495"/>
      <w:docPartObj>
        <w:docPartGallery w:val="Page Numbers (Bottom of Page)"/>
        <w:docPartUnique/>
      </w:docPartObj>
    </w:sdtPr>
    <w:sdtEndPr/>
    <w:sdtContent>
      <w:p w14:paraId="3C9AFAA7" w14:textId="21B9E2DB" w:rsidR="007B54E1" w:rsidRDefault="007B54E1">
        <w:pPr>
          <w:pStyle w:val="Voettekst"/>
          <w:jc w:val="right"/>
        </w:pPr>
        <w:r>
          <w:fldChar w:fldCharType="begin"/>
        </w:r>
        <w:r>
          <w:instrText>PAGE   \* MERGEFORMAT</w:instrText>
        </w:r>
        <w:r>
          <w:fldChar w:fldCharType="separate"/>
        </w:r>
        <w:r>
          <w:t>2</w:t>
        </w:r>
        <w:r>
          <w:fldChar w:fldCharType="end"/>
        </w:r>
      </w:p>
    </w:sdtContent>
  </w:sdt>
  <w:p w14:paraId="0EC3AF5B" w14:textId="77777777" w:rsidR="007B54E1" w:rsidRDefault="007B5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DBCE" w14:textId="77777777" w:rsidR="00DE4983" w:rsidRDefault="00DE4983" w:rsidP="004649E9">
      <w:pPr>
        <w:spacing w:after="0" w:line="240" w:lineRule="auto"/>
      </w:pPr>
      <w:r>
        <w:separator/>
      </w:r>
    </w:p>
  </w:footnote>
  <w:footnote w:type="continuationSeparator" w:id="0">
    <w:p w14:paraId="2D2E74E7" w14:textId="77777777" w:rsidR="00DE4983" w:rsidRDefault="00DE4983" w:rsidP="004649E9">
      <w:pPr>
        <w:spacing w:after="0" w:line="240" w:lineRule="auto"/>
      </w:pPr>
      <w:r>
        <w:continuationSeparator/>
      </w:r>
    </w:p>
  </w:footnote>
  <w:footnote w:type="continuationNotice" w:id="1">
    <w:p w14:paraId="58155450" w14:textId="77777777" w:rsidR="00DE4983" w:rsidRDefault="00DE4983">
      <w:pPr>
        <w:spacing w:after="0" w:line="240" w:lineRule="auto"/>
      </w:pPr>
    </w:p>
  </w:footnote>
  <w:footnote w:id="2">
    <w:p w14:paraId="29FE8FF3" w14:textId="1683339D" w:rsidR="00BA778F" w:rsidRPr="00E6341E" w:rsidRDefault="00BA778F" w:rsidP="00BA778F">
      <w:pPr>
        <w:pStyle w:val="Voetnoottekst"/>
        <w:rPr>
          <w:rFonts w:ascii="Verdana" w:hAnsi="Verdana"/>
          <w:sz w:val="16"/>
          <w:szCs w:val="16"/>
        </w:rPr>
      </w:pPr>
      <w:r w:rsidRPr="00E6341E">
        <w:rPr>
          <w:rStyle w:val="Voetnootmarkering"/>
          <w:rFonts w:ascii="Verdana" w:hAnsi="Verdana"/>
          <w:sz w:val="16"/>
          <w:szCs w:val="16"/>
        </w:rPr>
        <w:footnoteRef/>
      </w:r>
      <w:r w:rsidRPr="00E6341E">
        <w:rPr>
          <w:rFonts w:ascii="Verdana" w:hAnsi="Verdana"/>
          <w:sz w:val="16"/>
          <w:szCs w:val="16"/>
        </w:rPr>
        <w:t xml:space="preserve"> </w:t>
      </w:r>
      <w:r w:rsidR="00784633" w:rsidRPr="00E6341E">
        <w:rPr>
          <w:rFonts w:ascii="Verdana" w:hAnsi="Verdana"/>
          <w:sz w:val="16"/>
          <w:szCs w:val="16"/>
        </w:rPr>
        <w:t>Kamerstukken II,</w:t>
      </w:r>
      <w:r w:rsidRPr="00E6341E">
        <w:rPr>
          <w:rFonts w:ascii="Verdana" w:hAnsi="Verdana"/>
          <w:sz w:val="16"/>
          <w:szCs w:val="16"/>
        </w:rPr>
        <w:t xml:space="preserve"> 2025-2026, 7010422 nr. 987</w:t>
      </w:r>
      <w:r w:rsidR="00E6341E" w:rsidRPr="00E6341E">
        <w:rPr>
          <w:rFonts w:ascii="Verdana" w:hAnsi="Verdana"/>
          <w:sz w:val="16"/>
          <w:szCs w:val="16"/>
        </w:rPr>
        <w:t>.</w:t>
      </w:r>
    </w:p>
  </w:footnote>
  <w:footnote w:id="3">
    <w:p w14:paraId="2F08E6C4" w14:textId="425FC209" w:rsidR="004474CB" w:rsidRPr="00E6341E" w:rsidRDefault="004474CB">
      <w:pPr>
        <w:pStyle w:val="Voetnoottekst"/>
        <w:rPr>
          <w:rFonts w:ascii="Verdana" w:hAnsi="Verdana"/>
          <w:sz w:val="16"/>
          <w:szCs w:val="16"/>
        </w:rPr>
      </w:pPr>
      <w:r w:rsidRPr="00E6341E">
        <w:rPr>
          <w:rStyle w:val="Voetnootmarkering"/>
          <w:rFonts w:ascii="Verdana" w:hAnsi="Verdana"/>
          <w:sz w:val="16"/>
          <w:szCs w:val="16"/>
        </w:rPr>
        <w:footnoteRef/>
      </w:r>
      <w:r w:rsidRPr="00E6341E">
        <w:rPr>
          <w:rFonts w:ascii="Verdana" w:hAnsi="Verdana"/>
          <w:sz w:val="16"/>
          <w:szCs w:val="16"/>
        </w:rPr>
        <w:t xml:space="preserve"> Kamerstukken II 2023-2024, 32317, nr. 872</w:t>
      </w:r>
      <w:r w:rsidR="00E6341E" w:rsidRPr="00E6341E">
        <w:rPr>
          <w:rFonts w:ascii="Verdana" w:hAnsi="Verdana"/>
          <w:sz w:val="16"/>
          <w:szCs w:val="16"/>
        </w:rPr>
        <w:t>.</w:t>
      </w:r>
    </w:p>
  </w:footnote>
  <w:footnote w:id="4">
    <w:p w14:paraId="53BF4648" w14:textId="6EA3AF5B" w:rsidR="00784633" w:rsidRDefault="00784633">
      <w:pPr>
        <w:pStyle w:val="Voetnoottekst"/>
      </w:pPr>
      <w:r w:rsidRPr="00E6341E">
        <w:rPr>
          <w:rStyle w:val="Voetnootmarkering"/>
          <w:rFonts w:ascii="Verdana" w:hAnsi="Verdana"/>
          <w:sz w:val="16"/>
          <w:szCs w:val="16"/>
        </w:rPr>
        <w:footnoteRef/>
      </w:r>
      <w:r w:rsidRPr="00E6341E">
        <w:rPr>
          <w:rFonts w:ascii="Verdana" w:hAnsi="Verdana"/>
          <w:sz w:val="16"/>
          <w:szCs w:val="16"/>
        </w:rPr>
        <w:t xml:space="preserve"> Kamerstukken II  2025-2026, 32317, nr. 973</w:t>
      </w:r>
      <w:r w:rsidR="00E6341E" w:rsidRPr="00E6341E">
        <w:rPr>
          <w:rFonts w:ascii="Verdana" w:hAnsi="Verdana"/>
          <w:sz w:val="16"/>
          <w:szCs w:val="16"/>
        </w:rPr>
        <w:t>.</w:t>
      </w:r>
    </w:p>
  </w:footnote>
  <w:footnote w:id="5">
    <w:p w14:paraId="34FB3AFD" w14:textId="77777777" w:rsidR="00784633" w:rsidRDefault="00784633" w:rsidP="00784633">
      <w:pPr>
        <w:pStyle w:val="Voetnoottekst"/>
      </w:pPr>
      <w:r>
        <w:rPr>
          <w:rStyle w:val="Voetnootmarkering"/>
        </w:rPr>
        <w:footnoteRef/>
      </w:r>
      <w:r>
        <w:t xml:space="preserve"> </w:t>
      </w:r>
      <w:r w:rsidRPr="00AE1095">
        <w:rPr>
          <w:rFonts w:ascii="Verdana" w:hAnsi="Verdana"/>
          <w:sz w:val="16"/>
          <w:szCs w:val="16"/>
        </w:rPr>
        <w:t>België, Bulgarije, Cyprus, Duitsland, Estland, Finland, Griekenland, Hongarije, Ierland, Italië, Litouwen, Luxemburg, Malta, Noorwegen, Oostenrijk, Polen, Slowakije, Tsjechië en Zweden.</w:t>
      </w:r>
      <w:r w:rsidRPr="00AE1095">
        <w:rPr>
          <w:sz w:val="16"/>
          <w:szCs w:val="16"/>
        </w:rPr>
        <w:t xml:space="preserve"> </w:t>
      </w:r>
    </w:p>
  </w:footnote>
  <w:footnote w:id="6">
    <w:p w14:paraId="17818913" w14:textId="39CD47D9" w:rsidR="00210110" w:rsidRPr="007B54E1" w:rsidRDefault="00210110">
      <w:pPr>
        <w:pStyle w:val="Voetnoottekst"/>
        <w:rPr>
          <w:rFonts w:ascii="Verdana" w:hAnsi="Verdana"/>
          <w:sz w:val="16"/>
          <w:szCs w:val="16"/>
        </w:rPr>
      </w:pPr>
      <w:r>
        <w:rPr>
          <w:rStyle w:val="Voetnootmarkering"/>
        </w:rPr>
        <w:footnoteRef/>
      </w:r>
      <w:r>
        <w:t xml:space="preserve"> </w:t>
      </w:r>
      <w:r w:rsidR="007B54E1">
        <w:rPr>
          <w:rFonts w:ascii="Verdana" w:hAnsi="Verdana"/>
          <w:sz w:val="16"/>
          <w:szCs w:val="16"/>
        </w:rPr>
        <w:t xml:space="preserve">Zie </w:t>
      </w:r>
      <w:r w:rsidRPr="007B54E1">
        <w:rPr>
          <w:rFonts w:ascii="Verdana" w:hAnsi="Verdana"/>
          <w:sz w:val="16"/>
          <w:szCs w:val="16"/>
        </w:rPr>
        <w:t xml:space="preserve">de geannoteerde agenda bij de JBZ-Raad van 8 en 9 december </w:t>
      </w:r>
      <w:r w:rsidR="007B54E1">
        <w:rPr>
          <w:rFonts w:ascii="Verdana" w:hAnsi="Verdana"/>
          <w:sz w:val="16"/>
          <w:szCs w:val="16"/>
        </w:rPr>
        <w:t xml:space="preserve">2025, </w:t>
      </w:r>
      <w:r w:rsidR="00AE1095">
        <w:rPr>
          <w:rFonts w:ascii="Verdana" w:hAnsi="Verdana"/>
          <w:sz w:val="16"/>
          <w:szCs w:val="16"/>
        </w:rPr>
        <w:t>Kamerstukken II, 2025-26</w:t>
      </w:r>
      <w:r w:rsidR="00746299">
        <w:rPr>
          <w:rFonts w:ascii="Verdana" w:hAnsi="Verdana"/>
          <w:sz w:val="16"/>
          <w:szCs w:val="16"/>
        </w:rPr>
        <w:t xml:space="preserve">, </w:t>
      </w:r>
      <w:r w:rsidR="00746299" w:rsidRPr="00746299">
        <w:rPr>
          <w:rFonts w:ascii="Verdana" w:hAnsi="Verdana"/>
          <w:sz w:val="16"/>
          <w:szCs w:val="16"/>
        </w:rPr>
        <w:t>32317-978</w:t>
      </w:r>
      <w:r w:rsidR="00746299">
        <w:rPr>
          <w:rFonts w:ascii="Verdana" w:hAnsi="Verdana"/>
          <w:sz w:val="16"/>
          <w:szCs w:val="16"/>
        </w:rPr>
        <w:t>.</w:t>
      </w:r>
    </w:p>
  </w:footnote>
  <w:footnote w:id="7">
    <w:p w14:paraId="31F1136D" w14:textId="66292D71" w:rsidR="008136FC" w:rsidRPr="007B54E1" w:rsidRDefault="008136FC">
      <w:pPr>
        <w:pStyle w:val="Voetnoottekst"/>
        <w:rPr>
          <w:rFonts w:ascii="Verdana" w:hAnsi="Verdana"/>
          <w:sz w:val="16"/>
          <w:szCs w:val="16"/>
        </w:rPr>
      </w:pPr>
      <w:r w:rsidRPr="007B54E1">
        <w:rPr>
          <w:rStyle w:val="Voetnootmarkering"/>
          <w:rFonts w:ascii="Verdana" w:hAnsi="Verdana"/>
          <w:sz w:val="16"/>
          <w:szCs w:val="16"/>
        </w:rPr>
        <w:footnoteRef/>
      </w:r>
      <w:r w:rsidRPr="007B54E1">
        <w:rPr>
          <w:rFonts w:ascii="Verdana" w:hAnsi="Verdana"/>
          <w:sz w:val="16"/>
          <w:szCs w:val="16"/>
        </w:rPr>
        <w:t xml:space="preserve"> CULTNET is een informeel </w:t>
      </w:r>
      <w:r w:rsidR="007B54E1">
        <w:rPr>
          <w:rFonts w:ascii="Verdana" w:hAnsi="Verdana"/>
          <w:sz w:val="16"/>
          <w:szCs w:val="16"/>
        </w:rPr>
        <w:t xml:space="preserve">EU </w:t>
      </w:r>
      <w:r w:rsidRPr="007B54E1">
        <w:rPr>
          <w:rFonts w:ascii="Verdana" w:hAnsi="Verdana"/>
          <w:sz w:val="16"/>
          <w:szCs w:val="16"/>
        </w:rPr>
        <w:t>netwerk van politieautoriteiten en deskundigen die bevoegd zijn op het gebied van de bescherming van cultureel erfgoed.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572"/>
    <w:multiLevelType w:val="hybridMultilevel"/>
    <w:tmpl w:val="6128A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7C32FE"/>
    <w:multiLevelType w:val="hybridMultilevel"/>
    <w:tmpl w:val="69D45CF6"/>
    <w:lvl w:ilvl="0" w:tplc="9DE26548">
      <w:start w:val="1"/>
      <w:numFmt w:val="decimal"/>
      <w:lvlText w:val="%1."/>
      <w:lvlJc w:val="left"/>
      <w:pPr>
        <w:ind w:left="720" w:hanging="360"/>
      </w:pPr>
      <w:rPr>
        <w:rFonts w:hint="default"/>
        <w:b/>
        <w:bCs/>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CA4205"/>
    <w:multiLevelType w:val="hybridMultilevel"/>
    <w:tmpl w:val="4F085BD8"/>
    <w:lvl w:ilvl="0" w:tplc="D0A4A0C0">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12007D"/>
    <w:multiLevelType w:val="hybridMultilevel"/>
    <w:tmpl w:val="A84AB074"/>
    <w:lvl w:ilvl="0" w:tplc="1DBAE758">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EF3BEE"/>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3196"/>
        </w:tabs>
        <w:ind w:left="3196"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4910"/>
    <w:multiLevelType w:val="hybridMultilevel"/>
    <w:tmpl w:val="6D340060"/>
    <w:lvl w:ilvl="0" w:tplc="D56C364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0B7E3D"/>
    <w:multiLevelType w:val="hybridMultilevel"/>
    <w:tmpl w:val="4FE0BB50"/>
    <w:lvl w:ilvl="0" w:tplc="001200A0">
      <w:start w:val="1"/>
      <w:numFmt w:val="decimal"/>
      <w:lvlText w:val="%1."/>
      <w:lvlJc w:val="left"/>
      <w:pPr>
        <w:ind w:left="720" w:hanging="360"/>
      </w:pPr>
      <w:rPr>
        <w:rFonts w:hint="default"/>
        <w:color w:val="FF000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8A6336"/>
    <w:multiLevelType w:val="hybridMultilevel"/>
    <w:tmpl w:val="371A6652"/>
    <w:lvl w:ilvl="0" w:tplc="D22220BC">
      <w:start w:val="1"/>
      <w:numFmt w:val="upperRoman"/>
      <w:lvlText w:val="%1."/>
      <w:lvlJc w:val="left"/>
      <w:pPr>
        <w:ind w:left="1080" w:hanging="720"/>
      </w:pPr>
      <w:rPr>
        <w:rFonts w:ascii="Verdana" w:eastAsia="Verdana" w:hAnsi="Verdana" w:cs="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0929677">
    <w:abstractNumId w:val="7"/>
  </w:num>
  <w:num w:numId="2" w16cid:durableId="1363165711">
    <w:abstractNumId w:val="1"/>
  </w:num>
  <w:num w:numId="3" w16cid:durableId="900749418">
    <w:abstractNumId w:val="4"/>
  </w:num>
  <w:num w:numId="4" w16cid:durableId="62997620">
    <w:abstractNumId w:val="2"/>
  </w:num>
  <w:num w:numId="5" w16cid:durableId="70009513">
    <w:abstractNumId w:val="6"/>
  </w:num>
  <w:num w:numId="6" w16cid:durableId="1778872094">
    <w:abstractNumId w:val="3"/>
  </w:num>
  <w:num w:numId="7" w16cid:durableId="1111819728">
    <w:abstractNumId w:val="0"/>
  </w:num>
  <w:num w:numId="8" w16cid:durableId="427819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E9"/>
    <w:rsid w:val="00061072"/>
    <w:rsid w:val="0007615D"/>
    <w:rsid w:val="000D213F"/>
    <w:rsid w:val="00121179"/>
    <w:rsid w:val="00125B99"/>
    <w:rsid w:val="00132031"/>
    <w:rsid w:val="00145848"/>
    <w:rsid w:val="001639B7"/>
    <w:rsid w:val="0018134C"/>
    <w:rsid w:val="001C1527"/>
    <w:rsid w:val="001E65E6"/>
    <w:rsid w:val="00210110"/>
    <w:rsid w:val="0021323C"/>
    <w:rsid w:val="00256A08"/>
    <w:rsid w:val="002605FC"/>
    <w:rsid w:val="002A334C"/>
    <w:rsid w:val="002B2DAC"/>
    <w:rsid w:val="002C44A9"/>
    <w:rsid w:val="002C5602"/>
    <w:rsid w:val="002F5163"/>
    <w:rsid w:val="003261C4"/>
    <w:rsid w:val="0033748F"/>
    <w:rsid w:val="003B6A17"/>
    <w:rsid w:val="003C01FC"/>
    <w:rsid w:val="003F3E22"/>
    <w:rsid w:val="003F6C1F"/>
    <w:rsid w:val="00400EF5"/>
    <w:rsid w:val="00404EDD"/>
    <w:rsid w:val="004235E1"/>
    <w:rsid w:val="00425B09"/>
    <w:rsid w:val="004303BC"/>
    <w:rsid w:val="004474CB"/>
    <w:rsid w:val="00460F2A"/>
    <w:rsid w:val="004649E9"/>
    <w:rsid w:val="0048638A"/>
    <w:rsid w:val="00535078"/>
    <w:rsid w:val="0057392F"/>
    <w:rsid w:val="005E50BF"/>
    <w:rsid w:val="00613981"/>
    <w:rsid w:val="00671A91"/>
    <w:rsid w:val="006A2519"/>
    <w:rsid w:val="006F2DDF"/>
    <w:rsid w:val="007171EC"/>
    <w:rsid w:val="00725AFB"/>
    <w:rsid w:val="00746299"/>
    <w:rsid w:val="00750E6E"/>
    <w:rsid w:val="00751E92"/>
    <w:rsid w:val="0076119B"/>
    <w:rsid w:val="00762C60"/>
    <w:rsid w:val="00776C55"/>
    <w:rsid w:val="00784633"/>
    <w:rsid w:val="00786CB5"/>
    <w:rsid w:val="007B54E1"/>
    <w:rsid w:val="007F5D46"/>
    <w:rsid w:val="00812E25"/>
    <w:rsid w:val="008136FC"/>
    <w:rsid w:val="00852B2E"/>
    <w:rsid w:val="00854E86"/>
    <w:rsid w:val="0086618B"/>
    <w:rsid w:val="0087337D"/>
    <w:rsid w:val="0087607C"/>
    <w:rsid w:val="008C3625"/>
    <w:rsid w:val="008F792A"/>
    <w:rsid w:val="00960BFA"/>
    <w:rsid w:val="009E75BE"/>
    <w:rsid w:val="00A22EB6"/>
    <w:rsid w:val="00A362F1"/>
    <w:rsid w:val="00A372D7"/>
    <w:rsid w:val="00A37701"/>
    <w:rsid w:val="00A40BF4"/>
    <w:rsid w:val="00A711E5"/>
    <w:rsid w:val="00A84EEC"/>
    <w:rsid w:val="00AD3A6A"/>
    <w:rsid w:val="00AE1095"/>
    <w:rsid w:val="00AF2B9E"/>
    <w:rsid w:val="00AF4D7D"/>
    <w:rsid w:val="00B56184"/>
    <w:rsid w:val="00B65DE1"/>
    <w:rsid w:val="00B91C47"/>
    <w:rsid w:val="00B941E1"/>
    <w:rsid w:val="00BA778F"/>
    <w:rsid w:val="00BE5DD6"/>
    <w:rsid w:val="00BF2875"/>
    <w:rsid w:val="00C006E3"/>
    <w:rsid w:val="00C0197B"/>
    <w:rsid w:val="00C04276"/>
    <w:rsid w:val="00C40A34"/>
    <w:rsid w:val="00CA2B8B"/>
    <w:rsid w:val="00CB7C12"/>
    <w:rsid w:val="00CD2888"/>
    <w:rsid w:val="00CF070E"/>
    <w:rsid w:val="00D11BE0"/>
    <w:rsid w:val="00D47ED1"/>
    <w:rsid w:val="00DE4983"/>
    <w:rsid w:val="00E00D7B"/>
    <w:rsid w:val="00E0398C"/>
    <w:rsid w:val="00E60F14"/>
    <w:rsid w:val="00E62A74"/>
    <w:rsid w:val="00E6341E"/>
    <w:rsid w:val="00E647C7"/>
    <w:rsid w:val="00E74936"/>
    <w:rsid w:val="00E75BFE"/>
    <w:rsid w:val="00EF26F9"/>
    <w:rsid w:val="00F1005C"/>
    <w:rsid w:val="00F62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1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9E9"/>
  </w:style>
  <w:style w:type="paragraph" w:styleId="Kop1">
    <w:name w:val="heading 1"/>
    <w:basedOn w:val="Standaard"/>
    <w:next w:val="Standaard"/>
    <w:link w:val="Kop1Char"/>
    <w:uiPriority w:val="9"/>
    <w:qFormat/>
    <w:rsid w:val="0046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49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49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49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4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9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49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49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49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49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4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9E9"/>
    <w:rPr>
      <w:rFonts w:eastAsiaTheme="majorEastAsia" w:cstheme="majorBidi"/>
      <w:color w:val="272727" w:themeColor="text1" w:themeTint="D8"/>
    </w:rPr>
  </w:style>
  <w:style w:type="paragraph" w:styleId="Titel">
    <w:name w:val="Title"/>
    <w:basedOn w:val="Standaard"/>
    <w:next w:val="Standaard"/>
    <w:link w:val="TitelChar"/>
    <w:uiPriority w:val="10"/>
    <w:qFormat/>
    <w:rsid w:val="00464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9E9"/>
    <w:rPr>
      <w:i/>
      <w:iCs/>
      <w:color w:val="404040" w:themeColor="text1" w:themeTint="BF"/>
    </w:rPr>
  </w:style>
  <w:style w:type="paragraph" w:styleId="Lijstalinea">
    <w:name w:val="List Paragraph"/>
    <w:basedOn w:val="Standaard"/>
    <w:uiPriority w:val="34"/>
    <w:qFormat/>
    <w:rsid w:val="004649E9"/>
    <w:pPr>
      <w:ind w:left="720"/>
      <w:contextualSpacing/>
    </w:pPr>
  </w:style>
  <w:style w:type="character" w:styleId="Intensievebenadrukking">
    <w:name w:val="Intense Emphasis"/>
    <w:basedOn w:val="Standaardalinea-lettertype"/>
    <w:uiPriority w:val="21"/>
    <w:qFormat/>
    <w:rsid w:val="004649E9"/>
    <w:rPr>
      <w:i/>
      <w:iCs/>
      <w:color w:val="0F4761" w:themeColor="accent1" w:themeShade="BF"/>
    </w:rPr>
  </w:style>
  <w:style w:type="paragraph" w:styleId="Duidelijkcitaat">
    <w:name w:val="Intense Quote"/>
    <w:basedOn w:val="Standaard"/>
    <w:next w:val="Standaard"/>
    <w:link w:val="DuidelijkcitaatChar"/>
    <w:uiPriority w:val="30"/>
    <w:qFormat/>
    <w:rsid w:val="00464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49E9"/>
    <w:rPr>
      <w:i/>
      <w:iCs/>
      <w:color w:val="0F4761" w:themeColor="accent1" w:themeShade="BF"/>
    </w:rPr>
  </w:style>
  <w:style w:type="character" w:styleId="Intensieveverwijzing">
    <w:name w:val="Intense Reference"/>
    <w:basedOn w:val="Standaardalinea-lettertype"/>
    <w:uiPriority w:val="32"/>
    <w:qFormat/>
    <w:rsid w:val="004649E9"/>
    <w:rPr>
      <w:b/>
      <w:bCs/>
      <w:smallCaps/>
      <w:color w:val="0F4761" w:themeColor="accent1" w:themeShade="BF"/>
      <w:spacing w:val="5"/>
    </w:rPr>
  </w:style>
  <w:style w:type="paragraph" w:styleId="Voetnoottekst">
    <w:name w:val="footnote text"/>
    <w:basedOn w:val="Standaard"/>
    <w:link w:val="VoetnoottekstChar"/>
    <w:uiPriority w:val="99"/>
    <w:unhideWhenUsed/>
    <w:rsid w:val="004649E9"/>
    <w:pPr>
      <w:spacing w:after="0" w:line="240" w:lineRule="auto"/>
    </w:pPr>
    <w:rPr>
      <w:sz w:val="20"/>
      <w:szCs w:val="20"/>
    </w:rPr>
  </w:style>
  <w:style w:type="character" w:customStyle="1" w:styleId="VoetnoottekstChar">
    <w:name w:val="Voetnoottekst Char"/>
    <w:basedOn w:val="Standaardalinea-lettertype"/>
    <w:link w:val="Voetnoottekst"/>
    <w:uiPriority w:val="99"/>
    <w:rsid w:val="004649E9"/>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4649E9"/>
    <w:rPr>
      <w:vertAlign w:val="superscript"/>
    </w:rPr>
  </w:style>
  <w:style w:type="character" w:styleId="Hyperlink">
    <w:name w:val="Hyperlink"/>
    <w:basedOn w:val="Standaardalinea-lettertype"/>
    <w:uiPriority w:val="99"/>
    <w:unhideWhenUsed/>
    <w:rsid w:val="004649E9"/>
    <w:rPr>
      <w:color w:val="467886" w:themeColor="hyperlink"/>
      <w:u w:val="single"/>
    </w:rPr>
  </w:style>
  <w:style w:type="paragraph" w:styleId="Geenafstand">
    <w:name w:val="No Spacing"/>
    <w:uiPriority w:val="1"/>
    <w:qFormat/>
    <w:rsid w:val="004649E9"/>
    <w:pPr>
      <w:spacing w:after="0" w:line="240" w:lineRule="auto"/>
    </w:pPr>
    <w:rPr>
      <w:rFonts w:ascii="Verdana" w:hAnsi="Verdana"/>
      <w:sz w:val="18"/>
    </w:rPr>
  </w:style>
  <w:style w:type="paragraph" w:styleId="Revisie">
    <w:name w:val="Revision"/>
    <w:hidden/>
    <w:uiPriority w:val="99"/>
    <w:semiHidden/>
    <w:rsid w:val="003C01FC"/>
    <w:pPr>
      <w:spacing w:after="0" w:line="240" w:lineRule="auto"/>
    </w:pPr>
  </w:style>
  <w:style w:type="character" w:styleId="Verwijzingopmerking">
    <w:name w:val="annotation reference"/>
    <w:basedOn w:val="Standaardalinea-lettertype"/>
    <w:uiPriority w:val="99"/>
    <w:semiHidden/>
    <w:unhideWhenUsed/>
    <w:rsid w:val="003C01FC"/>
    <w:rPr>
      <w:sz w:val="16"/>
      <w:szCs w:val="16"/>
    </w:rPr>
  </w:style>
  <w:style w:type="paragraph" w:styleId="Tekstopmerking">
    <w:name w:val="annotation text"/>
    <w:basedOn w:val="Standaard"/>
    <w:link w:val="TekstopmerkingChar"/>
    <w:uiPriority w:val="99"/>
    <w:unhideWhenUsed/>
    <w:rsid w:val="003C01FC"/>
    <w:pPr>
      <w:spacing w:line="240" w:lineRule="auto"/>
    </w:pPr>
    <w:rPr>
      <w:sz w:val="20"/>
      <w:szCs w:val="20"/>
    </w:rPr>
  </w:style>
  <w:style w:type="character" w:customStyle="1" w:styleId="TekstopmerkingChar">
    <w:name w:val="Tekst opmerking Char"/>
    <w:basedOn w:val="Standaardalinea-lettertype"/>
    <w:link w:val="Tekstopmerking"/>
    <w:uiPriority w:val="99"/>
    <w:rsid w:val="003C01FC"/>
    <w:rPr>
      <w:sz w:val="20"/>
      <w:szCs w:val="20"/>
    </w:rPr>
  </w:style>
  <w:style w:type="paragraph" w:styleId="Onderwerpvanopmerking">
    <w:name w:val="annotation subject"/>
    <w:basedOn w:val="Tekstopmerking"/>
    <w:next w:val="Tekstopmerking"/>
    <w:link w:val="OnderwerpvanopmerkingChar"/>
    <w:uiPriority w:val="99"/>
    <w:semiHidden/>
    <w:unhideWhenUsed/>
    <w:rsid w:val="003C01FC"/>
    <w:rPr>
      <w:b/>
      <w:bCs/>
    </w:rPr>
  </w:style>
  <w:style w:type="character" w:customStyle="1" w:styleId="OnderwerpvanopmerkingChar">
    <w:name w:val="Onderwerp van opmerking Char"/>
    <w:basedOn w:val="TekstopmerkingChar"/>
    <w:link w:val="Onderwerpvanopmerking"/>
    <w:uiPriority w:val="99"/>
    <w:semiHidden/>
    <w:rsid w:val="003C01FC"/>
    <w:rPr>
      <w:b/>
      <w:bCs/>
      <w:sz w:val="20"/>
      <w:szCs w:val="20"/>
    </w:rPr>
  </w:style>
  <w:style w:type="paragraph" w:styleId="Koptekst">
    <w:name w:val="header"/>
    <w:basedOn w:val="Standaard"/>
    <w:link w:val="KoptekstChar"/>
    <w:uiPriority w:val="99"/>
    <w:unhideWhenUsed/>
    <w:rsid w:val="00125B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B99"/>
  </w:style>
  <w:style w:type="paragraph" w:styleId="Voettekst">
    <w:name w:val="footer"/>
    <w:basedOn w:val="Standaard"/>
    <w:link w:val="VoettekstChar"/>
    <w:uiPriority w:val="99"/>
    <w:unhideWhenUsed/>
    <w:rsid w:val="00125B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B99"/>
  </w:style>
  <w:style w:type="paragraph" w:customStyle="1" w:styleId="Default">
    <w:name w:val="Default"/>
    <w:rsid w:val="00E75BF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4219">
      <w:bodyDiv w:val="1"/>
      <w:marLeft w:val="0"/>
      <w:marRight w:val="0"/>
      <w:marTop w:val="0"/>
      <w:marBottom w:val="0"/>
      <w:divBdr>
        <w:top w:val="none" w:sz="0" w:space="0" w:color="auto"/>
        <w:left w:val="none" w:sz="0" w:space="0" w:color="auto"/>
        <w:bottom w:val="none" w:sz="0" w:space="0" w:color="auto"/>
        <w:right w:val="none" w:sz="0" w:space="0" w:color="auto"/>
      </w:divBdr>
    </w:div>
    <w:div w:id="15655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1620</ap:Words>
  <ap:Characters>8911</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2026-01-15T08:59:00.0000000Z</dcterms:created>
  <dcterms:modified xsi:type="dcterms:W3CDTF">2026-01-15T08:59:00.0000000Z</dcterms:modified>
  <version/>
  <category/>
</coreProperties>
</file>