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48" w:rsidP="00BA4D76" w:rsidRDefault="00A15448" w14:paraId="60457F53" w14:textId="77777777">
      <w:bookmarkStart w:name="_GoBack" w:id="0"/>
      <w:bookmarkEnd w:id="0"/>
      <w:r>
        <w:t>Geachte voorzitter,</w:t>
      </w:r>
    </w:p>
    <w:p w:rsidR="00A15448" w:rsidP="00BA4D76" w:rsidRDefault="00A15448" w14:paraId="5F5A6698" w14:textId="77777777"/>
    <w:p w:rsidR="003D6E3E" w:rsidP="00BA4D76" w:rsidRDefault="00BA4D76" w14:paraId="763467D0" w14:textId="5717E125">
      <w:r>
        <w:t>Vorig jaar is het initiatiefwetsvoorstel V</w:t>
      </w:r>
      <w:r w:rsidRPr="007F3D81">
        <w:t>eilige jaarwisseling</w:t>
      </w:r>
      <w:r>
        <w:t xml:space="preserve"> van de leden </w:t>
      </w:r>
      <w:r w:rsidRPr="00D83E44">
        <w:t>Klaver (GroenLinks</w:t>
      </w:r>
      <w:r>
        <w:t>-PvdA</w:t>
      </w:r>
      <w:r w:rsidRPr="00D83E44">
        <w:t>) en Ouwehand (PvdD)</w:t>
      </w:r>
      <w:r>
        <w:rPr>
          <w:rStyle w:val="FootnoteReference"/>
        </w:rPr>
        <w:footnoteReference w:id="2"/>
      </w:r>
      <w:r w:rsidRPr="00D83E44">
        <w:t xml:space="preserve"> </w:t>
      </w:r>
      <w:r w:rsidRPr="007F3D81">
        <w:t xml:space="preserve">aangenomen in de </w:t>
      </w:r>
      <w:r>
        <w:t xml:space="preserve">Eerste en </w:t>
      </w:r>
      <w:r w:rsidRPr="007F3D81">
        <w:t xml:space="preserve">Tweede Kamer. </w:t>
      </w:r>
      <w:r>
        <w:t>De wet regelt</w:t>
      </w:r>
      <w:r w:rsidRPr="009E7CD9">
        <w:t xml:space="preserve"> een algeheel vuurwerkverbod voor consumenten. Het afsteken van F1-vuurwerk blijft gedurende het hele jaar toegestaan. Ook professionele vuurwerkontbrandingen blijven mogelijk.</w:t>
      </w:r>
      <w:r>
        <w:t xml:space="preserve"> Door het </w:t>
      </w:r>
      <w:r w:rsidR="003D6E3E">
        <w:t>aannemen van</w:t>
      </w:r>
      <w:r>
        <w:t xml:space="preserve"> het amendement Bikker c.s. is een ontheffingsbevoegdheid voor de burgemeester opgenomen in de Wet veilige jaarwisseling.</w:t>
      </w:r>
      <w:r>
        <w:rPr>
          <w:rStyle w:val="FootnoteReference"/>
        </w:rPr>
        <w:footnoteReference w:id="3"/>
      </w:r>
    </w:p>
    <w:p w:rsidR="003D6E3E" w:rsidP="00BA4D76" w:rsidRDefault="003D6E3E" w14:paraId="6116FC09" w14:textId="77777777"/>
    <w:p w:rsidR="00DF2954" w:rsidP="00BA4D76" w:rsidRDefault="00BA4D76" w14:paraId="04AFD99D" w14:textId="15FA5733">
      <w:r w:rsidRPr="009E7CD9">
        <w:t xml:space="preserve">Als gevolg van het door de Tweede Kamer aangenomen amendement </w:t>
      </w:r>
      <w:r>
        <w:t>Michon-Derkzen</w:t>
      </w:r>
      <w:r>
        <w:rPr>
          <w:rStyle w:val="FootnoteReference"/>
        </w:rPr>
        <w:footnoteReference w:id="4"/>
      </w:r>
      <w:r>
        <w:t xml:space="preserve"> moeten, v</w:t>
      </w:r>
      <w:r w:rsidRPr="009E7CD9">
        <w:t xml:space="preserve">oordat beide Kamers een besluit kunnen nemen over de datum van inwerkingtreding van de </w:t>
      </w:r>
      <w:r>
        <w:t>w</w:t>
      </w:r>
      <w:r w:rsidRPr="009E7CD9">
        <w:t>et</w:t>
      </w:r>
      <w:r w:rsidRPr="00C51A49">
        <w:t>, d</w:t>
      </w:r>
      <w:r>
        <w:t>rie</w:t>
      </w:r>
      <w:r w:rsidRPr="00C51A49">
        <w:t xml:space="preserve"> voorwaarden i</w:t>
      </w:r>
      <w:r w:rsidRPr="009E7CD9">
        <w:t>ngevuld zijn</w:t>
      </w:r>
      <w:r>
        <w:t xml:space="preserve"> te weten</w:t>
      </w:r>
      <w:r w:rsidR="00324C9F">
        <w:t>:</w:t>
      </w:r>
    </w:p>
    <w:p w:rsidR="0092783D" w:rsidP="00BA4D76" w:rsidRDefault="00BA4D76" w14:paraId="5A46FEEE" w14:textId="77777777">
      <w:pPr>
        <w:pStyle w:val="ListParagraph"/>
        <w:numPr>
          <w:ilvl w:val="0"/>
          <w:numId w:val="24"/>
        </w:numPr>
      </w:pPr>
      <w:r>
        <w:t>een handhavingsplan</w:t>
      </w:r>
      <w:r w:rsidR="00324C9F">
        <w:t>;</w:t>
      </w:r>
    </w:p>
    <w:p w:rsidR="0092783D" w:rsidP="00BA4D76" w:rsidRDefault="00BA4D76" w14:paraId="2ADFA380" w14:textId="77777777">
      <w:pPr>
        <w:pStyle w:val="ListParagraph"/>
        <w:numPr>
          <w:ilvl w:val="0"/>
          <w:numId w:val="24"/>
        </w:numPr>
      </w:pPr>
      <w:r>
        <w:t xml:space="preserve">een </w:t>
      </w:r>
      <w:r w:rsidRPr="009E7CD9">
        <w:t xml:space="preserve">algemene maatregel van bestuur (AMvB) waarin </w:t>
      </w:r>
      <w:r>
        <w:t>de ontheffingsmogelijkheid van de burgemeester is uitgewerkt</w:t>
      </w:r>
      <w:r w:rsidR="00324C9F">
        <w:t>;</w:t>
      </w:r>
    </w:p>
    <w:p w:rsidR="00BA4D76" w:rsidP="00BA4D76" w:rsidRDefault="00BA4D76" w14:paraId="6DA8977F" w14:textId="36886D8E">
      <w:pPr>
        <w:pStyle w:val="ListParagraph"/>
        <w:numPr>
          <w:ilvl w:val="0"/>
          <w:numId w:val="24"/>
        </w:numPr>
      </w:pPr>
      <w:r>
        <w:t xml:space="preserve">een </w:t>
      </w:r>
      <w:r w:rsidRPr="009E7CD9">
        <w:t>eerlijke en nette compensatieregeling</w:t>
      </w:r>
      <w:r>
        <w:t xml:space="preserve"> voor de vuurwerkbranche</w:t>
      </w:r>
      <w:r w:rsidR="00E675FA">
        <w:t xml:space="preserve"> inclusief dekking</w:t>
      </w:r>
      <w:r>
        <w:t>.</w:t>
      </w:r>
    </w:p>
    <w:p w:rsidR="001F108E" w:rsidP="00BA4D76" w:rsidRDefault="001F108E" w14:paraId="35E9F0CE" w14:textId="77777777"/>
    <w:p w:rsidR="00EB703E" w:rsidP="00BA4D76" w:rsidRDefault="00BA4D76" w14:paraId="7F4AEDBB" w14:textId="77777777">
      <w:pPr>
        <w:rPr>
          <w:b/>
          <w:bCs/>
        </w:rPr>
      </w:pPr>
      <w:r w:rsidRPr="005F259E">
        <w:t xml:space="preserve">Met deze brief informeer ik u </w:t>
      </w:r>
      <w:r w:rsidRPr="005F259E" w:rsidR="009C6197">
        <w:t xml:space="preserve">over </w:t>
      </w:r>
      <w:r w:rsidRPr="005F259E" w:rsidR="00EC339C">
        <w:t xml:space="preserve">de uitwerking </w:t>
      </w:r>
      <w:r w:rsidRPr="005F259E" w:rsidR="00A06ABF">
        <w:t>van de tweede voorwaarde namelijk de</w:t>
      </w:r>
      <w:r w:rsidRPr="005F259E" w:rsidR="00EC339C">
        <w:t xml:space="preserve"> AMvB </w:t>
      </w:r>
      <w:r w:rsidRPr="005F259E" w:rsidR="00A11E8C">
        <w:t xml:space="preserve">met de uitwerking van </w:t>
      </w:r>
      <w:r w:rsidRPr="005F259E" w:rsidR="00C80D1F">
        <w:t>de ontheffingsbevoegdheid</w:t>
      </w:r>
      <w:r w:rsidRPr="005F259E" w:rsidR="00324C9F">
        <w:t>.</w:t>
      </w:r>
      <w:r w:rsidR="00324C9F">
        <w:rPr>
          <w:b/>
          <w:bCs/>
        </w:rPr>
        <w:t xml:space="preserve"> </w:t>
      </w:r>
      <w:r w:rsidR="00324C9F">
        <w:t>Met deze ontheffingsbevoegdheid</w:t>
      </w:r>
      <w:r w:rsidR="00C80D1F">
        <w:t xml:space="preserve"> voor burgemeesters wordt geregeld dat groepen burgers zoals dorps- en buurtverenigingen een ontheffing kunnen aanvragen om </w:t>
      </w:r>
      <w:r w:rsidRPr="00DD5C19" w:rsidR="00C80D1F">
        <w:t xml:space="preserve">tijdens de jaarwisseling op een verantwoorde en veilige manier vuurwerk </w:t>
      </w:r>
      <w:r w:rsidR="00C80D1F">
        <w:t>af</w:t>
      </w:r>
      <w:r w:rsidRPr="00DD5C19" w:rsidR="00C80D1F">
        <w:t xml:space="preserve"> </w:t>
      </w:r>
      <w:r w:rsidR="00C80D1F">
        <w:t>te s</w:t>
      </w:r>
      <w:r w:rsidRPr="00DD5C19" w:rsidR="00C80D1F">
        <w:t>teken</w:t>
      </w:r>
      <w:r w:rsidR="00C80D1F">
        <w:t>. Op hoofdlijnen</w:t>
      </w:r>
      <w:r w:rsidR="00EC339C">
        <w:t xml:space="preserve"> </w:t>
      </w:r>
      <w:r w:rsidR="00C80D1F">
        <w:t xml:space="preserve">ga ik in op het </w:t>
      </w:r>
      <w:r w:rsidRPr="00EC339C">
        <w:t>gevoerde proces en de gemaakte keuzes</w:t>
      </w:r>
      <w:r w:rsidRPr="00EC339C" w:rsidR="00C80D1F">
        <w:t>.</w:t>
      </w:r>
      <w:r w:rsidRPr="00D9795F" w:rsidR="00EC339C">
        <w:t xml:space="preserve"> </w:t>
      </w:r>
      <w:r w:rsidRPr="00D9795F" w:rsidR="00C80D1F">
        <w:t>Het ontwerpbesluit zelf wordt</w:t>
      </w:r>
      <w:r w:rsidRPr="00D9795F">
        <w:t xml:space="preserve"> in het kader van de voorhangprocedure separaat aan uw beide Kamers aangeboden</w:t>
      </w:r>
      <w:r w:rsidRPr="00EC339C">
        <w:t>.</w:t>
      </w:r>
    </w:p>
    <w:p w:rsidRPr="00812E5F" w:rsidR="00BA4D76" w:rsidP="00BA4D76" w:rsidRDefault="00BA4D76" w14:paraId="2B0F8FE7" w14:textId="44F5B93E">
      <w:pPr>
        <w:rPr>
          <w:b/>
          <w:bCs/>
        </w:rPr>
      </w:pPr>
    </w:p>
    <w:p w:rsidR="00BA4D76" w:rsidP="00BA4D76" w:rsidRDefault="00BA4D76" w14:paraId="0363AB96" w14:textId="799EE599">
      <w:r>
        <w:t>In de Wet veilige jaarwisseling is,</w:t>
      </w:r>
      <w:r w:rsidRPr="00177C05">
        <w:t xml:space="preserve"> </w:t>
      </w:r>
      <w:r>
        <w:t>als gevolg van het aangenomen amendement Bikker c.s.,</w:t>
      </w:r>
      <w:r w:rsidRPr="009E7CD9">
        <w:t xml:space="preserve"> een ontheffings</w:t>
      </w:r>
      <w:r>
        <w:t>bevoegdheid</w:t>
      </w:r>
      <w:r w:rsidRPr="009E7CD9">
        <w:t xml:space="preserve"> </w:t>
      </w:r>
      <w:r>
        <w:t xml:space="preserve">opgenomen voor de burgemeester </w:t>
      </w:r>
      <w:r w:rsidRPr="009E7CD9">
        <w:t>voor het afsteken van aangewezen F2-vuurwerk tijdens de jaarwisseling</w:t>
      </w:r>
      <w:r>
        <w:t>. De in</w:t>
      </w:r>
      <w:r w:rsidRPr="00DD5C19">
        <w:t xml:space="preserve">dieners </w:t>
      </w:r>
      <w:r>
        <w:t>hebben</w:t>
      </w:r>
      <w:r w:rsidRPr="00DD5C19">
        <w:t xml:space="preserve"> het</w:t>
      </w:r>
      <w:r>
        <w:t xml:space="preserve"> hiermee</w:t>
      </w:r>
      <w:r w:rsidRPr="00DD5C19">
        <w:t xml:space="preserve"> onder voorwaarden mogelijk </w:t>
      </w:r>
      <w:r>
        <w:t>gemaakt voor georganiseerd</w:t>
      </w:r>
      <w:r w:rsidRPr="00DD5C19">
        <w:t>e groepen burgers</w:t>
      </w:r>
      <w:r>
        <w:t xml:space="preserve">, zoals dorps- en buurtverenigingen </w:t>
      </w:r>
      <w:r w:rsidRPr="00DD5C19">
        <w:t xml:space="preserve">om tijdens de jaarwisseling </w:t>
      </w:r>
      <w:r w:rsidRPr="00DD5C19">
        <w:lastRenderedPageBreak/>
        <w:t>op een verantwoorde en veilige manier vuurwerk af te steken</w:t>
      </w:r>
      <w:r>
        <w:t>. In de Wet veilige jaarwisseling is geregeld dat de voorwaarden waaronder door de burgemeester een ontheffing kan worden verleend, de voorschriften die aan de ontheffing kunnen worden verbonden, de regels over de verkoop van vuurwerk, en de aanwijzing van het vuurwerk dat in het kader van een ontheffing kan worden afgestoken, bij of krachtens algemene maatregel van bestuur worden uitgewerkt. Om tegemoet te komen aan de motie van de leden Bikker en Boswijk, is in april direct gestart met de voorbereidingen van de uitwerking.</w:t>
      </w:r>
      <w:r>
        <w:rPr>
          <w:rStyle w:val="FootnoteReference"/>
        </w:rPr>
        <w:footnoteReference w:id="5"/>
      </w:r>
    </w:p>
    <w:p w:rsidR="00BA4D76" w:rsidP="00BA4D76" w:rsidRDefault="00BA4D76" w14:paraId="21BA39CA" w14:textId="77777777"/>
    <w:p w:rsidRPr="00F42303" w:rsidR="00BA4D76" w:rsidP="00BA4D76" w:rsidRDefault="00BA4D76" w14:paraId="0047B8E1" w14:textId="77777777">
      <w:pPr>
        <w:rPr>
          <w:i/>
          <w:iCs/>
        </w:rPr>
      </w:pPr>
      <w:r w:rsidRPr="00F42303">
        <w:rPr>
          <w:i/>
          <w:iCs/>
        </w:rPr>
        <w:t>Proces</w:t>
      </w:r>
    </w:p>
    <w:p w:rsidR="00BA4D76" w:rsidP="00BA4D76" w:rsidRDefault="00BA4D76" w14:paraId="5A8C2F95" w14:textId="77777777">
      <w:pPr>
        <w:pStyle w:val="WitregelW1bodytekst"/>
      </w:pPr>
      <w:r>
        <w:t>Ten behoeve van de uitwerking hebben meerdere brainstormsessies en individuele gesprekken plaatsgevonden met onder andere het ministerie van Justitie en Veiligheid (JenV), het ministerie van Binnenlandse Zaken en Koninkrijksrelaties (BZK), de Inspectie Leefomgeving en Transport (ILT), de politie, het Openbaar Ministerie (OM), de brandweer, de Vereniging van Nederlandse Gemeenten (VNG), het Genootschap van Burgemeesters, landelijke vuurwerkcoördinatoren van provincies, gemeenten en omgevingsdiensten, en het RIVM. Ook de vuurwerkbranche (importeurs, detailhandel en professionele toepassers) is betrokken geweest bij dit proces. Verder is gebruik gemaakt van (bestaande) initiatieven voor burgerparticipatie, en zijn gesprekken gevoerd met (koepels van) buurt- en sportverenigingen en de vuurwerkliefhebbers om te vernemen waar zij kansen en uitdagingen zien. Op deze manier zijn de wensen die in de maatschappij leven en best practices waar de Eerste Kamer om heeft verzocht, zo goed mogelijk meegenomen.</w:t>
      </w:r>
    </w:p>
    <w:p w:rsidR="00BA4D76" w:rsidP="00BA4D76" w:rsidRDefault="00BA4D76" w14:paraId="4F0A4889" w14:textId="77777777">
      <w:pPr>
        <w:pStyle w:val="WitregelW1bodytekst"/>
      </w:pPr>
    </w:p>
    <w:p w:rsidR="00BA4D76" w:rsidP="00BA4D76" w:rsidRDefault="00BA4D76" w14:paraId="588D9D17" w14:textId="15F2A762">
      <w:pPr>
        <w:pStyle w:val="WitregelW1bodytekst"/>
      </w:pPr>
      <w:r>
        <w:t>Met de input uit alle gesprekken is zorgvuldig gewerkt aan een conceptuitwerking, waarover</w:t>
      </w:r>
      <w:r w:rsidR="00EC6214">
        <w:t xml:space="preserve"> eerst op</w:t>
      </w:r>
      <w:r>
        <w:t xml:space="preserve"> bestuurlijk</w:t>
      </w:r>
      <w:r w:rsidR="00EC6214">
        <w:t xml:space="preserve"> niveau </w:t>
      </w:r>
      <w:r>
        <w:t xml:space="preserve">gesprekken zijn gevoerd met </w:t>
      </w:r>
      <w:r w:rsidRPr="00083E79">
        <w:t xml:space="preserve">politie, </w:t>
      </w:r>
      <w:r w:rsidR="00964E1A">
        <w:t xml:space="preserve">ILT, burgemeesters, </w:t>
      </w:r>
      <w:r w:rsidRPr="00083E79">
        <w:t>OM, VNG en de vuurwerkbranche</w:t>
      </w:r>
      <w:r>
        <w:t xml:space="preserve">. Vervolgens is het Ontwerpbesluit veilige jaarwisseling nader uitgewerkt. Dit </w:t>
      </w:r>
      <w:r w:rsidR="00F75741">
        <w:t>O</w:t>
      </w:r>
      <w:r>
        <w:t xml:space="preserve">ntwerpbesluit is in de periode 7 november tot en met 5 december </w:t>
      </w:r>
      <w:r w:rsidR="003D6E3E">
        <w:t xml:space="preserve">2025 </w:t>
      </w:r>
      <w:r>
        <w:t>opengesteld voor openbare internetconsultatie.</w:t>
      </w:r>
      <w:r>
        <w:rPr>
          <w:rStyle w:val="FootnoteReference"/>
        </w:rPr>
        <w:footnoteReference w:id="6"/>
      </w:r>
      <w:r>
        <w:t xml:space="preserve"> Daar zijn 1353 reacties op ontvangen, waarvan 1164 openbaar. In de afgelopen periode hebben de ILT, de politie, en het OM een toets uitgevoerd op handhaafbaarheid, uitvoerbaarheid en fraudebestendigheid (HUF-toetsen). Daarnaast heeft de VNG een uitvoeringstoets</w:t>
      </w:r>
      <w:r w:rsidR="003D6E3E">
        <w:t xml:space="preserve"> verricht</w:t>
      </w:r>
      <w:r>
        <w:t xml:space="preserve">. Verder heeft het Adviescollege toetsing regeldruk (ATR) advies uitgebracht. </w:t>
      </w:r>
      <w:r w:rsidRPr="00083E79">
        <w:t>Alle reacties</w:t>
      </w:r>
      <w:r>
        <w:t xml:space="preserve">, adviezen en toetsen </w:t>
      </w:r>
      <w:r w:rsidRPr="00083E79">
        <w:t>zijn verwerkt</w:t>
      </w:r>
      <w:r>
        <w:t xml:space="preserve"> in het </w:t>
      </w:r>
      <w:r w:rsidR="002968BB">
        <w:t>Ontwerpb</w:t>
      </w:r>
      <w:r>
        <w:t>esluit veilige jaarwisseling zoals dit in een separate brief ter voorhang aan beide Kamers is aangeboden.</w:t>
      </w:r>
    </w:p>
    <w:p w:rsidR="00BA4D76" w:rsidP="00BA4D76" w:rsidRDefault="00BA4D76" w14:paraId="4BD055B8" w14:textId="77777777"/>
    <w:p w:rsidRPr="00F42303" w:rsidR="00BA4D76" w:rsidP="00BA4D76" w:rsidRDefault="00BA4D76" w14:paraId="12754FEF" w14:textId="77777777">
      <w:pPr>
        <w:rPr>
          <w:i/>
          <w:iCs/>
        </w:rPr>
      </w:pPr>
      <w:r w:rsidRPr="00F42303">
        <w:rPr>
          <w:i/>
          <w:iCs/>
        </w:rPr>
        <w:t>Inhoud Ontwerpbesluit</w:t>
      </w:r>
    </w:p>
    <w:p w:rsidRPr="000E6EA6" w:rsidR="00224266" w:rsidP="00EE0492" w:rsidRDefault="00224266" w14:paraId="75F0A5D0" w14:textId="42BE46DB">
      <w:pPr>
        <w:pStyle w:val="WitregelW1bodytekst"/>
      </w:pPr>
      <w:r>
        <w:t xml:space="preserve">Een belangrijk uitgangspunt bij het opstellen van het </w:t>
      </w:r>
      <w:r w:rsidR="003D6E3E">
        <w:t>O</w:t>
      </w:r>
      <w:r>
        <w:t>ntwerpbesluit is ruimte geven aan de lokale situatie</w:t>
      </w:r>
      <w:r w:rsidR="001216C3">
        <w:t>. Daarom is er gekozen om zo veel mogelijk</w:t>
      </w:r>
      <w:r w:rsidRPr="000E6EA6">
        <w:t xml:space="preserve"> op lokaal niveau ruimte </w:t>
      </w:r>
      <w:r w:rsidR="001216C3">
        <w:t>te laten</w:t>
      </w:r>
      <w:r w:rsidRPr="000E6EA6">
        <w:t xml:space="preserve"> om afwegingen te maken over hoe een ontheffing het beste kan worden vormgegeven</w:t>
      </w:r>
      <w:r>
        <w:t xml:space="preserve">. </w:t>
      </w:r>
      <w:r w:rsidRPr="000E6EA6">
        <w:t xml:space="preserve">Burgemeesters hebben </w:t>
      </w:r>
      <w:r>
        <w:t xml:space="preserve">immers bij uitstek </w:t>
      </w:r>
      <w:r w:rsidRPr="000E6EA6">
        <w:t>kennis over hun gemeente en inwoners</w:t>
      </w:r>
      <w:r>
        <w:t xml:space="preserve"> en kunnen daarom, samen met onder andere de lokale driehoek en de veiligheidsregio, bezien wat wenselijk en mogelijk is binnen hun gemeente.</w:t>
      </w:r>
      <w:r w:rsidR="001C5295">
        <w:t xml:space="preserve"> </w:t>
      </w:r>
      <w:r w:rsidR="00364DC5">
        <w:t>Daarnaast is ervoor gekozen om als uitgangspunt het vertrouwen in verenigingen en stichting</w:t>
      </w:r>
      <w:r w:rsidR="002968BB">
        <w:t>en</w:t>
      </w:r>
      <w:r w:rsidR="00364DC5">
        <w:t xml:space="preserve"> te hebben. Concreet betekent dit dat er</w:t>
      </w:r>
      <w:r w:rsidR="00F77810">
        <w:t xml:space="preserve"> is gekozen om</w:t>
      </w:r>
      <w:r w:rsidR="00364DC5">
        <w:t xml:space="preserve"> terughoudend</w:t>
      </w:r>
      <w:r w:rsidR="00F77810">
        <w:t xml:space="preserve"> te zijn </w:t>
      </w:r>
      <w:r w:rsidR="00364DC5">
        <w:t xml:space="preserve">als het gaat om het stellen van regels en vereisten op landelijk niveau. </w:t>
      </w:r>
      <w:r w:rsidR="00F77810">
        <w:t>Dit ook om onnodige belemmeringen</w:t>
      </w:r>
      <w:r w:rsidR="002A0D96">
        <w:t xml:space="preserve"> en regeldruk voor stichtingen en verenigingen te voorkomen.</w:t>
      </w:r>
    </w:p>
    <w:p w:rsidRPr="000E6EA6" w:rsidR="00224266" w:rsidP="00EE0492" w:rsidRDefault="00224266" w14:paraId="2C161293" w14:textId="77777777">
      <w:pPr>
        <w:pStyle w:val="WitregelW1bodytekst"/>
      </w:pPr>
    </w:p>
    <w:p w:rsidR="00224266" w:rsidP="00EE0492" w:rsidRDefault="0008442D" w14:paraId="65D36E89" w14:textId="30173D1C">
      <w:pPr>
        <w:pStyle w:val="WitregelW1bodytekst"/>
      </w:pPr>
      <w:r>
        <w:t>Daar waar wel nationale vereisten noodzakelijk zijn</w:t>
      </w:r>
      <w:r w:rsidR="007E3586">
        <w:t>,</w:t>
      </w:r>
      <w:r>
        <w:t xml:space="preserve"> is er gekozen om zo veel als mogelijk aan te sluiten bij de huidige wet- en regelgeving.</w:t>
      </w:r>
      <w:r w:rsidR="006F684F">
        <w:t xml:space="preserve"> </w:t>
      </w:r>
      <w:r w:rsidR="00AA2B20">
        <w:t>O</w:t>
      </w:r>
      <w:r w:rsidRPr="000E6EA6" w:rsidR="00224266">
        <w:t>m de veiligheid van de opslag, het vervoer, de verkoop en het afsteken van vuurwerk te waarborgen</w:t>
      </w:r>
      <w:r w:rsidR="00224266">
        <w:t xml:space="preserve"> voor ontbranders, supervisors, omstanders en omwonenden</w:t>
      </w:r>
      <w:r w:rsidR="00AA2B20">
        <w:t xml:space="preserve"> is het van belang dat daarover in het Ontwerpbesluit nationale vereisten worden gesteld</w:t>
      </w:r>
      <w:r w:rsidR="00224266">
        <w:t xml:space="preserve">. </w:t>
      </w:r>
      <w:r w:rsidRPr="000E6EA6" w:rsidR="00224266">
        <w:t>Hiermee wordt tegemoetgekomen aan de brede wens vanuit gemeenten om waar dat kan veiligheidsvereisten nationaal vast te leggen.</w:t>
      </w:r>
    </w:p>
    <w:p w:rsidRPr="001F78F0" w:rsidR="00224266" w:rsidP="00EE0492" w:rsidRDefault="00224266" w14:paraId="7B447580" w14:textId="77777777"/>
    <w:p w:rsidR="00BA4D76" w:rsidP="00FC2556" w:rsidRDefault="00BA4D76" w14:paraId="209360A4" w14:textId="7383DB1A">
      <w:pPr>
        <w:pStyle w:val="WitregelW1bodytekst"/>
      </w:pPr>
      <w:r w:rsidRPr="000E6EA6">
        <w:t>In diverse regio’s in Nederland heeft men veel ervaring met het binnen verenigingsverband organiseren van kleine evenementen</w:t>
      </w:r>
      <w:r>
        <w:t>,</w:t>
      </w:r>
      <w:r w:rsidRPr="000E6EA6">
        <w:t xml:space="preserve"> om </w:t>
      </w:r>
      <w:r>
        <w:t xml:space="preserve">zo </w:t>
      </w:r>
      <w:r w:rsidRPr="000E6EA6">
        <w:t>het gemeenschapsgevoel en de saamhorigheid te versterken. Dergelijke initiatieven komen vanuit de gemeenschap zelf, en worden veelal gefaciliteerd door de gemeente.</w:t>
      </w:r>
    </w:p>
    <w:p w:rsidRPr="00FC2556" w:rsidR="00FC2556" w:rsidP="00FC2556" w:rsidRDefault="00FC2556" w14:paraId="6CAD7D15" w14:textId="77777777"/>
    <w:p w:rsidR="00BA4D76" w:rsidP="00BA4D76" w:rsidRDefault="00BA4D76" w14:paraId="50EF3B49" w14:textId="1B0F7295">
      <w:pPr>
        <w:pStyle w:val="WitregelW1bodytekst"/>
      </w:pPr>
      <w:r>
        <w:t xml:space="preserve">In het Ontwerpbesluit veilige jaarwisseling is geprobeerd een balans te vinden tussen het waarborgen van de veiligheid, de handhaafbaarheid en uitvoerbaarheid, en de politieke en maatschappelijke wensen. Binnen deze nationale kaders is het voor de burgemeester mogelijk om, met zijn kennis en in overleg met de lokale driehoek te beslissen of, op welke locatie en hoeveel ontheffingen worden verleend. Hiermee </w:t>
      </w:r>
      <w:r w:rsidR="00C80D1F">
        <w:t>wordt beoogd</w:t>
      </w:r>
      <w:r>
        <w:t xml:space="preserve"> het voor de samenleving en op lokaal niveau niet geheel dicht te regelen, maar juist ook ruimte te bieden aan lokale initiatieven.</w:t>
      </w:r>
    </w:p>
    <w:p w:rsidRPr="002968BB" w:rsidR="002968BB" w:rsidP="00A64271" w:rsidRDefault="002968BB" w14:paraId="229D819F" w14:textId="77777777"/>
    <w:p w:rsidR="00BA4D76" w:rsidP="00BA4D76" w:rsidRDefault="00BA4D76" w14:paraId="29253B59" w14:textId="3FEFFB52">
      <w:pPr>
        <w:pStyle w:val="WitregelW1bodytekst"/>
      </w:pPr>
      <w:r>
        <w:t>De bevoegdheid voor het verlenen van een ontheffing ligt op grond van de wet bij de burgemeester. Het is aan de gemeente om toezicht te houden op de naleving van de voorwaarden waaronder de ontheffing is verleend. De gemeenteraad heeft daarnaast, ook met de inwerkingtreding van de Wet veilige jaarwisseling, de bevoegdheid om, zoals dat nu ook kan, een lokaal vuurwerkverbod of vuurwerkvrije zones in te stellen.</w:t>
      </w:r>
    </w:p>
    <w:p w:rsidR="00A15448" w:rsidP="00A15448" w:rsidRDefault="00A15448" w14:paraId="134A944E" w14:textId="77777777"/>
    <w:p w:rsidRPr="00A15448" w:rsidR="00A15448" w:rsidP="00A15448" w:rsidRDefault="00A15448" w14:paraId="34AE4FAA" w14:textId="0B6F0792">
      <w:pPr>
        <w:rPr>
          <w:b/>
          <w:bCs/>
        </w:rPr>
      </w:pPr>
      <w:r w:rsidRPr="00A15448">
        <w:rPr>
          <w:b/>
          <w:bCs/>
        </w:rPr>
        <w:t>Tot slot</w:t>
      </w:r>
    </w:p>
    <w:p w:rsidR="00A15448" w:rsidP="000A13C9" w:rsidRDefault="00A15448" w14:paraId="58838738" w14:textId="5C0DF92F">
      <w:r w:rsidRPr="00A15448">
        <w:t xml:space="preserve">Er is </w:t>
      </w:r>
      <w:r w:rsidR="00B261C7">
        <w:t xml:space="preserve">in beide Kamers een </w:t>
      </w:r>
      <w:r w:rsidRPr="00A15448">
        <w:t>brede politieke wens</w:t>
      </w:r>
      <w:r w:rsidR="00B261C7">
        <w:t xml:space="preserve"> om de</w:t>
      </w:r>
      <w:r w:rsidRPr="00A15448">
        <w:t xml:space="preserve"> inwerkingtreding van he</w:t>
      </w:r>
      <w:r w:rsidR="00241086">
        <w:t xml:space="preserve">t </w:t>
      </w:r>
      <w:r w:rsidRPr="00A15448">
        <w:t xml:space="preserve">verbod </w:t>
      </w:r>
      <w:r w:rsidR="00984897">
        <w:t xml:space="preserve">zo snel als mogelijk in te laten gaan. Dit wil zeggen </w:t>
      </w:r>
      <w:r w:rsidRPr="00A15448">
        <w:t xml:space="preserve">voor </w:t>
      </w:r>
      <w:r w:rsidR="00984897">
        <w:t xml:space="preserve">de </w:t>
      </w:r>
      <w:r w:rsidRPr="00A15448">
        <w:t xml:space="preserve">jaarwisseling 2026-2027. </w:t>
      </w:r>
      <w:r w:rsidR="00495CFE">
        <w:t xml:space="preserve">Tevens is het belangrijk dat </w:t>
      </w:r>
      <w:r w:rsidR="0000592D">
        <w:t>onder andere burgemeesters</w:t>
      </w:r>
      <w:r w:rsidR="00B80595">
        <w:t xml:space="preserve">, </w:t>
      </w:r>
      <w:r w:rsidR="0000592D">
        <w:t>handhavingsinstanties</w:t>
      </w:r>
      <w:r w:rsidR="00B80595">
        <w:t>, lokale verenigingen en stichtingen die gebruik willen maken van deze ontheffing</w:t>
      </w:r>
      <w:r w:rsidR="00A01C27">
        <w:t xml:space="preserve">, </w:t>
      </w:r>
      <w:r w:rsidR="0000592D">
        <w:t xml:space="preserve">voldoende tijd </w:t>
      </w:r>
      <w:r w:rsidR="002957E9">
        <w:t xml:space="preserve">hebben </w:t>
      </w:r>
      <w:r w:rsidR="0000592D">
        <w:t>om zich voor te bereiden op de nieuwe situatie</w:t>
      </w:r>
      <w:r w:rsidRPr="00A15448">
        <w:t>. Daarom zou</w:t>
      </w:r>
      <w:r w:rsidRPr="00311282">
        <w:t xml:space="preserve"> ik u willen verzoeken uw proces inzake de voorhangprocedure zo in te richten dat het </w:t>
      </w:r>
      <w:r>
        <w:t>O</w:t>
      </w:r>
      <w:r w:rsidRPr="00311282">
        <w:t xml:space="preserve">ntwerpbesluit </w:t>
      </w:r>
      <w:r>
        <w:t xml:space="preserve">veilige jaarwisseling </w:t>
      </w:r>
      <w:r w:rsidRPr="00311282">
        <w:t>op korte termijn de volgende stappen in het wetgevingsproces kan doorlopen en spoedig ter advisering aan de Raad van State kan worden aangeboden.</w:t>
      </w:r>
    </w:p>
    <w:p w:rsidR="00BA4D76" w:rsidP="00BA4D76" w:rsidRDefault="00BA4D76" w14:paraId="17E0924A" w14:textId="77777777"/>
    <w:p w:rsidR="00BA4D76" w:rsidP="00BA4D76" w:rsidRDefault="00BA4D76" w14:paraId="6F085A69" w14:textId="77777777">
      <w:pPr>
        <w:pStyle w:val="Slotzin"/>
      </w:pPr>
      <w:r>
        <w:t>Hoogachtend,</w:t>
      </w:r>
    </w:p>
    <w:p w:rsidR="00BA4D76" w:rsidP="00BA4D76" w:rsidRDefault="00BA4D76" w14:paraId="2E81668E" w14:textId="77777777">
      <w:pPr>
        <w:pStyle w:val="OndertekeningArea1"/>
      </w:pPr>
      <w:r>
        <w:t>DE STAATSSECRETARIS VAN INFRASTRUCTUUR EN WATERSTAAT - OPENBAAR VERVOER EN MILIEU,</w:t>
      </w:r>
    </w:p>
    <w:p w:rsidR="00BA4D76" w:rsidP="00BA4D76" w:rsidRDefault="00BA4D76" w14:paraId="35482B88" w14:textId="77777777"/>
    <w:p w:rsidR="00BA4D76" w:rsidP="00BA4D76" w:rsidRDefault="00BA4D76" w14:paraId="2CBAC0FF" w14:textId="77777777"/>
    <w:p w:rsidR="00BA4D76" w:rsidP="00BA4D76" w:rsidRDefault="00BA4D76" w14:paraId="138AC025" w14:textId="77777777"/>
    <w:p w:rsidR="00BA4D76" w:rsidP="00BA4D76" w:rsidRDefault="00BA4D76" w14:paraId="4CFA062F" w14:textId="77777777"/>
    <w:p w:rsidRPr="00BA4D76" w:rsidR="00F14BC4" w:rsidP="00BA4D76" w:rsidRDefault="00BA4D76" w14:paraId="21BA02EB" w14:textId="31E37290">
      <w:r>
        <w:t xml:space="preserve">A.A. (Thierry) Aartsen </w:t>
      </w:r>
    </w:p>
    <w:sectPr w:rsidRPr="00BA4D76" w:rsidR="00F14BC4">
      <w:headerReference w:type="default" r:id="rId9"/>
      <w:headerReference w:type="first" r:id="rId10"/>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3EFFDA" w14:textId="77777777" w:rsidR="007430A6" w:rsidRDefault="007430A6">
      <w:pPr>
        <w:spacing w:line="240" w:lineRule="auto"/>
      </w:pPr>
      <w:r>
        <w:separator/>
      </w:r>
    </w:p>
  </w:endnote>
  <w:endnote w:type="continuationSeparator" w:id="0">
    <w:p w14:paraId="4702DC83" w14:textId="77777777" w:rsidR="007430A6" w:rsidRDefault="007430A6">
      <w:pPr>
        <w:spacing w:line="240" w:lineRule="auto"/>
      </w:pPr>
      <w:r>
        <w:continuationSeparator/>
      </w:r>
    </w:p>
  </w:endnote>
  <w:endnote w:type="continuationNotice" w:id="1">
    <w:p w14:paraId="4C96F8F3" w14:textId="77777777" w:rsidR="007430A6" w:rsidRDefault="007430A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swiss"/>
    <w:notTrueType/>
    <w:pitch w:val="variable"/>
    <w:sig w:usb0="00000003" w:usb1="00000000" w:usb2="00000000" w:usb3="00000000" w:csb0="00000001" w:csb1="00000000"/>
  </w:font>
  <w:font w:name="Lohit Hindi">
    <w:altName w:val="Times New Roman"/>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2D8E4" w14:textId="77777777" w:rsidR="007430A6" w:rsidRDefault="007430A6">
      <w:pPr>
        <w:spacing w:line="240" w:lineRule="auto"/>
      </w:pPr>
      <w:r>
        <w:separator/>
      </w:r>
    </w:p>
  </w:footnote>
  <w:footnote w:type="continuationSeparator" w:id="0">
    <w:p w14:paraId="7916947F" w14:textId="77777777" w:rsidR="007430A6" w:rsidRDefault="007430A6">
      <w:pPr>
        <w:spacing w:line="240" w:lineRule="auto"/>
      </w:pPr>
      <w:r>
        <w:continuationSeparator/>
      </w:r>
    </w:p>
  </w:footnote>
  <w:footnote w:type="continuationNotice" w:id="1">
    <w:p w14:paraId="5DA39D1D" w14:textId="77777777" w:rsidR="007430A6" w:rsidRDefault="007430A6">
      <w:pPr>
        <w:spacing w:line="240" w:lineRule="auto"/>
      </w:pPr>
    </w:p>
  </w:footnote>
  <w:footnote w:id="2">
    <w:p w14:paraId="146285A0" w14:textId="3378A1A2" w:rsidR="00BA4D76" w:rsidRPr="00555F41" w:rsidRDefault="00BA4D76" w:rsidP="00BA4D76">
      <w:pPr>
        <w:pStyle w:val="FootnoteText"/>
        <w:rPr>
          <w:sz w:val="16"/>
          <w:szCs w:val="16"/>
        </w:rPr>
      </w:pPr>
      <w:r w:rsidRPr="00555F41">
        <w:rPr>
          <w:rStyle w:val="FootnoteReference"/>
          <w:sz w:val="16"/>
          <w:szCs w:val="16"/>
        </w:rPr>
        <w:footnoteRef/>
      </w:r>
      <w:r w:rsidRPr="00555F41">
        <w:rPr>
          <w:sz w:val="16"/>
          <w:szCs w:val="16"/>
        </w:rPr>
        <w:t xml:space="preserve"> Kamerstuk 35 386</w:t>
      </w:r>
      <w:r w:rsidR="00A15448">
        <w:rPr>
          <w:sz w:val="16"/>
          <w:szCs w:val="16"/>
        </w:rPr>
        <w:t>.</w:t>
      </w:r>
    </w:p>
  </w:footnote>
  <w:footnote w:id="3">
    <w:p w14:paraId="22ACF8C2" w14:textId="35DDA2DD" w:rsidR="00BA4D76" w:rsidRDefault="00BA4D76" w:rsidP="00BA4D76">
      <w:pPr>
        <w:pStyle w:val="FootnoteText"/>
      </w:pPr>
      <w:r w:rsidRPr="007E3586">
        <w:rPr>
          <w:rStyle w:val="FootnoteReference"/>
          <w:sz w:val="16"/>
          <w:szCs w:val="16"/>
        </w:rPr>
        <w:footnoteRef/>
      </w:r>
      <w:r w:rsidRPr="00CC455E">
        <w:rPr>
          <w:sz w:val="16"/>
          <w:szCs w:val="16"/>
        </w:rPr>
        <w:t xml:space="preserve"> Kamerstuk 35 386, nr. 17</w:t>
      </w:r>
      <w:r w:rsidR="00A15448">
        <w:rPr>
          <w:sz w:val="16"/>
          <w:szCs w:val="16"/>
        </w:rPr>
        <w:t>.</w:t>
      </w:r>
    </w:p>
  </w:footnote>
  <w:footnote w:id="4">
    <w:p w14:paraId="60CFF5B4" w14:textId="77777777" w:rsidR="00BA4D76" w:rsidRPr="00555F41" w:rsidRDefault="00BA4D76" w:rsidP="00BA4D76">
      <w:pPr>
        <w:pStyle w:val="FootnoteText"/>
        <w:rPr>
          <w:sz w:val="16"/>
          <w:szCs w:val="16"/>
        </w:rPr>
      </w:pPr>
      <w:r w:rsidRPr="00555F41">
        <w:rPr>
          <w:rStyle w:val="FootnoteReference"/>
          <w:sz w:val="16"/>
          <w:szCs w:val="16"/>
        </w:rPr>
        <w:footnoteRef/>
      </w:r>
      <w:r w:rsidRPr="00555F41">
        <w:rPr>
          <w:sz w:val="16"/>
          <w:szCs w:val="16"/>
        </w:rPr>
        <w:t xml:space="preserve"> Kamerstuk 35 386, nr. 16.</w:t>
      </w:r>
    </w:p>
  </w:footnote>
  <w:footnote w:id="5">
    <w:p w14:paraId="153E81A5" w14:textId="77777777" w:rsidR="00BA4D76" w:rsidRPr="002948DD" w:rsidRDefault="00BA4D76" w:rsidP="00BA4D76">
      <w:pPr>
        <w:pStyle w:val="FootnoteText"/>
        <w:rPr>
          <w:sz w:val="16"/>
          <w:szCs w:val="16"/>
        </w:rPr>
      </w:pPr>
      <w:r w:rsidRPr="00555F41">
        <w:rPr>
          <w:rStyle w:val="FootnoteReference"/>
          <w:sz w:val="16"/>
          <w:szCs w:val="16"/>
        </w:rPr>
        <w:footnoteRef/>
      </w:r>
      <w:r w:rsidRPr="002948DD">
        <w:rPr>
          <w:sz w:val="16"/>
          <w:szCs w:val="16"/>
        </w:rPr>
        <w:t xml:space="preserve"> Kamerstuk 35 386, nr. 31.</w:t>
      </w:r>
    </w:p>
  </w:footnote>
  <w:footnote w:id="6">
    <w:p w14:paraId="1A005EE0" w14:textId="77777777" w:rsidR="00BA4D76" w:rsidRPr="005E0957" w:rsidRDefault="00BA4D76" w:rsidP="00BA4D76">
      <w:pPr>
        <w:pStyle w:val="FootnoteText"/>
        <w:rPr>
          <w:sz w:val="16"/>
          <w:szCs w:val="16"/>
        </w:rPr>
      </w:pPr>
      <w:r w:rsidRPr="00555F41">
        <w:rPr>
          <w:rStyle w:val="FootnoteReference"/>
          <w:sz w:val="16"/>
          <w:szCs w:val="16"/>
        </w:rPr>
        <w:footnoteRef/>
      </w:r>
      <w:r w:rsidRPr="005E0957">
        <w:rPr>
          <w:sz w:val="16"/>
          <w:szCs w:val="16"/>
        </w:rPr>
        <w:t xml:space="preserve"> TZ202510-042.</w:t>
      </w:r>
    </w:p>
    <w:p w14:paraId="1B44793D" w14:textId="77777777" w:rsidR="00BA4D76" w:rsidRPr="005E0957" w:rsidRDefault="00BA4D76" w:rsidP="00BA4D76">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4EB91" w14:textId="77777777" w:rsidR="00F14BC4" w:rsidRDefault="002708B8">
    <w:r>
      <w:rPr>
        <w:noProof/>
        <w:lang w:val="en-GB" w:eastAsia="en-GB"/>
      </w:rPr>
      <mc:AlternateContent>
        <mc:Choice Requires="wps">
          <w:drawing>
            <wp:anchor distT="0" distB="0" distL="0" distR="0" simplePos="0" relativeHeight="251651584" behindDoc="0" locked="1" layoutInCell="1" allowOverlap="1" wp14:anchorId="2E6C845A" wp14:editId="141E4DAF">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FAEB9F8" w14:textId="77777777" w:rsidR="00F14BC4" w:rsidRDefault="002708B8">
                          <w:pPr>
                            <w:pStyle w:val="AfzendgegevensKop0"/>
                          </w:pPr>
                          <w:r>
                            <w:t>Ministerie van Infrastructuur en Waterstaat</w:t>
                          </w:r>
                        </w:p>
                        <w:p w14:paraId="2C34D7F3" w14:textId="77777777" w:rsidR="0011177F" w:rsidRDefault="0011177F" w:rsidP="0011177F"/>
                        <w:p w14:paraId="7B11E87B" w14:textId="77777777" w:rsidR="0011177F" w:rsidRPr="003A139F" w:rsidRDefault="0011177F" w:rsidP="0011177F">
                          <w:pPr>
                            <w:spacing w:line="276" w:lineRule="auto"/>
                            <w:rPr>
                              <w:b/>
                              <w:bCs/>
                              <w:sz w:val="13"/>
                              <w:szCs w:val="13"/>
                            </w:rPr>
                          </w:pPr>
                          <w:r w:rsidRPr="003A139F">
                            <w:rPr>
                              <w:b/>
                              <w:bCs/>
                              <w:sz w:val="13"/>
                              <w:szCs w:val="13"/>
                            </w:rPr>
                            <w:t>Kenmerk</w:t>
                          </w:r>
                        </w:p>
                        <w:p w14:paraId="7910A49A" w14:textId="77777777" w:rsidR="0011177F" w:rsidRPr="0064566F" w:rsidRDefault="0011177F" w:rsidP="0011177F">
                          <w:pPr>
                            <w:spacing w:line="276" w:lineRule="auto"/>
                            <w:rPr>
                              <w:sz w:val="13"/>
                              <w:szCs w:val="13"/>
                            </w:rPr>
                          </w:pPr>
                          <w:r w:rsidRPr="0064566F">
                            <w:rPr>
                              <w:sz w:val="13"/>
                              <w:szCs w:val="13"/>
                            </w:rPr>
                            <w:t>IENW/BSK-2026/9312</w:t>
                          </w:r>
                        </w:p>
                        <w:p w14:paraId="6A16784C" w14:textId="77777777" w:rsidR="0011177F" w:rsidRPr="0011177F" w:rsidRDefault="0011177F" w:rsidP="0011177F"/>
                      </w:txbxContent>
                    </wps:txbx>
                    <wps:bodyPr vert="horz" wrap="square" lIns="0" tIns="0" rIns="0" bIns="0" anchor="t" anchorCtr="0"/>
                  </wps:wsp>
                </a:graphicData>
              </a:graphic>
            </wp:anchor>
          </w:drawing>
        </mc:Choice>
        <mc:Fallback>
          <w:pict>
            <v:shapetype w14:anchorId="2E6C845A"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FAEB9F8" w14:textId="77777777" w:rsidR="00F14BC4" w:rsidRDefault="002708B8">
                    <w:pPr>
                      <w:pStyle w:val="AfzendgegevensKop0"/>
                    </w:pPr>
                    <w:r>
                      <w:t>Ministerie van Infrastructuur en Waterstaat</w:t>
                    </w:r>
                  </w:p>
                  <w:p w14:paraId="2C34D7F3" w14:textId="77777777" w:rsidR="0011177F" w:rsidRDefault="0011177F" w:rsidP="0011177F"/>
                  <w:p w14:paraId="7B11E87B" w14:textId="77777777" w:rsidR="0011177F" w:rsidRPr="003A139F" w:rsidRDefault="0011177F" w:rsidP="0011177F">
                    <w:pPr>
                      <w:spacing w:line="276" w:lineRule="auto"/>
                      <w:rPr>
                        <w:b/>
                        <w:bCs/>
                        <w:sz w:val="13"/>
                        <w:szCs w:val="13"/>
                      </w:rPr>
                    </w:pPr>
                    <w:r w:rsidRPr="003A139F">
                      <w:rPr>
                        <w:b/>
                        <w:bCs/>
                        <w:sz w:val="13"/>
                        <w:szCs w:val="13"/>
                      </w:rPr>
                      <w:t>Kenmerk</w:t>
                    </w:r>
                  </w:p>
                  <w:p w14:paraId="7910A49A" w14:textId="77777777" w:rsidR="0011177F" w:rsidRPr="0064566F" w:rsidRDefault="0011177F" w:rsidP="0011177F">
                    <w:pPr>
                      <w:spacing w:line="276" w:lineRule="auto"/>
                      <w:rPr>
                        <w:sz w:val="13"/>
                        <w:szCs w:val="13"/>
                      </w:rPr>
                    </w:pPr>
                    <w:r w:rsidRPr="0064566F">
                      <w:rPr>
                        <w:sz w:val="13"/>
                        <w:szCs w:val="13"/>
                      </w:rPr>
                      <w:t>IENW/BSK-2026/9312</w:t>
                    </w:r>
                  </w:p>
                  <w:p w14:paraId="6A16784C" w14:textId="77777777" w:rsidR="0011177F" w:rsidRPr="0011177F" w:rsidRDefault="0011177F" w:rsidP="0011177F"/>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6996F602" wp14:editId="5F6896D9">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A142E3A" w14:textId="77777777" w:rsidR="00F14BC4" w:rsidRDefault="002708B8">
                          <w:pPr>
                            <w:pStyle w:val="Referentiegegevens"/>
                          </w:pPr>
                          <w:r>
                            <w:t xml:space="preserve">Page </w:t>
                          </w:r>
                          <w:r>
                            <w:fldChar w:fldCharType="begin"/>
                          </w:r>
                          <w:r>
                            <w:instrText>PAGE</w:instrText>
                          </w:r>
                          <w:r>
                            <w:fldChar w:fldCharType="separate"/>
                          </w:r>
                          <w:r w:rsidR="00BA4D76">
                            <w:rPr>
                              <w:noProof/>
                            </w:rPr>
                            <w:t>1</w:t>
                          </w:r>
                          <w:r>
                            <w:fldChar w:fldCharType="end"/>
                          </w:r>
                          <w:r>
                            <w:t xml:space="preserve"> of </w:t>
                          </w:r>
                          <w:r>
                            <w:fldChar w:fldCharType="begin"/>
                          </w:r>
                          <w:r>
                            <w:instrText>NUMPAGES</w:instrText>
                          </w:r>
                          <w:r>
                            <w:fldChar w:fldCharType="separate"/>
                          </w:r>
                          <w:r w:rsidR="00BA4D76">
                            <w:rPr>
                              <w:noProof/>
                            </w:rPr>
                            <w:t>1</w:t>
                          </w:r>
                          <w:r>
                            <w:fldChar w:fldCharType="end"/>
                          </w:r>
                        </w:p>
                      </w:txbxContent>
                    </wps:txbx>
                    <wps:bodyPr vert="horz" wrap="square" lIns="0" tIns="0" rIns="0" bIns="0" anchor="t" anchorCtr="0"/>
                  </wps:wsp>
                </a:graphicData>
              </a:graphic>
            </wp:anchor>
          </w:drawing>
        </mc:Choice>
        <mc:Fallback>
          <w:pict>
            <v:shape w14:anchorId="6996F602"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A142E3A" w14:textId="77777777" w:rsidR="00F14BC4" w:rsidRDefault="002708B8">
                    <w:pPr>
                      <w:pStyle w:val="Referentiegegevens"/>
                    </w:pPr>
                    <w:r>
                      <w:t xml:space="preserve">Page </w:t>
                    </w:r>
                    <w:r>
                      <w:fldChar w:fldCharType="begin"/>
                    </w:r>
                    <w:r>
                      <w:instrText>PAGE</w:instrText>
                    </w:r>
                    <w:r>
                      <w:fldChar w:fldCharType="separate"/>
                    </w:r>
                    <w:r w:rsidR="00BA4D76">
                      <w:rPr>
                        <w:noProof/>
                      </w:rPr>
                      <w:t>1</w:t>
                    </w:r>
                    <w:r>
                      <w:fldChar w:fldCharType="end"/>
                    </w:r>
                    <w:r>
                      <w:t xml:space="preserve"> of </w:t>
                    </w:r>
                    <w:r>
                      <w:fldChar w:fldCharType="begin"/>
                    </w:r>
                    <w:r>
                      <w:instrText>NUMPAGES</w:instrText>
                    </w:r>
                    <w:r>
                      <w:fldChar w:fldCharType="separate"/>
                    </w:r>
                    <w:r w:rsidR="00BA4D76">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4A6FE0CB" wp14:editId="410F9D0B">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160DBF2A" w14:textId="77777777" w:rsidR="007802EB" w:rsidRDefault="007802EB"/>
                      </w:txbxContent>
                    </wps:txbx>
                    <wps:bodyPr vert="horz" wrap="square" lIns="0" tIns="0" rIns="0" bIns="0" anchor="t" anchorCtr="0"/>
                  </wps:wsp>
                </a:graphicData>
              </a:graphic>
            </wp:anchor>
          </w:drawing>
        </mc:Choice>
        <mc:Fallback>
          <w:pict>
            <v:shape w14:anchorId="4A6FE0C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160DBF2A" w14:textId="77777777" w:rsidR="007802EB" w:rsidRDefault="007802EB"/>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0F088BE9" wp14:editId="55EC261C">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96A3B1" w14:textId="77777777" w:rsidR="007802EB" w:rsidRDefault="007802EB"/>
                      </w:txbxContent>
                    </wps:txbx>
                    <wps:bodyPr vert="horz" wrap="square" lIns="0" tIns="0" rIns="0" bIns="0" anchor="t" anchorCtr="0"/>
                  </wps:wsp>
                </a:graphicData>
              </a:graphic>
            </wp:anchor>
          </w:drawing>
        </mc:Choice>
        <mc:Fallback>
          <w:pict>
            <v:shape w14:anchorId="0F088BE9"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C96A3B1" w14:textId="77777777" w:rsidR="007802EB" w:rsidRDefault="007802EB"/>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2A796" w14:textId="77777777" w:rsidR="00F14BC4" w:rsidRDefault="002708B8">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5F7EF06A" wp14:editId="23D9F018">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343D68C5" w14:textId="77777777" w:rsidR="007802EB" w:rsidRDefault="007802EB"/>
                      </w:txbxContent>
                    </wps:txbx>
                    <wps:bodyPr vert="horz" wrap="square" lIns="0" tIns="0" rIns="0" bIns="0" anchor="t" anchorCtr="0"/>
                  </wps:wsp>
                </a:graphicData>
              </a:graphic>
            </wp:anchor>
          </w:drawing>
        </mc:Choice>
        <mc:Fallback>
          <w:pict>
            <v:shapetype w14:anchorId="5F7EF06A"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343D68C5" w14:textId="77777777" w:rsidR="007802EB" w:rsidRDefault="007802EB"/>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7ADC9D89" wp14:editId="7C948248">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63A8B36" w14:textId="0B53A3A2" w:rsidR="00F14BC4" w:rsidRDefault="002708B8">
                          <w:pPr>
                            <w:pStyle w:val="Referentiegegevens"/>
                          </w:pPr>
                          <w:r>
                            <w:t xml:space="preserve">Page </w:t>
                          </w:r>
                          <w:r>
                            <w:fldChar w:fldCharType="begin"/>
                          </w:r>
                          <w:r>
                            <w:instrText>PAGE</w:instrText>
                          </w:r>
                          <w:r>
                            <w:fldChar w:fldCharType="separate"/>
                          </w:r>
                          <w:r w:rsidR="00793E65">
                            <w:rPr>
                              <w:noProof/>
                            </w:rPr>
                            <w:t>1</w:t>
                          </w:r>
                          <w:r>
                            <w:fldChar w:fldCharType="end"/>
                          </w:r>
                          <w:r>
                            <w:t xml:space="preserve"> of </w:t>
                          </w:r>
                          <w:r>
                            <w:fldChar w:fldCharType="begin"/>
                          </w:r>
                          <w:r>
                            <w:instrText>NUMPAGES</w:instrText>
                          </w:r>
                          <w:r>
                            <w:fldChar w:fldCharType="separate"/>
                          </w:r>
                          <w:r w:rsidR="00793E65">
                            <w:rPr>
                              <w:noProof/>
                            </w:rPr>
                            <w:t>1</w:t>
                          </w:r>
                          <w:r>
                            <w:fldChar w:fldCharType="end"/>
                          </w:r>
                        </w:p>
                      </w:txbxContent>
                    </wps:txbx>
                    <wps:bodyPr vert="horz" wrap="square" lIns="0" tIns="0" rIns="0" bIns="0" anchor="t" anchorCtr="0"/>
                  </wps:wsp>
                </a:graphicData>
              </a:graphic>
            </wp:anchor>
          </w:drawing>
        </mc:Choice>
        <mc:Fallback>
          <w:pict>
            <v:shape w14:anchorId="7ADC9D89"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363A8B36" w14:textId="0B53A3A2" w:rsidR="00F14BC4" w:rsidRDefault="002708B8">
                    <w:pPr>
                      <w:pStyle w:val="Referentiegegevens"/>
                    </w:pPr>
                    <w:r>
                      <w:t xml:space="preserve">Page </w:t>
                    </w:r>
                    <w:r>
                      <w:fldChar w:fldCharType="begin"/>
                    </w:r>
                    <w:r>
                      <w:instrText>PAGE</w:instrText>
                    </w:r>
                    <w:r>
                      <w:fldChar w:fldCharType="separate"/>
                    </w:r>
                    <w:r w:rsidR="00793E65">
                      <w:rPr>
                        <w:noProof/>
                      </w:rPr>
                      <w:t>1</w:t>
                    </w:r>
                    <w:r>
                      <w:fldChar w:fldCharType="end"/>
                    </w:r>
                    <w:r>
                      <w:t xml:space="preserve"> of </w:t>
                    </w:r>
                    <w:r>
                      <w:fldChar w:fldCharType="begin"/>
                    </w:r>
                    <w:r>
                      <w:instrText>NUMPAGES</w:instrText>
                    </w:r>
                    <w:r>
                      <w:fldChar w:fldCharType="separate"/>
                    </w:r>
                    <w:r w:rsidR="00793E65">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68570B8D" wp14:editId="6E6302C0">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EEDCBFD" w14:textId="77777777" w:rsidR="00F14BC4" w:rsidRDefault="002708B8">
                          <w:pPr>
                            <w:pStyle w:val="AfzendgegevensKop0"/>
                          </w:pPr>
                          <w:r>
                            <w:t>Ministerie van Infrastructuur en Waterstaat</w:t>
                          </w:r>
                        </w:p>
                        <w:p w14:paraId="53B76F44" w14:textId="77777777" w:rsidR="00F14BC4" w:rsidRDefault="00F14BC4">
                          <w:pPr>
                            <w:pStyle w:val="WitregelW1"/>
                          </w:pPr>
                        </w:p>
                        <w:p w14:paraId="3F34730C" w14:textId="77777777" w:rsidR="00F14BC4" w:rsidRDefault="002708B8">
                          <w:pPr>
                            <w:pStyle w:val="Afzendgegevens"/>
                          </w:pPr>
                          <w:r>
                            <w:t>Rijnstraat 8</w:t>
                          </w:r>
                        </w:p>
                        <w:p w14:paraId="5A2E6A0D" w14:textId="36EA4F49" w:rsidR="00F14BC4" w:rsidRPr="00BA4D76" w:rsidRDefault="002708B8">
                          <w:pPr>
                            <w:pStyle w:val="Afzendgegevens"/>
                            <w:rPr>
                              <w:lang w:val="de-DE"/>
                            </w:rPr>
                          </w:pPr>
                          <w:r w:rsidRPr="00BA4D76">
                            <w:rPr>
                              <w:lang w:val="de-DE"/>
                            </w:rPr>
                            <w:t xml:space="preserve">2515 </w:t>
                          </w:r>
                          <w:r w:rsidR="0011177F" w:rsidRPr="00BA4D76">
                            <w:rPr>
                              <w:lang w:val="de-DE"/>
                            </w:rPr>
                            <w:t>XP Den</w:t>
                          </w:r>
                          <w:r w:rsidRPr="00BA4D76">
                            <w:rPr>
                              <w:lang w:val="de-DE"/>
                            </w:rPr>
                            <w:t xml:space="preserve"> Haag</w:t>
                          </w:r>
                        </w:p>
                        <w:p w14:paraId="41A754A2" w14:textId="77777777" w:rsidR="00F14BC4" w:rsidRPr="00BA4D76" w:rsidRDefault="002708B8">
                          <w:pPr>
                            <w:pStyle w:val="Afzendgegevens"/>
                            <w:rPr>
                              <w:lang w:val="de-DE"/>
                            </w:rPr>
                          </w:pPr>
                          <w:r w:rsidRPr="00BA4D76">
                            <w:rPr>
                              <w:lang w:val="de-DE"/>
                            </w:rPr>
                            <w:t>Postbus 20901</w:t>
                          </w:r>
                        </w:p>
                        <w:p w14:paraId="4B669182" w14:textId="77777777" w:rsidR="00F14BC4" w:rsidRPr="00BA4D76" w:rsidRDefault="002708B8">
                          <w:pPr>
                            <w:pStyle w:val="Afzendgegevens"/>
                            <w:rPr>
                              <w:lang w:val="de-DE"/>
                            </w:rPr>
                          </w:pPr>
                          <w:r w:rsidRPr="00BA4D76">
                            <w:rPr>
                              <w:lang w:val="de-DE"/>
                            </w:rPr>
                            <w:t>2500 EX Den Haag</w:t>
                          </w:r>
                        </w:p>
                        <w:p w14:paraId="38E90D15" w14:textId="77777777" w:rsidR="00F14BC4" w:rsidRPr="00BA4D76" w:rsidRDefault="00F14BC4">
                          <w:pPr>
                            <w:pStyle w:val="WitregelW1"/>
                            <w:rPr>
                              <w:lang w:val="de-DE"/>
                            </w:rPr>
                          </w:pPr>
                        </w:p>
                        <w:p w14:paraId="5FA7A4D6" w14:textId="77777777" w:rsidR="00F14BC4" w:rsidRPr="00BA4D76" w:rsidRDefault="002708B8">
                          <w:pPr>
                            <w:pStyle w:val="Afzendgegevens"/>
                            <w:rPr>
                              <w:lang w:val="de-DE"/>
                            </w:rPr>
                          </w:pPr>
                          <w:r w:rsidRPr="00BA4D76">
                            <w:rPr>
                              <w:lang w:val="de-DE"/>
                            </w:rPr>
                            <w:t>T   070-456 0000</w:t>
                          </w:r>
                        </w:p>
                        <w:p w14:paraId="3D6B8726" w14:textId="77777777" w:rsidR="00F14BC4" w:rsidRDefault="002708B8">
                          <w:pPr>
                            <w:pStyle w:val="Afzendgegevens"/>
                          </w:pPr>
                          <w:r>
                            <w:t>F   070-456 1111</w:t>
                          </w:r>
                        </w:p>
                        <w:p w14:paraId="6B3EF25F" w14:textId="77777777" w:rsidR="0064566F" w:rsidRDefault="0064566F" w:rsidP="0064566F"/>
                        <w:p w14:paraId="5B3F5D2C" w14:textId="77777777" w:rsidR="0064566F" w:rsidRPr="003A139F" w:rsidRDefault="0064566F" w:rsidP="0011177F">
                          <w:pPr>
                            <w:spacing w:line="276" w:lineRule="auto"/>
                            <w:rPr>
                              <w:b/>
                              <w:bCs/>
                              <w:sz w:val="13"/>
                              <w:szCs w:val="13"/>
                            </w:rPr>
                          </w:pPr>
                          <w:r w:rsidRPr="003A139F">
                            <w:rPr>
                              <w:b/>
                              <w:bCs/>
                              <w:sz w:val="13"/>
                              <w:szCs w:val="13"/>
                            </w:rPr>
                            <w:t>Kenmerk</w:t>
                          </w:r>
                        </w:p>
                        <w:p w14:paraId="621EC2DF" w14:textId="77777777" w:rsidR="0064566F" w:rsidRPr="0064566F" w:rsidRDefault="0064566F" w:rsidP="0011177F">
                          <w:pPr>
                            <w:spacing w:line="276" w:lineRule="auto"/>
                            <w:rPr>
                              <w:sz w:val="13"/>
                              <w:szCs w:val="13"/>
                            </w:rPr>
                          </w:pPr>
                          <w:r w:rsidRPr="0064566F">
                            <w:rPr>
                              <w:sz w:val="13"/>
                              <w:szCs w:val="13"/>
                            </w:rPr>
                            <w:t>IENW/BSK-2026/9312</w:t>
                          </w:r>
                        </w:p>
                        <w:p w14:paraId="2326856E" w14:textId="77777777" w:rsidR="0064566F" w:rsidRPr="003A139F" w:rsidRDefault="0064566F" w:rsidP="0011177F">
                          <w:pPr>
                            <w:spacing w:line="276" w:lineRule="auto"/>
                            <w:rPr>
                              <w:sz w:val="13"/>
                              <w:szCs w:val="13"/>
                            </w:rPr>
                          </w:pPr>
                        </w:p>
                        <w:p w14:paraId="17D9962B" w14:textId="77777777" w:rsidR="0064566F" w:rsidRPr="003A139F" w:rsidRDefault="0064566F" w:rsidP="0011177F">
                          <w:pPr>
                            <w:spacing w:line="276" w:lineRule="auto"/>
                            <w:rPr>
                              <w:b/>
                              <w:bCs/>
                              <w:sz w:val="13"/>
                              <w:szCs w:val="13"/>
                            </w:rPr>
                          </w:pPr>
                          <w:r w:rsidRPr="003A139F">
                            <w:rPr>
                              <w:b/>
                              <w:bCs/>
                              <w:sz w:val="13"/>
                              <w:szCs w:val="13"/>
                            </w:rPr>
                            <w:t>Bijlage</w:t>
                          </w:r>
                        </w:p>
                        <w:p w14:paraId="75D58CCA" w14:textId="050B8160" w:rsidR="0064566F" w:rsidRPr="0064566F" w:rsidRDefault="0064566F" w:rsidP="0011177F">
                          <w:pPr>
                            <w:spacing w:line="276" w:lineRule="auto"/>
                          </w:pPr>
                          <w:r>
                            <w:rPr>
                              <w:sz w:val="13"/>
                              <w:szCs w:val="13"/>
                            </w:rPr>
                            <w:t>1</w:t>
                          </w:r>
                        </w:p>
                      </w:txbxContent>
                    </wps:txbx>
                    <wps:bodyPr vert="horz" wrap="square" lIns="0" tIns="0" rIns="0" bIns="0" anchor="t" anchorCtr="0"/>
                  </wps:wsp>
                </a:graphicData>
              </a:graphic>
            </wp:anchor>
          </w:drawing>
        </mc:Choice>
        <mc:Fallback>
          <w:pict>
            <v:shape w14:anchorId="68570B8D"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0EEDCBFD" w14:textId="77777777" w:rsidR="00F14BC4" w:rsidRDefault="002708B8">
                    <w:pPr>
                      <w:pStyle w:val="AfzendgegevensKop0"/>
                    </w:pPr>
                    <w:r>
                      <w:t>Ministerie van Infrastructuur en Waterstaat</w:t>
                    </w:r>
                  </w:p>
                  <w:p w14:paraId="53B76F44" w14:textId="77777777" w:rsidR="00F14BC4" w:rsidRDefault="00F14BC4">
                    <w:pPr>
                      <w:pStyle w:val="WitregelW1"/>
                    </w:pPr>
                  </w:p>
                  <w:p w14:paraId="3F34730C" w14:textId="77777777" w:rsidR="00F14BC4" w:rsidRDefault="002708B8">
                    <w:pPr>
                      <w:pStyle w:val="Afzendgegevens"/>
                    </w:pPr>
                    <w:r>
                      <w:t>Rijnstraat 8</w:t>
                    </w:r>
                  </w:p>
                  <w:p w14:paraId="5A2E6A0D" w14:textId="36EA4F49" w:rsidR="00F14BC4" w:rsidRPr="00BA4D76" w:rsidRDefault="002708B8">
                    <w:pPr>
                      <w:pStyle w:val="Afzendgegevens"/>
                      <w:rPr>
                        <w:lang w:val="de-DE"/>
                      </w:rPr>
                    </w:pPr>
                    <w:r w:rsidRPr="00BA4D76">
                      <w:rPr>
                        <w:lang w:val="de-DE"/>
                      </w:rPr>
                      <w:t xml:space="preserve">2515 </w:t>
                    </w:r>
                    <w:r w:rsidR="0011177F" w:rsidRPr="00BA4D76">
                      <w:rPr>
                        <w:lang w:val="de-DE"/>
                      </w:rPr>
                      <w:t>XP Den</w:t>
                    </w:r>
                    <w:r w:rsidRPr="00BA4D76">
                      <w:rPr>
                        <w:lang w:val="de-DE"/>
                      </w:rPr>
                      <w:t xml:space="preserve"> Haag</w:t>
                    </w:r>
                  </w:p>
                  <w:p w14:paraId="41A754A2" w14:textId="77777777" w:rsidR="00F14BC4" w:rsidRPr="00BA4D76" w:rsidRDefault="002708B8">
                    <w:pPr>
                      <w:pStyle w:val="Afzendgegevens"/>
                      <w:rPr>
                        <w:lang w:val="de-DE"/>
                      </w:rPr>
                    </w:pPr>
                    <w:r w:rsidRPr="00BA4D76">
                      <w:rPr>
                        <w:lang w:val="de-DE"/>
                      </w:rPr>
                      <w:t>Postbus 20901</w:t>
                    </w:r>
                  </w:p>
                  <w:p w14:paraId="4B669182" w14:textId="77777777" w:rsidR="00F14BC4" w:rsidRPr="00BA4D76" w:rsidRDefault="002708B8">
                    <w:pPr>
                      <w:pStyle w:val="Afzendgegevens"/>
                      <w:rPr>
                        <w:lang w:val="de-DE"/>
                      </w:rPr>
                    </w:pPr>
                    <w:r w:rsidRPr="00BA4D76">
                      <w:rPr>
                        <w:lang w:val="de-DE"/>
                      </w:rPr>
                      <w:t>2500 EX Den Haag</w:t>
                    </w:r>
                  </w:p>
                  <w:p w14:paraId="38E90D15" w14:textId="77777777" w:rsidR="00F14BC4" w:rsidRPr="00BA4D76" w:rsidRDefault="00F14BC4">
                    <w:pPr>
                      <w:pStyle w:val="WitregelW1"/>
                      <w:rPr>
                        <w:lang w:val="de-DE"/>
                      </w:rPr>
                    </w:pPr>
                  </w:p>
                  <w:p w14:paraId="5FA7A4D6" w14:textId="77777777" w:rsidR="00F14BC4" w:rsidRPr="00BA4D76" w:rsidRDefault="002708B8">
                    <w:pPr>
                      <w:pStyle w:val="Afzendgegevens"/>
                      <w:rPr>
                        <w:lang w:val="de-DE"/>
                      </w:rPr>
                    </w:pPr>
                    <w:r w:rsidRPr="00BA4D76">
                      <w:rPr>
                        <w:lang w:val="de-DE"/>
                      </w:rPr>
                      <w:t>T   070-456 0000</w:t>
                    </w:r>
                  </w:p>
                  <w:p w14:paraId="3D6B8726" w14:textId="77777777" w:rsidR="00F14BC4" w:rsidRDefault="002708B8">
                    <w:pPr>
                      <w:pStyle w:val="Afzendgegevens"/>
                    </w:pPr>
                    <w:r>
                      <w:t>F   070-456 1111</w:t>
                    </w:r>
                  </w:p>
                  <w:p w14:paraId="6B3EF25F" w14:textId="77777777" w:rsidR="0064566F" w:rsidRDefault="0064566F" w:rsidP="0064566F"/>
                  <w:p w14:paraId="5B3F5D2C" w14:textId="77777777" w:rsidR="0064566F" w:rsidRPr="003A139F" w:rsidRDefault="0064566F" w:rsidP="0011177F">
                    <w:pPr>
                      <w:spacing w:line="276" w:lineRule="auto"/>
                      <w:rPr>
                        <w:b/>
                        <w:bCs/>
                        <w:sz w:val="13"/>
                        <w:szCs w:val="13"/>
                      </w:rPr>
                    </w:pPr>
                    <w:r w:rsidRPr="003A139F">
                      <w:rPr>
                        <w:b/>
                        <w:bCs/>
                        <w:sz w:val="13"/>
                        <w:szCs w:val="13"/>
                      </w:rPr>
                      <w:t>Kenmerk</w:t>
                    </w:r>
                  </w:p>
                  <w:p w14:paraId="621EC2DF" w14:textId="77777777" w:rsidR="0064566F" w:rsidRPr="0064566F" w:rsidRDefault="0064566F" w:rsidP="0011177F">
                    <w:pPr>
                      <w:spacing w:line="276" w:lineRule="auto"/>
                      <w:rPr>
                        <w:sz w:val="13"/>
                        <w:szCs w:val="13"/>
                      </w:rPr>
                    </w:pPr>
                    <w:r w:rsidRPr="0064566F">
                      <w:rPr>
                        <w:sz w:val="13"/>
                        <w:szCs w:val="13"/>
                      </w:rPr>
                      <w:t>IENW/BSK-2026/9312</w:t>
                    </w:r>
                  </w:p>
                  <w:p w14:paraId="2326856E" w14:textId="77777777" w:rsidR="0064566F" w:rsidRPr="003A139F" w:rsidRDefault="0064566F" w:rsidP="0011177F">
                    <w:pPr>
                      <w:spacing w:line="276" w:lineRule="auto"/>
                      <w:rPr>
                        <w:sz w:val="13"/>
                        <w:szCs w:val="13"/>
                      </w:rPr>
                    </w:pPr>
                  </w:p>
                  <w:p w14:paraId="17D9962B" w14:textId="77777777" w:rsidR="0064566F" w:rsidRPr="003A139F" w:rsidRDefault="0064566F" w:rsidP="0011177F">
                    <w:pPr>
                      <w:spacing w:line="276" w:lineRule="auto"/>
                      <w:rPr>
                        <w:b/>
                        <w:bCs/>
                        <w:sz w:val="13"/>
                        <w:szCs w:val="13"/>
                      </w:rPr>
                    </w:pPr>
                    <w:r w:rsidRPr="003A139F">
                      <w:rPr>
                        <w:b/>
                        <w:bCs/>
                        <w:sz w:val="13"/>
                        <w:szCs w:val="13"/>
                      </w:rPr>
                      <w:t>Bijlage</w:t>
                    </w:r>
                  </w:p>
                  <w:p w14:paraId="75D58CCA" w14:textId="050B8160" w:rsidR="0064566F" w:rsidRPr="0064566F" w:rsidRDefault="0064566F" w:rsidP="0011177F">
                    <w:pPr>
                      <w:spacing w:line="276" w:lineRule="auto"/>
                    </w:pPr>
                    <w:r>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676D7A7B" wp14:editId="6E00AEE7">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5F80D3" w14:textId="77777777" w:rsidR="00F14BC4" w:rsidRDefault="002708B8">
                          <w:pPr>
                            <w:spacing w:line="240" w:lineRule="auto"/>
                          </w:pPr>
                          <w:r>
                            <w:rPr>
                              <w:noProof/>
                              <w:lang w:val="en-GB" w:eastAsia="en-GB"/>
                            </w:rPr>
                            <w:drawing>
                              <wp:inline distT="0" distB="0" distL="0" distR="0" wp14:anchorId="5CB77AB6" wp14:editId="05EB8BC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76D7A7B"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5F80D3" w14:textId="77777777" w:rsidR="00F14BC4" w:rsidRDefault="002708B8">
                    <w:pPr>
                      <w:spacing w:line="240" w:lineRule="auto"/>
                    </w:pPr>
                    <w:r>
                      <w:rPr>
                        <w:noProof/>
                        <w:lang w:val="en-GB" w:eastAsia="en-GB"/>
                      </w:rPr>
                      <w:drawing>
                        <wp:inline distT="0" distB="0" distL="0" distR="0" wp14:anchorId="5CB77AB6" wp14:editId="05EB8BCF">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B42B52D" wp14:editId="392D507F">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801629C" w14:textId="77777777" w:rsidR="00F14BC4" w:rsidRDefault="002708B8">
                          <w:pPr>
                            <w:spacing w:line="240" w:lineRule="auto"/>
                          </w:pPr>
                          <w:r>
                            <w:rPr>
                              <w:noProof/>
                              <w:lang w:val="en-GB" w:eastAsia="en-GB"/>
                            </w:rPr>
                            <w:drawing>
                              <wp:inline distT="0" distB="0" distL="0" distR="0" wp14:anchorId="385F490F" wp14:editId="3A829B8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B42B52D"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801629C" w14:textId="77777777" w:rsidR="00F14BC4" w:rsidRDefault="002708B8">
                    <w:pPr>
                      <w:spacing w:line="240" w:lineRule="auto"/>
                    </w:pPr>
                    <w:r>
                      <w:rPr>
                        <w:noProof/>
                        <w:lang w:val="en-GB" w:eastAsia="en-GB"/>
                      </w:rPr>
                      <w:drawing>
                        <wp:inline distT="0" distB="0" distL="0" distR="0" wp14:anchorId="385F490F" wp14:editId="3A829B84">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A75E71D" wp14:editId="3830083F">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6945D66" w14:textId="77777777" w:rsidR="00F14BC4" w:rsidRDefault="002708B8">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A75E71D"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6945D66" w14:textId="77777777" w:rsidR="00F14BC4" w:rsidRDefault="002708B8">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5B92205" wp14:editId="4A5AD815">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3ED76DC1" w14:textId="77777777" w:rsidR="00BA4D76" w:rsidRDefault="00BA4D76" w:rsidP="00BA4D76">
                          <w:r>
                            <w:t>De voorzitter van de Tweede Kamer</w:t>
                          </w:r>
                          <w:r>
                            <w:br/>
                            <w:t>der Staten-Generaal</w:t>
                          </w:r>
                          <w:r>
                            <w:br/>
                            <w:t>Postbus 20018</w:t>
                          </w:r>
                          <w:r>
                            <w:br/>
                            <w:t>2500 EA  DEN HAAG</w:t>
                          </w:r>
                        </w:p>
                        <w:p w14:paraId="44BF62B6" w14:textId="77777777" w:rsidR="007802EB" w:rsidRDefault="007802EB"/>
                      </w:txbxContent>
                    </wps:txbx>
                    <wps:bodyPr vert="horz" wrap="square" lIns="0" tIns="0" rIns="0" bIns="0" anchor="t" anchorCtr="0"/>
                  </wps:wsp>
                </a:graphicData>
              </a:graphic>
            </wp:anchor>
          </w:drawing>
        </mc:Choice>
        <mc:Fallback>
          <w:pict>
            <v:shape w14:anchorId="25B92205"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3ED76DC1" w14:textId="77777777" w:rsidR="00BA4D76" w:rsidRDefault="00BA4D76" w:rsidP="00BA4D76">
                    <w:r>
                      <w:t>De voorzitter van de Tweede Kamer</w:t>
                    </w:r>
                    <w:r>
                      <w:br/>
                      <w:t>der Staten-Generaal</w:t>
                    </w:r>
                    <w:r>
                      <w:br/>
                      <w:t>Postbus 20018</w:t>
                    </w:r>
                    <w:r>
                      <w:br/>
                      <w:t>2500 EA  DEN HAAG</w:t>
                    </w:r>
                  </w:p>
                  <w:p w14:paraId="44BF62B6" w14:textId="77777777" w:rsidR="007802EB" w:rsidRDefault="007802EB"/>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1A20754C" wp14:editId="6A40AC04">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F14BC4" w14:paraId="384AE184" w14:textId="77777777">
                            <w:trPr>
                              <w:trHeight w:val="200"/>
                            </w:trPr>
                            <w:tc>
                              <w:tcPr>
                                <w:tcW w:w="1140" w:type="dxa"/>
                              </w:tcPr>
                              <w:p w14:paraId="528F2B92" w14:textId="77777777" w:rsidR="00F14BC4" w:rsidRDefault="00F14BC4"/>
                            </w:tc>
                            <w:tc>
                              <w:tcPr>
                                <w:tcW w:w="5400" w:type="dxa"/>
                              </w:tcPr>
                              <w:p w14:paraId="59875814" w14:textId="77777777" w:rsidR="00F14BC4" w:rsidRDefault="00F14BC4"/>
                            </w:tc>
                          </w:tr>
                          <w:tr w:rsidR="00F14BC4" w14:paraId="528A0588" w14:textId="77777777">
                            <w:trPr>
                              <w:trHeight w:val="240"/>
                            </w:trPr>
                            <w:tc>
                              <w:tcPr>
                                <w:tcW w:w="1140" w:type="dxa"/>
                              </w:tcPr>
                              <w:p w14:paraId="2BBA4E29" w14:textId="77777777" w:rsidR="00F14BC4" w:rsidRDefault="002708B8">
                                <w:r>
                                  <w:t>Datum</w:t>
                                </w:r>
                              </w:p>
                            </w:tc>
                            <w:tc>
                              <w:tcPr>
                                <w:tcW w:w="5400" w:type="dxa"/>
                              </w:tcPr>
                              <w:p w14:paraId="25554021" w14:textId="5ECA1E2C" w:rsidR="00F14BC4" w:rsidRDefault="0011177F">
                                <w:r>
                                  <w:t>16 januari 2026</w:t>
                                </w:r>
                              </w:p>
                            </w:tc>
                          </w:tr>
                          <w:tr w:rsidR="00F14BC4" w14:paraId="66CEC5B5" w14:textId="77777777">
                            <w:trPr>
                              <w:trHeight w:val="240"/>
                            </w:trPr>
                            <w:tc>
                              <w:tcPr>
                                <w:tcW w:w="1140" w:type="dxa"/>
                              </w:tcPr>
                              <w:p w14:paraId="1403208E" w14:textId="77777777" w:rsidR="00F14BC4" w:rsidRDefault="002708B8">
                                <w:r>
                                  <w:t>Betreft</w:t>
                                </w:r>
                              </w:p>
                            </w:tc>
                            <w:tc>
                              <w:tcPr>
                                <w:tcW w:w="5400" w:type="dxa"/>
                              </w:tcPr>
                              <w:p w14:paraId="57049B83" w14:textId="48CB09B1" w:rsidR="00F14BC4" w:rsidRDefault="00A15448">
                                <w:r>
                                  <w:t>Toelichting Ontwerpbesluit veilige jaarwisseling</w:t>
                                </w:r>
                              </w:p>
                            </w:tc>
                          </w:tr>
                          <w:tr w:rsidR="00F14BC4" w14:paraId="173F62FA" w14:textId="77777777">
                            <w:trPr>
                              <w:trHeight w:val="200"/>
                            </w:trPr>
                            <w:tc>
                              <w:tcPr>
                                <w:tcW w:w="1140" w:type="dxa"/>
                              </w:tcPr>
                              <w:p w14:paraId="258397C8" w14:textId="77777777" w:rsidR="00F14BC4" w:rsidRDefault="00F14BC4"/>
                            </w:tc>
                            <w:tc>
                              <w:tcPr>
                                <w:tcW w:w="5400" w:type="dxa"/>
                              </w:tcPr>
                              <w:p w14:paraId="4462A421" w14:textId="77777777" w:rsidR="00F14BC4" w:rsidRDefault="00F14BC4"/>
                            </w:tc>
                          </w:tr>
                        </w:tbl>
                        <w:p w14:paraId="75C4D441" w14:textId="77777777" w:rsidR="007802EB" w:rsidRDefault="007802EB"/>
                      </w:txbxContent>
                    </wps:txbx>
                    <wps:bodyPr vert="horz" wrap="square" lIns="0" tIns="0" rIns="0" bIns="0" anchor="t" anchorCtr="0"/>
                  </wps:wsp>
                </a:graphicData>
              </a:graphic>
            </wp:anchor>
          </w:drawing>
        </mc:Choice>
        <mc:Fallback>
          <w:pict>
            <v:shape w14:anchorId="1A20754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F14BC4" w14:paraId="384AE184" w14:textId="77777777">
                      <w:trPr>
                        <w:trHeight w:val="200"/>
                      </w:trPr>
                      <w:tc>
                        <w:tcPr>
                          <w:tcW w:w="1140" w:type="dxa"/>
                        </w:tcPr>
                        <w:p w14:paraId="528F2B92" w14:textId="77777777" w:rsidR="00F14BC4" w:rsidRDefault="00F14BC4"/>
                      </w:tc>
                      <w:tc>
                        <w:tcPr>
                          <w:tcW w:w="5400" w:type="dxa"/>
                        </w:tcPr>
                        <w:p w14:paraId="59875814" w14:textId="77777777" w:rsidR="00F14BC4" w:rsidRDefault="00F14BC4"/>
                      </w:tc>
                    </w:tr>
                    <w:tr w:rsidR="00F14BC4" w14:paraId="528A0588" w14:textId="77777777">
                      <w:trPr>
                        <w:trHeight w:val="240"/>
                      </w:trPr>
                      <w:tc>
                        <w:tcPr>
                          <w:tcW w:w="1140" w:type="dxa"/>
                        </w:tcPr>
                        <w:p w14:paraId="2BBA4E29" w14:textId="77777777" w:rsidR="00F14BC4" w:rsidRDefault="002708B8">
                          <w:r>
                            <w:t>Datum</w:t>
                          </w:r>
                        </w:p>
                      </w:tc>
                      <w:tc>
                        <w:tcPr>
                          <w:tcW w:w="5400" w:type="dxa"/>
                        </w:tcPr>
                        <w:p w14:paraId="25554021" w14:textId="5ECA1E2C" w:rsidR="00F14BC4" w:rsidRDefault="0011177F">
                          <w:r>
                            <w:t>16 januari 2026</w:t>
                          </w:r>
                        </w:p>
                      </w:tc>
                    </w:tr>
                    <w:tr w:rsidR="00F14BC4" w14:paraId="66CEC5B5" w14:textId="77777777">
                      <w:trPr>
                        <w:trHeight w:val="240"/>
                      </w:trPr>
                      <w:tc>
                        <w:tcPr>
                          <w:tcW w:w="1140" w:type="dxa"/>
                        </w:tcPr>
                        <w:p w14:paraId="1403208E" w14:textId="77777777" w:rsidR="00F14BC4" w:rsidRDefault="002708B8">
                          <w:r>
                            <w:t>Betreft</w:t>
                          </w:r>
                        </w:p>
                      </w:tc>
                      <w:tc>
                        <w:tcPr>
                          <w:tcW w:w="5400" w:type="dxa"/>
                        </w:tcPr>
                        <w:p w14:paraId="57049B83" w14:textId="48CB09B1" w:rsidR="00F14BC4" w:rsidRDefault="00A15448">
                          <w:r>
                            <w:t>Toelichting Ontwerpbesluit veilige jaarwisseling</w:t>
                          </w:r>
                        </w:p>
                      </w:tc>
                    </w:tr>
                    <w:tr w:rsidR="00F14BC4" w14:paraId="173F62FA" w14:textId="77777777">
                      <w:trPr>
                        <w:trHeight w:val="200"/>
                      </w:trPr>
                      <w:tc>
                        <w:tcPr>
                          <w:tcW w:w="1140" w:type="dxa"/>
                        </w:tcPr>
                        <w:p w14:paraId="258397C8" w14:textId="77777777" w:rsidR="00F14BC4" w:rsidRDefault="00F14BC4"/>
                      </w:tc>
                      <w:tc>
                        <w:tcPr>
                          <w:tcW w:w="5400" w:type="dxa"/>
                        </w:tcPr>
                        <w:p w14:paraId="4462A421" w14:textId="77777777" w:rsidR="00F14BC4" w:rsidRDefault="00F14BC4"/>
                      </w:tc>
                    </w:tr>
                  </w:tbl>
                  <w:p w14:paraId="75C4D441" w14:textId="77777777" w:rsidR="007802EB" w:rsidRDefault="007802EB"/>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4E13F343" wp14:editId="6E683B10">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388E355" w14:textId="77777777" w:rsidR="007802EB" w:rsidRDefault="007802EB"/>
                      </w:txbxContent>
                    </wps:txbx>
                    <wps:bodyPr vert="horz" wrap="square" lIns="0" tIns="0" rIns="0" bIns="0" anchor="t" anchorCtr="0"/>
                  </wps:wsp>
                </a:graphicData>
              </a:graphic>
            </wp:anchor>
          </w:drawing>
        </mc:Choice>
        <mc:Fallback>
          <w:pict>
            <v:shape w14:anchorId="4E13F343"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388E355" w14:textId="77777777" w:rsidR="007802EB" w:rsidRDefault="007802EB"/>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A4A7C23"/>
    <w:multiLevelType w:val="multilevel"/>
    <w:tmpl w:val="3BE55A3E"/>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BC99ED"/>
    <w:multiLevelType w:val="multilevel"/>
    <w:tmpl w:val="9F361C3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46416CE"/>
    <w:multiLevelType w:val="multilevel"/>
    <w:tmpl w:val="452D0A4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B4CAE72B"/>
    <w:multiLevelType w:val="multilevel"/>
    <w:tmpl w:val="9E78C1C2"/>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5E5E3EC"/>
    <w:multiLevelType w:val="multilevel"/>
    <w:tmpl w:val="3005DCD9"/>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CA9C8437"/>
    <w:multiLevelType w:val="multilevel"/>
    <w:tmpl w:val="7254E833"/>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E9B4EE91"/>
    <w:multiLevelType w:val="multilevel"/>
    <w:tmpl w:val="2481396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F045E1A2"/>
    <w:multiLevelType w:val="multilevel"/>
    <w:tmpl w:val="4F1558C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0EB90BD"/>
    <w:multiLevelType w:val="multilevel"/>
    <w:tmpl w:val="0989AA9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C0EA02F"/>
    <w:multiLevelType w:val="multilevel"/>
    <w:tmpl w:val="EFE11D3A"/>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CD278DF"/>
    <w:multiLevelType w:val="multilevel"/>
    <w:tmpl w:val="E31FEEC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194EDA6"/>
    <w:multiLevelType w:val="multilevel"/>
    <w:tmpl w:val="3A9B257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66DC6C"/>
    <w:multiLevelType w:val="multilevel"/>
    <w:tmpl w:val="64B081C5"/>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C37CDFC"/>
    <w:multiLevelType w:val="multilevel"/>
    <w:tmpl w:val="24AC7E27"/>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796047E"/>
    <w:multiLevelType w:val="multilevel"/>
    <w:tmpl w:val="8ACF1077"/>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C715DD5"/>
    <w:multiLevelType w:val="multilevel"/>
    <w:tmpl w:val="D2C434BC"/>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E1DC4D1"/>
    <w:multiLevelType w:val="multilevel"/>
    <w:tmpl w:val="F28614F8"/>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6C5774"/>
    <w:multiLevelType w:val="hybridMultilevel"/>
    <w:tmpl w:val="90AA611C"/>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249D58C"/>
    <w:multiLevelType w:val="multilevel"/>
    <w:tmpl w:val="7C730559"/>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1078A9B"/>
    <w:multiLevelType w:val="multilevel"/>
    <w:tmpl w:val="17E14D52"/>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3DFAF9"/>
    <w:multiLevelType w:val="multilevel"/>
    <w:tmpl w:val="006D5B63"/>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BABC29"/>
    <w:multiLevelType w:val="multilevel"/>
    <w:tmpl w:val="80181F88"/>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560EA88"/>
    <w:multiLevelType w:val="multilevel"/>
    <w:tmpl w:val="2BCE699B"/>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C75AC7"/>
    <w:multiLevelType w:val="multilevel"/>
    <w:tmpl w:val="70CBB8D5"/>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7"/>
  </w:num>
  <w:num w:numId="3">
    <w:abstractNumId w:val="1"/>
  </w:num>
  <w:num w:numId="4">
    <w:abstractNumId w:val="4"/>
  </w:num>
  <w:num w:numId="5">
    <w:abstractNumId w:val="6"/>
  </w:num>
  <w:num w:numId="6">
    <w:abstractNumId w:val="15"/>
  </w:num>
  <w:num w:numId="7">
    <w:abstractNumId w:val="11"/>
  </w:num>
  <w:num w:numId="8">
    <w:abstractNumId w:val="18"/>
  </w:num>
  <w:num w:numId="9">
    <w:abstractNumId w:val="19"/>
  </w:num>
  <w:num w:numId="10">
    <w:abstractNumId w:val="21"/>
  </w:num>
  <w:num w:numId="11">
    <w:abstractNumId w:val="14"/>
  </w:num>
  <w:num w:numId="12">
    <w:abstractNumId w:val="2"/>
  </w:num>
  <w:num w:numId="13">
    <w:abstractNumId w:val="16"/>
  </w:num>
  <w:num w:numId="14">
    <w:abstractNumId w:val="10"/>
  </w:num>
  <w:num w:numId="15">
    <w:abstractNumId w:val="3"/>
  </w:num>
  <w:num w:numId="16">
    <w:abstractNumId w:val="13"/>
  </w:num>
  <w:num w:numId="17">
    <w:abstractNumId w:val="23"/>
  </w:num>
  <w:num w:numId="18">
    <w:abstractNumId w:val="9"/>
  </w:num>
  <w:num w:numId="19">
    <w:abstractNumId w:val="5"/>
  </w:num>
  <w:num w:numId="20">
    <w:abstractNumId w:val="8"/>
  </w:num>
  <w:num w:numId="21">
    <w:abstractNumId w:val="0"/>
  </w:num>
  <w:num w:numId="22">
    <w:abstractNumId w:val="20"/>
  </w:num>
  <w:num w:numId="23">
    <w:abstractNumId w:val="22"/>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D76"/>
    <w:rsid w:val="00003C60"/>
    <w:rsid w:val="0000592D"/>
    <w:rsid w:val="0001179B"/>
    <w:rsid w:val="00025ED0"/>
    <w:rsid w:val="000541ED"/>
    <w:rsid w:val="0008442D"/>
    <w:rsid w:val="00087346"/>
    <w:rsid w:val="000A13C9"/>
    <w:rsid w:val="000A2018"/>
    <w:rsid w:val="000F6B42"/>
    <w:rsid w:val="0011177F"/>
    <w:rsid w:val="001216C3"/>
    <w:rsid w:val="00196F44"/>
    <w:rsid w:val="001A6D35"/>
    <w:rsid w:val="001C5295"/>
    <w:rsid w:val="001E04D2"/>
    <w:rsid w:val="001E25C9"/>
    <w:rsid w:val="001F108E"/>
    <w:rsid w:val="00224266"/>
    <w:rsid w:val="00230DC2"/>
    <w:rsid w:val="00241086"/>
    <w:rsid w:val="002708B8"/>
    <w:rsid w:val="002776FF"/>
    <w:rsid w:val="002957E9"/>
    <w:rsid w:val="0029662F"/>
    <w:rsid w:val="002968BB"/>
    <w:rsid w:val="002A0D96"/>
    <w:rsid w:val="002A73DD"/>
    <w:rsid w:val="002D1148"/>
    <w:rsid w:val="002D58DC"/>
    <w:rsid w:val="00324C9F"/>
    <w:rsid w:val="00332265"/>
    <w:rsid w:val="0033265D"/>
    <w:rsid w:val="00343BBE"/>
    <w:rsid w:val="00364DC5"/>
    <w:rsid w:val="003975AE"/>
    <w:rsid w:val="003A2DC9"/>
    <w:rsid w:val="003C1078"/>
    <w:rsid w:val="003D6E3E"/>
    <w:rsid w:val="004136C0"/>
    <w:rsid w:val="004256DB"/>
    <w:rsid w:val="0043188C"/>
    <w:rsid w:val="004506F5"/>
    <w:rsid w:val="0045361A"/>
    <w:rsid w:val="0046264F"/>
    <w:rsid w:val="0046645D"/>
    <w:rsid w:val="004673BF"/>
    <w:rsid w:val="00475D2E"/>
    <w:rsid w:val="00487F20"/>
    <w:rsid w:val="00495CFE"/>
    <w:rsid w:val="00496C4E"/>
    <w:rsid w:val="004C278D"/>
    <w:rsid w:val="004D4775"/>
    <w:rsid w:val="004E5947"/>
    <w:rsid w:val="00556D37"/>
    <w:rsid w:val="00573046"/>
    <w:rsid w:val="005A2E09"/>
    <w:rsid w:val="005E5D1E"/>
    <w:rsid w:val="005F259E"/>
    <w:rsid w:val="005F42BF"/>
    <w:rsid w:val="005F5D4B"/>
    <w:rsid w:val="00633B16"/>
    <w:rsid w:val="0064566F"/>
    <w:rsid w:val="00684A58"/>
    <w:rsid w:val="00693742"/>
    <w:rsid w:val="00697BA9"/>
    <w:rsid w:val="006C3D00"/>
    <w:rsid w:val="006F34AA"/>
    <w:rsid w:val="006F684F"/>
    <w:rsid w:val="007430A6"/>
    <w:rsid w:val="007707AD"/>
    <w:rsid w:val="00773B83"/>
    <w:rsid w:val="007802EB"/>
    <w:rsid w:val="00784DD0"/>
    <w:rsid w:val="00785CA8"/>
    <w:rsid w:val="00793E65"/>
    <w:rsid w:val="007A7257"/>
    <w:rsid w:val="007C3EF6"/>
    <w:rsid w:val="007E3586"/>
    <w:rsid w:val="007E6313"/>
    <w:rsid w:val="00801B40"/>
    <w:rsid w:val="00812E5F"/>
    <w:rsid w:val="00840C37"/>
    <w:rsid w:val="00847170"/>
    <w:rsid w:val="00860D9C"/>
    <w:rsid w:val="00882EF5"/>
    <w:rsid w:val="008B3FA5"/>
    <w:rsid w:val="008C13B6"/>
    <w:rsid w:val="008C1429"/>
    <w:rsid w:val="008D4341"/>
    <w:rsid w:val="008D751B"/>
    <w:rsid w:val="00913F4D"/>
    <w:rsid w:val="0092783D"/>
    <w:rsid w:val="00954A0D"/>
    <w:rsid w:val="009611EB"/>
    <w:rsid w:val="00964E1A"/>
    <w:rsid w:val="00984897"/>
    <w:rsid w:val="009C6197"/>
    <w:rsid w:val="009D4C42"/>
    <w:rsid w:val="009F033A"/>
    <w:rsid w:val="00A01C27"/>
    <w:rsid w:val="00A0320B"/>
    <w:rsid w:val="00A06ABF"/>
    <w:rsid w:val="00A111E4"/>
    <w:rsid w:val="00A11E8C"/>
    <w:rsid w:val="00A15448"/>
    <w:rsid w:val="00A370AA"/>
    <w:rsid w:val="00A56CD0"/>
    <w:rsid w:val="00A64271"/>
    <w:rsid w:val="00A87074"/>
    <w:rsid w:val="00AA2B20"/>
    <w:rsid w:val="00AD01AC"/>
    <w:rsid w:val="00AD57A3"/>
    <w:rsid w:val="00AE4DA1"/>
    <w:rsid w:val="00AE5EA3"/>
    <w:rsid w:val="00AF3222"/>
    <w:rsid w:val="00B261C7"/>
    <w:rsid w:val="00B33B49"/>
    <w:rsid w:val="00B80595"/>
    <w:rsid w:val="00BA4D76"/>
    <w:rsid w:val="00BD2499"/>
    <w:rsid w:val="00BE7EE8"/>
    <w:rsid w:val="00BF3550"/>
    <w:rsid w:val="00BF4130"/>
    <w:rsid w:val="00C467BC"/>
    <w:rsid w:val="00C658C7"/>
    <w:rsid w:val="00C80D1F"/>
    <w:rsid w:val="00C84961"/>
    <w:rsid w:val="00C87EA8"/>
    <w:rsid w:val="00C9759C"/>
    <w:rsid w:val="00CA7BCE"/>
    <w:rsid w:val="00CF24CC"/>
    <w:rsid w:val="00D03D84"/>
    <w:rsid w:val="00D16567"/>
    <w:rsid w:val="00D9795F"/>
    <w:rsid w:val="00DB4B57"/>
    <w:rsid w:val="00DB5A7C"/>
    <w:rsid w:val="00DF2954"/>
    <w:rsid w:val="00E10C70"/>
    <w:rsid w:val="00E675FA"/>
    <w:rsid w:val="00E77315"/>
    <w:rsid w:val="00E9769E"/>
    <w:rsid w:val="00EB703E"/>
    <w:rsid w:val="00EC339C"/>
    <w:rsid w:val="00EC6214"/>
    <w:rsid w:val="00ED16A9"/>
    <w:rsid w:val="00ED2A3A"/>
    <w:rsid w:val="00EF58CC"/>
    <w:rsid w:val="00F000BB"/>
    <w:rsid w:val="00F14BC4"/>
    <w:rsid w:val="00F24C8C"/>
    <w:rsid w:val="00F62F95"/>
    <w:rsid w:val="00F64860"/>
    <w:rsid w:val="00F66912"/>
    <w:rsid w:val="00F75741"/>
    <w:rsid w:val="00F77810"/>
    <w:rsid w:val="00F81AA5"/>
    <w:rsid w:val="00FB2EA0"/>
    <w:rsid w:val="00FC25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A8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A4D76"/>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BA4D76"/>
    <w:pPr>
      <w:tabs>
        <w:tab w:val="center" w:pos="4536"/>
        <w:tab w:val="right" w:pos="9072"/>
      </w:tabs>
      <w:spacing w:line="240" w:lineRule="auto"/>
    </w:pPr>
  </w:style>
  <w:style w:type="character" w:customStyle="1" w:styleId="HeaderChar">
    <w:name w:val="Header Char"/>
    <w:basedOn w:val="DefaultParagraphFont"/>
    <w:link w:val="Header"/>
    <w:uiPriority w:val="99"/>
    <w:rsid w:val="00BA4D76"/>
    <w:rPr>
      <w:rFonts w:ascii="Verdana" w:hAnsi="Verdana"/>
      <w:color w:val="000000"/>
      <w:sz w:val="18"/>
      <w:szCs w:val="18"/>
    </w:rPr>
  </w:style>
  <w:style w:type="paragraph" w:styleId="Footer">
    <w:name w:val="footer"/>
    <w:basedOn w:val="Normal"/>
    <w:link w:val="FooterChar"/>
    <w:uiPriority w:val="99"/>
    <w:unhideWhenUsed/>
    <w:rsid w:val="00BA4D76"/>
    <w:pPr>
      <w:tabs>
        <w:tab w:val="center" w:pos="4536"/>
        <w:tab w:val="right" w:pos="9072"/>
      </w:tabs>
      <w:spacing w:line="240" w:lineRule="auto"/>
    </w:pPr>
  </w:style>
  <w:style w:type="character" w:customStyle="1" w:styleId="FooterChar">
    <w:name w:val="Footer Char"/>
    <w:basedOn w:val="DefaultParagraphFont"/>
    <w:link w:val="Footer"/>
    <w:uiPriority w:val="99"/>
    <w:rsid w:val="00BA4D76"/>
    <w:rPr>
      <w:rFonts w:ascii="Verdana" w:hAnsi="Verdana"/>
      <w:color w:val="000000"/>
      <w:sz w:val="18"/>
      <w:szCs w:val="18"/>
    </w:rPr>
  </w:style>
  <w:style w:type="paragraph" w:styleId="FootnoteText">
    <w:name w:val="footnote text"/>
    <w:basedOn w:val="Normal"/>
    <w:link w:val="FootnoteTextChar"/>
    <w:uiPriority w:val="99"/>
    <w:semiHidden/>
    <w:unhideWhenUsed/>
    <w:rsid w:val="00BA4D76"/>
    <w:pPr>
      <w:spacing w:line="240" w:lineRule="auto"/>
    </w:pPr>
    <w:rPr>
      <w:sz w:val="20"/>
      <w:szCs w:val="20"/>
    </w:rPr>
  </w:style>
  <w:style w:type="character" w:customStyle="1" w:styleId="FootnoteTextChar">
    <w:name w:val="Footnote Text Char"/>
    <w:basedOn w:val="DefaultParagraphFont"/>
    <w:link w:val="FootnoteText"/>
    <w:uiPriority w:val="99"/>
    <w:semiHidden/>
    <w:rsid w:val="00BA4D76"/>
    <w:rPr>
      <w:rFonts w:ascii="Verdana" w:hAnsi="Verdana"/>
      <w:color w:val="000000"/>
    </w:rPr>
  </w:style>
  <w:style w:type="character" w:styleId="FootnoteReference">
    <w:name w:val="footnote reference"/>
    <w:aliases w:val="Appel note de bas de p"/>
    <w:basedOn w:val="DefaultParagraphFont"/>
    <w:uiPriority w:val="99"/>
    <w:semiHidden/>
    <w:unhideWhenUsed/>
    <w:rsid w:val="00BA4D76"/>
    <w:rPr>
      <w:vertAlign w:val="superscript"/>
    </w:rPr>
  </w:style>
  <w:style w:type="character" w:styleId="CommentReference">
    <w:name w:val="annotation reference"/>
    <w:basedOn w:val="DefaultParagraphFont"/>
    <w:uiPriority w:val="99"/>
    <w:semiHidden/>
    <w:unhideWhenUsed/>
    <w:rsid w:val="00BA4D76"/>
    <w:rPr>
      <w:sz w:val="16"/>
      <w:szCs w:val="16"/>
    </w:rPr>
  </w:style>
  <w:style w:type="paragraph" w:styleId="CommentText">
    <w:name w:val="annotation text"/>
    <w:basedOn w:val="Normal"/>
    <w:link w:val="CommentTextChar"/>
    <w:uiPriority w:val="99"/>
    <w:unhideWhenUsed/>
    <w:rsid w:val="00BA4D76"/>
    <w:pPr>
      <w:spacing w:line="240" w:lineRule="auto"/>
    </w:pPr>
    <w:rPr>
      <w:sz w:val="20"/>
      <w:szCs w:val="20"/>
    </w:rPr>
  </w:style>
  <w:style w:type="character" w:customStyle="1" w:styleId="CommentTextChar">
    <w:name w:val="Comment Text Char"/>
    <w:basedOn w:val="DefaultParagraphFont"/>
    <w:link w:val="CommentText"/>
    <w:uiPriority w:val="99"/>
    <w:rsid w:val="00BA4D7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A15448"/>
    <w:rPr>
      <w:b/>
      <w:bCs/>
    </w:rPr>
  </w:style>
  <w:style w:type="character" w:customStyle="1" w:styleId="CommentSubjectChar">
    <w:name w:val="Comment Subject Char"/>
    <w:basedOn w:val="CommentTextChar"/>
    <w:link w:val="CommentSubject"/>
    <w:uiPriority w:val="99"/>
    <w:semiHidden/>
    <w:rsid w:val="00A15448"/>
    <w:rPr>
      <w:rFonts w:ascii="Verdana" w:hAnsi="Verdana"/>
      <w:b/>
      <w:bCs/>
      <w:color w:val="000000"/>
    </w:rPr>
  </w:style>
  <w:style w:type="paragraph" w:styleId="Revision">
    <w:name w:val="Revision"/>
    <w:hidden/>
    <w:uiPriority w:val="99"/>
    <w:semiHidden/>
    <w:rsid w:val="00C80D1F"/>
    <w:pPr>
      <w:autoSpaceDN/>
      <w:textAlignment w:val="auto"/>
    </w:pPr>
    <w:rPr>
      <w:rFonts w:ascii="Verdana" w:hAnsi="Verdana"/>
      <w:color w:val="000000"/>
      <w:sz w:val="18"/>
      <w:szCs w:val="18"/>
    </w:rPr>
  </w:style>
  <w:style w:type="paragraph" w:styleId="ListParagraph">
    <w:name w:val="List Paragraph"/>
    <w:basedOn w:val="Normal"/>
    <w:uiPriority w:val="34"/>
    <w:semiHidden/>
    <w:rsid w:val="001F10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3).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1175</ap:Words>
  <ap:Characters>6698</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Parlement - Uitwerking Ontwerpbesluit veilige jaarwisseling</vt:lpstr>
    </vt:vector>
  </ap:TitlesOfParts>
  <ap:LinksUpToDate>false</ap:LinksUpToDate>
  <ap:CharactersWithSpaces>7858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2026-01-16T11:21:00.0000000Z</dcterms:created>
  <dcterms:modified xsi:type="dcterms:W3CDTF">2026-01-16T11:21:00.0000000Z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Uitwerking Ontwerpbesluit veilige jaarwisseling</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E.M.G. Heijmans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