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327784E8">
            <w:pPr>
              <w:pStyle w:val="Amendement"/>
              <w:tabs>
                <w:tab w:val="clear" w:pos="3310"/>
                <w:tab w:val="clear" w:pos="3600"/>
              </w:tabs>
              <w:rPr>
                <w:rFonts w:ascii="Times New Roman" w:hAnsi="Times New Roman"/>
              </w:rPr>
            </w:pPr>
            <w:r w:rsidRPr="00C035D4">
              <w:rPr>
                <w:rFonts w:ascii="Times New Roman" w:hAnsi="Times New Roman"/>
              </w:rPr>
              <w:t xml:space="preserve">Nr. </w:t>
            </w:r>
            <w:r w:rsidR="00F15B2A">
              <w:rPr>
                <w:rFonts w:ascii="Times New Roman" w:hAnsi="Times New Roman"/>
                <w:caps/>
              </w:rPr>
              <w:t>10</w:t>
            </w:r>
          </w:p>
        </w:tc>
        <w:tc>
          <w:tcPr>
            <w:tcW w:w="7371" w:type="dxa"/>
            <w:gridSpan w:val="2"/>
          </w:tcPr>
          <w:p w:rsidRPr="00C035D4" w:rsidR="003C21AC" w:rsidP="006E0971" w:rsidRDefault="003C21AC" w14:paraId="0FFE5D35" w14:textId="041B0C8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D1976">
              <w:rPr>
                <w:rFonts w:ascii="Times New Roman" w:hAnsi="Times New Roman"/>
                <w:caps/>
              </w:rPr>
              <w:t>de leden</w:t>
            </w:r>
            <w:r w:rsidRPr="00C035D4">
              <w:rPr>
                <w:rFonts w:ascii="Times New Roman" w:hAnsi="Times New Roman"/>
                <w:caps/>
              </w:rPr>
              <w:t xml:space="preserve"> </w:t>
            </w:r>
            <w:r w:rsidR="008741FF">
              <w:rPr>
                <w:rFonts w:ascii="Times New Roman" w:hAnsi="Times New Roman"/>
                <w:caps/>
              </w:rPr>
              <w:t>stultiens</w:t>
            </w:r>
            <w:r w:rsidR="001D1976">
              <w:rPr>
                <w:rFonts w:ascii="Times New Roman" w:hAnsi="Times New Roman"/>
                <w:caps/>
              </w:rPr>
              <w:t xml:space="preserve"> en </w:t>
            </w:r>
            <w:r w:rsidR="004B7A99">
              <w:rPr>
                <w:rFonts w:ascii="Times New Roman" w:hAnsi="Times New Roman"/>
                <w:caps/>
              </w:rPr>
              <w:t xml:space="preserve">Jimmy </w:t>
            </w:r>
            <w:r w:rsidR="001D1976">
              <w:rPr>
                <w:rFonts w:ascii="Times New Roman" w:hAnsi="Times New Roman"/>
                <w:caps/>
              </w:rPr>
              <w:t>Dijk</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2D95C4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5B2A">
              <w:rPr>
                <w:rFonts w:ascii="Times New Roman" w:hAnsi="Times New Roman"/>
                <w:b w:val="0"/>
              </w:rPr>
              <w:t>19 januari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255A29EB">
            <w:pPr>
              <w:ind w:firstLine="284"/>
            </w:pPr>
            <w:r w:rsidRPr="00EA69AC">
              <w:t>De ondergetekende</w:t>
            </w:r>
            <w:r w:rsidR="001D1976">
              <w:t>n</w:t>
            </w:r>
            <w:r w:rsidRPr="00EA69AC">
              <w:t xml:space="preserve"> stel</w:t>
            </w:r>
            <w:r w:rsidR="001D1976">
              <w:t>len</w:t>
            </w:r>
            <w:r w:rsidRPr="00EA69AC">
              <w:t xml:space="preserve"> het volgende amendement voor:</w:t>
            </w:r>
          </w:p>
        </w:tc>
      </w:tr>
    </w:tbl>
    <w:p w:rsidR="004330ED" w:rsidP="00D774B3" w:rsidRDefault="004330ED" w14:paraId="0AA00E33" w14:textId="77777777"/>
    <w:p w:rsidR="00420DF4" w:rsidP="00D774B3" w:rsidRDefault="00420DF4" w14:paraId="3D58FB97" w14:textId="19B89445">
      <w:r>
        <w:t>I</w:t>
      </w:r>
    </w:p>
    <w:p w:rsidR="00420DF4" w:rsidP="00D774B3" w:rsidRDefault="00420DF4" w14:paraId="084DA4FF" w14:textId="77777777"/>
    <w:p w:rsidR="000872A9" w:rsidP="008741FF" w:rsidRDefault="008C6302" w14:paraId="2851835C" w14:textId="77777777">
      <w:r>
        <w:tab/>
      </w:r>
      <w:r w:rsidR="00C37323">
        <w:t>Het in artikel I, onderdeel C, voorgestelde artikel 2.13</w:t>
      </w:r>
      <w:r w:rsidR="000872A9">
        <w:t xml:space="preserve"> wordt als volgt gewijzigd:</w:t>
      </w:r>
    </w:p>
    <w:p w:rsidR="000872A9" w:rsidP="008741FF" w:rsidRDefault="000872A9" w14:paraId="78E6C271" w14:textId="77777777"/>
    <w:p w:rsidRPr="007E2E83" w:rsidR="007E2E83" w:rsidP="007E2E83" w:rsidRDefault="000872A9" w14:paraId="2D304118" w14:textId="440F9AF0">
      <w:pPr>
        <w:ind w:firstLine="284"/>
      </w:pPr>
      <w:r>
        <w:t xml:space="preserve">1. </w:t>
      </w:r>
      <w:r w:rsidR="003C6EB8">
        <w:t>In het</w:t>
      </w:r>
      <w:r>
        <w:t xml:space="preserve"> </w:t>
      </w:r>
      <w:r w:rsidR="005558C0">
        <w:t>eerste lid</w:t>
      </w:r>
      <w:r w:rsidR="003C6EB8">
        <w:t xml:space="preserve"> wordt “bedraagt 36%” vervangen door “</w:t>
      </w:r>
      <w:r w:rsidR="008D1E95">
        <w:t>wordt b</w:t>
      </w:r>
      <w:r w:rsidRPr="007E2E83" w:rsidR="007E2E83">
        <w:t>epaald aan de hand van de volgende tabel</w:t>
      </w:r>
      <w:r w:rsidR="003C6EB8">
        <w:t>:</w:t>
      </w:r>
    </w:p>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2292"/>
        <w:gridCol w:w="1289"/>
        <w:gridCol w:w="3767"/>
        <w:gridCol w:w="2999"/>
      </w:tblGrid>
      <w:tr w:rsidRPr="007E2E83" w:rsidR="001910AA" w14:paraId="1193920D" w14:textId="77777777">
        <w:trPr>
          <w:tblHeader/>
        </w:trPr>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2F3E12BE" w14:textId="7DA368EC">
            <w:pPr>
              <w:rPr>
                <w:b/>
                <w:bCs/>
              </w:rPr>
            </w:pPr>
            <w:r w:rsidRPr="007E2E83">
              <w:rPr>
                <w:b/>
                <w:bCs/>
                <w:i/>
                <w:iCs/>
              </w:rPr>
              <w:t xml:space="preserve">Bij een belastbaar inkomen uit </w:t>
            </w:r>
            <w:r w:rsidR="008D1E95">
              <w:rPr>
                <w:b/>
                <w:bCs/>
                <w:i/>
                <w:iCs/>
              </w:rPr>
              <w:t>sparen en beleggen</w:t>
            </w:r>
            <w:r w:rsidR="00433E2A">
              <w:rPr>
                <w:b/>
                <w:bCs/>
                <w:i/>
                <w:iCs/>
              </w:rPr>
              <w:t xml:space="preserve"> </w:t>
            </w:r>
            <w:r w:rsidRPr="007E2E83">
              <w:rPr>
                <w:b/>
                <w:bCs/>
                <w:i/>
                <w:iCs/>
              </w:rPr>
              <w:t>van meer dan</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B61DD1F" w14:textId="77777777">
            <w:pPr>
              <w:rPr>
                <w:b/>
                <w:bCs/>
              </w:rPr>
            </w:pPr>
            <w:r w:rsidRPr="007E2E83">
              <w:rPr>
                <w:b/>
                <w:bCs/>
                <w:i/>
                <w:iCs/>
              </w:rPr>
              <w:t>maar niet meer dan</w:t>
            </w:r>
          </w:p>
        </w:tc>
        <w:tc>
          <w:tcPr>
            <w:tcW w:w="0" w:type="auto"/>
            <w:gridSpan w:val="2"/>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46CEB80" w14:textId="03191AF6">
            <w:pPr>
              <w:rPr>
                <w:b/>
                <w:bCs/>
              </w:rPr>
            </w:pPr>
            <w:r w:rsidRPr="007E2E83">
              <w:rPr>
                <w:b/>
                <w:bCs/>
                <w:i/>
                <w:iCs/>
              </w:rPr>
              <w:t xml:space="preserve">bedraagt de belasting het in kolom III vermelde bedrag, vermeerderd met het bedrag dat wordt berekend door het in kolom IV vermelde percentage te nemen van het gedeelte van het belastbare inkomen uit </w:t>
            </w:r>
            <w:r w:rsidR="001910AA">
              <w:rPr>
                <w:b/>
                <w:bCs/>
                <w:i/>
                <w:iCs/>
              </w:rPr>
              <w:t>sparen en beleggen</w:t>
            </w:r>
            <w:r w:rsidRPr="007E2E83">
              <w:rPr>
                <w:b/>
                <w:bCs/>
                <w:i/>
                <w:iCs/>
              </w:rPr>
              <w:t xml:space="preserve"> dat het in kolom I vermelde bedrag te boven gaat</w:t>
            </w:r>
          </w:p>
        </w:tc>
      </w:tr>
      <w:tr w:rsidRPr="007E2E83" w:rsidR="001910AA" w14:paraId="712A5496" w14:textId="77777777">
        <w:trPr>
          <w:tblHeader/>
        </w:trPr>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6556BCA2" w14:textId="77777777">
            <w:pPr>
              <w:rPr>
                <w:b/>
                <w:bCs/>
              </w:rPr>
            </w:pPr>
            <w:r w:rsidRPr="007E2E83">
              <w:rPr>
                <w:b/>
                <w:bCs/>
                <w:i/>
                <w:iCs/>
              </w:rPr>
              <w:t>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B8F90BB" w14:textId="77777777">
            <w:pPr>
              <w:rPr>
                <w:b/>
                <w:bCs/>
              </w:rPr>
            </w:pPr>
            <w:r w:rsidRPr="007E2E83">
              <w:rPr>
                <w:b/>
                <w:bCs/>
                <w:i/>
                <w:iCs/>
              </w:rPr>
              <w:t>II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5DB035C4" w14:textId="77777777">
            <w:pPr>
              <w:rPr>
                <w:b/>
                <w:bCs/>
              </w:rPr>
            </w:pPr>
            <w:r w:rsidRPr="007E2E83">
              <w:rPr>
                <w:b/>
                <w:bCs/>
                <w:i/>
                <w:iCs/>
              </w:rPr>
              <w:t>III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C0B8641" w14:textId="77777777">
            <w:pPr>
              <w:rPr>
                <w:b/>
                <w:bCs/>
              </w:rPr>
            </w:pPr>
            <w:r w:rsidRPr="007E2E83">
              <w:rPr>
                <w:b/>
                <w:bCs/>
                <w:i/>
                <w:iCs/>
              </w:rPr>
              <w:t>IV</w:t>
            </w:r>
          </w:p>
        </w:tc>
      </w:tr>
      <w:tr w:rsidRPr="007E2E83" w:rsidR="001910AA" w14:paraId="64518641" w14:textId="77777777">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FFBEAAF"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E6746DD" w14:textId="0DE587D8">
            <w:r w:rsidRPr="007E2E83">
              <w:t>€ </w:t>
            </w:r>
            <w:r w:rsidR="00433E2A">
              <w:t>7</w:t>
            </w:r>
            <w:r w:rsidR="00F20D89">
              <w:t>8</w:t>
            </w:r>
            <w:r w:rsidR="00433E2A">
              <w:t>.</w:t>
            </w:r>
            <w:r w:rsidR="00F20D89">
              <w:t>426</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5B167FE6"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433E2A" w14:paraId="09357EE3" w14:textId="50DCB3FF">
            <w:r>
              <w:t>36%</w:t>
            </w:r>
          </w:p>
        </w:tc>
      </w:tr>
      <w:tr w:rsidRPr="007E2E83" w:rsidR="001910AA" w14:paraId="446F8BE2" w14:textId="77777777">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269869DF" w14:textId="5BE5B5F1">
            <w:r w:rsidRPr="007E2E83">
              <w:t>€ </w:t>
            </w:r>
            <w:r w:rsidR="00433E2A">
              <w:t>7</w:t>
            </w:r>
            <w:r w:rsidR="00F20D89">
              <w:t>8</w:t>
            </w:r>
            <w:r w:rsidR="00433E2A">
              <w:t>.</w:t>
            </w:r>
            <w:r w:rsidR="001E1476">
              <w:t>426</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02245F6"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DE2BFD0" w14:textId="70FED5F4">
            <w:r w:rsidRPr="007E2E83">
              <w:t>€ </w:t>
            </w:r>
            <w:r w:rsidR="00C96551">
              <w:t>2</w:t>
            </w:r>
            <w:r w:rsidR="00A72938">
              <w:t>8</w:t>
            </w:r>
            <w:r w:rsidR="006E54F0">
              <w:t>.</w:t>
            </w:r>
            <w:r w:rsidR="00A72938">
              <w:t>233</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1910AA" w14:paraId="7EE57968" w14:textId="267FB720">
            <w:r>
              <w:t>49,5%</w:t>
            </w:r>
          </w:p>
        </w:tc>
      </w:tr>
    </w:tbl>
    <w:p w:rsidR="007E2E83" w:rsidP="008741FF" w:rsidRDefault="007E2E83" w14:paraId="0EABEDBC" w14:textId="77777777"/>
    <w:p w:rsidR="008F65A9" w:rsidP="008741FF" w:rsidRDefault="008F65A9" w14:paraId="54038093" w14:textId="38464DDE">
      <w:r>
        <w:tab/>
        <w:t>2. Er worden twee leden toegevoegd, luidende:</w:t>
      </w:r>
    </w:p>
    <w:p w:rsidR="004A5A07" w:rsidP="004A5A07" w:rsidRDefault="004A5A07" w14:paraId="094705C3" w14:textId="1CC90226">
      <w:pPr>
        <w:ind w:firstLine="284"/>
      </w:pPr>
      <w:r>
        <w:t>3. Op het tijdstip van inwerkingtreding van artikel 2.13, eerste lid, worden de bedragen in de tabel in dat lid als volgt gewijzigd:</w:t>
      </w:r>
    </w:p>
    <w:p w:rsidR="004A5A07" w:rsidP="004A5A07" w:rsidRDefault="004A5A07" w14:paraId="04B4C09E" w14:textId="7E8FD38C">
      <w:pPr>
        <w:ind w:firstLine="284"/>
      </w:pPr>
      <w:r>
        <w:t>a. de in de kolommen I en II vermelde bedragen worden vervangen door het in artikel 2.10, eerste lid, in de tabel in kolom I</w:t>
      </w:r>
      <w:r w:rsidR="00C10070">
        <w:t>,</w:t>
      </w:r>
      <w:r>
        <w:t xml:space="preserve"> </w:t>
      </w:r>
      <w:r w:rsidR="00C10070">
        <w:t xml:space="preserve">na toepassing van artikel 10.1 op dat lid, </w:t>
      </w:r>
      <w:r>
        <w:t>op dat tijdstip als tweede vermelde bedrag</w:t>
      </w:r>
      <w:r w:rsidR="00B53974">
        <w:t>,</w:t>
      </w:r>
      <w:r>
        <w:t>;</w:t>
      </w:r>
    </w:p>
    <w:p w:rsidR="004A5A07" w:rsidP="004A5A07" w:rsidRDefault="004A5A07" w14:paraId="254E1869" w14:textId="77777777">
      <w:pPr>
        <w:ind w:firstLine="284"/>
      </w:pPr>
      <w:r>
        <w:t>b. het in kolom III vermelde bedrag wordt vervangen door het bedrag dat voortvloeit uit de vermenigvuldiging van het in de tabel onder I als gevolg van onderdeel a op te nemen bedrag met het in kolom IV als eerste opgenomen percentage.</w:t>
      </w:r>
    </w:p>
    <w:p w:rsidR="00CB5BE4" w:rsidP="008741FF" w:rsidRDefault="004A5A07" w14:paraId="37B9A109" w14:textId="62AF4B83">
      <w:r>
        <w:tab/>
        <w:t>4. Na toepassing van het derde lid vervallen het derde en vierde lid.</w:t>
      </w:r>
    </w:p>
    <w:p w:rsidR="00A4568A" w:rsidP="008741FF" w:rsidRDefault="00A4568A" w14:paraId="523EB5AB" w14:textId="77777777"/>
    <w:p w:rsidR="00420DF4" w:rsidP="008741FF" w:rsidRDefault="00420DF4" w14:paraId="403DE6E7" w14:textId="39078E74">
      <w:r>
        <w:t>II</w:t>
      </w:r>
    </w:p>
    <w:p w:rsidR="00420DF4" w:rsidP="008741FF" w:rsidRDefault="00420DF4" w14:paraId="43ECDB7C" w14:textId="77777777"/>
    <w:p w:rsidR="00537069" w:rsidP="00995CE4" w:rsidRDefault="001E6407" w14:paraId="44A8CAFD" w14:textId="6199FC66">
      <w:pPr>
        <w:ind w:firstLine="284"/>
      </w:pPr>
      <w:r>
        <w:t>In a</w:t>
      </w:r>
      <w:r w:rsidR="00537069">
        <w:t xml:space="preserve">rtikel </w:t>
      </w:r>
      <w:r>
        <w:t xml:space="preserve">I, onderdeel Z, </w:t>
      </w:r>
      <w:r w:rsidR="00EF38B1">
        <w:t>wordt na “</w:t>
      </w:r>
      <w:r>
        <w:t>, wordt” ingevoegd</w:t>
      </w:r>
      <w:r w:rsidR="006F55EA">
        <w:t xml:space="preserve"> “na “</w:t>
      </w:r>
      <w:r w:rsidR="00EF38B1">
        <w:t>2.12,” ingevoegd “</w:t>
      </w:r>
      <w:r w:rsidR="00995CE4">
        <w:t>2.13, eerste lid,”</w:t>
      </w:r>
      <w:r w:rsidR="0049243F">
        <w:t>, wordt</w:t>
      </w:r>
      <w:r w:rsidR="006F55EA">
        <w:t>”</w:t>
      </w:r>
      <w:r w:rsidR="00995CE4">
        <w:t>.</w:t>
      </w:r>
    </w:p>
    <w:p w:rsidR="00757C28" w:rsidP="00DC630A" w:rsidRDefault="00757C28" w14:paraId="42CC4FDA" w14:textId="77777777"/>
    <w:p w:rsidR="00DC630A" w:rsidP="00DC630A" w:rsidRDefault="00DC630A" w14:paraId="2E48924F" w14:textId="046B9D2F">
      <w:r>
        <w:t>III</w:t>
      </w:r>
    </w:p>
    <w:p w:rsidR="00DC630A" w:rsidP="00995CE4" w:rsidRDefault="00DC630A" w14:paraId="12116863" w14:textId="77777777">
      <w:pPr>
        <w:ind w:firstLine="284"/>
      </w:pPr>
    </w:p>
    <w:p w:rsidR="006943E9" w:rsidP="00995CE4" w:rsidRDefault="004532CD" w14:paraId="5B8F2AFC" w14:textId="20CF51CC">
      <w:pPr>
        <w:ind w:firstLine="284"/>
      </w:pPr>
      <w:r>
        <w:lastRenderedPageBreak/>
        <w:t>In a</w:t>
      </w:r>
      <w:r w:rsidR="00912EC7">
        <w:t>rtikel VI</w:t>
      </w:r>
      <w:r>
        <w:t>, eerste lid,</w:t>
      </w:r>
      <w:r w:rsidR="00912EC7">
        <w:t xml:space="preserve"> </w:t>
      </w:r>
      <w:r w:rsidR="006943E9">
        <w:t>wordt na “artikelen” ingevoegd “2.13, eerste lid,”</w:t>
      </w:r>
      <w:r w:rsidR="009643A0">
        <w:t>.</w:t>
      </w:r>
    </w:p>
    <w:p w:rsidR="00DD41E6" w:rsidP="00995CE4" w:rsidRDefault="00DD41E6" w14:paraId="208C13DA" w14:textId="77777777">
      <w:pPr>
        <w:ind w:firstLine="284"/>
      </w:pPr>
    </w:p>
    <w:p w:rsidRPr="00EA69AC" w:rsidR="003C21AC" w:rsidP="00B062C9" w:rsidRDefault="003C21AC" w14:paraId="285BF3B5" w14:textId="76850CB8">
      <w:pPr>
        <w:rPr>
          <w:b/>
        </w:rPr>
      </w:pPr>
      <w:r w:rsidRPr="00EA69AC">
        <w:rPr>
          <w:b/>
        </w:rPr>
        <w:t>Toelichting</w:t>
      </w:r>
    </w:p>
    <w:p w:rsidR="003C21AC" w:rsidP="00BF623B" w:rsidRDefault="003C21AC" w14:paraId="6AA11F9F" w14:textId="77777777"/>
    <w:p w:rsidR="00104162" w:rsidP="00BF623B" w:rsidRDefault="00104162" w14:paraId="3C72210B" w14:textId="77777777">
      <w:r w:rsidRPr="00104162">
        <w:t>Dit amendement voegt een extra tarief in box 3 in van 49,5%, waardoor inkomen uit vermogen voortaan</w:t>
      </w:r>
      <w:r w:rsidRPr="00104162">
        <w:br/>
        <w:t>progressief belast wordt, net als inkomen uit arbeid.</w:t>
      </w:r>
    </w:p>
    <w:p w:rsidR="00A86DF3" w:rsidP="00BF623B" w:rsidRDefault="00104162" w14:paraId="74E11223" w14:textId="3FFCADF4">
      <w:r w:rsidRPr="00104162">
        <w:br/>
        <w:t>Zowel in box 1 als in box 2 geldt een progressief belastingtarief, waardoor hogere inkomens zwaarder</w:t>
      </w:r>
      <w:r w:rsidRPr="00104162">
        <w:br/>
        <w:t>belast worden. Het gecombineerde toptarief in box 2 bedraagt 48,8% en het toptarief in box 1 is 49,5%. Dat</w:t>
      </w:r>
      <w:r w:rsidRPr="00104162">
        <w:br/>
        <w:t>is fors hoger dan het huidige en voorgestelde tarief in box 3 van 36%. De indiener</w:t>
      </w:r>
      <w:r w:rsidR="001D1976">
        <w:t>s</w:t>
      </w:r>
      <w:r w:rsidRPr="00104162">
        <w:t xml:space="preserve"> </w:t>
      </w:r>
      <w:r w:rsidR="001D1976">
        <w:t>zijn</w:t>
      </w:r>
      <w:r w:rsidRPr="00104162">
        <w:t xml:space="preserve"> van mening dat</w:t>
      </w:r>
      <w:r w:rsidRPr="00104162">
        <w:br/>
        <w:t>inkomen uit vermogen niet milder behandeld moet worden dan inkomen uit arbeid en stelt daarom voor</w:t>
      </w:r>
      <w:r w:rsidRPr="00104162">
        <w:br/>
        <w:t>ook in box 3 een toptarief toe te voegen.</w:t>
      </w:r>
    </w:p>
    <w:p w:rsidR="00104162" w:rsidP="00F34EC1" w:rsidRDefault="00104162" w14:paraId="3ADA7763" w14:textId="09DA2349">
      <w:r w:rsidRPr="00104162">
        <w:br/>
        <w:t>Op de langere termijn vind</w:t>
      </w:r>
      <w:r w:rsidR="001D1976">
        <w:t>en</w:t>
      </w:r>
      <w:r w:rsidRPr="00104162">
        <w:t xml:space="preserve"> de indiener</w:t>
      </w:r>
      <w:r w:rsidR="001D1976">
        <w:t>s</w:t>
      </w:r>
      <w:r w:rsidRPr="00104162">
        <w:t xml:space="preserve"> het wenselijk om het boxenstelsel af te schaffen en inkomen uit</w:t>
      </w:r>
      <w:r w:rsidRPr="00104162">
        <w:br/>
        <w:t>verschillende bronnen zoveel mogelijk gelijk te behandelen. Op korte termijn is dat echter niet uitvoerbaar;</w:t>
      </w:r>
      <w:r w:rsidRPr="00104162">
        <w:br/>
        <w:t>de indiener</w:t>
      </w:r>
      <w:r w:rsidR="001D1976">
        <w:t>s</w:t>
      </w:r>
      <w:r w:rsidRPr="00104162">
        <w:t xml:space="preserve"> stel</w:t>
      </w:r>
      <w:r w:rsidR="001D1976">
        <w:t>len</w:t>
      </w:r>
      <w:r w:rsidRPr="00104162">
        <w:t xml:space="preserve"> daarom voor om tot een grotere hervorming mogelijk is een toptarief van 49,5% in te</w:t>
      </w:r>
      <w:r w:rsidRPr="00104162">
        <w:br/>
        <w:t xml:space="preserve">voeren in box 3, dat geheven wordt over inkomen boven €78.426, gelijk aan de schijfgrens in box 1. </w:t>
      </w:r>
      <w:r w:rsidRPr="00F34EC1" w:rsidR="00F34EC1">
        <w:t>Voorts</w:t>
      </w:r>
      <w:r w:rsidRPr="00F34EC1" w:rsidR="00F34EC1">
        <w:br/>
        <w:t>stellen de indieners voor deze schijfgrens jaarlijks te indexeren met de tabelcorrectiefactor, zoals ook gebeurt met de schijfgrens in box 1.</w:t>
      </w:r>
    </w:p>
    <w:p w:rsidR="00DF5C2E" w:rsidP="00BF623B" w:rsidRDefault="00DF5C2E" w14:paraId="2C4D6D71" w14:textId="77777777"/>
    <w:p w:rsidR="00DD1B32" w:rsidP="00BF623B" w:rsidRDefault="007A7772" w14:paraId="7147BEA1" w14:textId="73623BBD">
      <w:r>
        <w:t>De budgettaire opbrengst is als volgt:</w:t>
      </w:r>
    </w:p>
    <w:p w:rsidR="00DD1B32" w:rsidP="00BF623B" w:rsidRDefault="00DD1B32" w14:paraId="224690E3" w14:textId="77777777"/>
    <w:tbl>
      <w:tblPr>
        <w:tblStyle w:val="Tabelraster"/>
        <w:tblW w:w="0" w:type="auto"/>
        <w:tblLook w:val="04A0" w:firstRow="1" w:lastRow="0" w:firstColumn="1" w:lastColumn="0" w:noHBand="0" w:noVBand="1"/>
      </w:tblPr>
      <w:tblGrid>
        <w:gridCol w:w="1696"/>
        <w:gridCol w:w="851"/>
        <w:gridCol w:w="1134"/>
        <w:gridCol w:w="1134"/>
        <w:gridCol w:w="1134"/>
        <w:gridCol w:w="1276"/>
        <w:gridCol w:w="1134"/>
        <w:gridCol w:w="1417"/>
      </w:tblGrid>
      <w:tr w:rsidR="00D54578" w:rsidTr="00D54578" w14:paraId="2B7F7F9E" w14:textId="77777777">
        <w:tc>
          <w:tcPr>
            <w:tcW w:w="1696" w:type="dxa"/>
          </w:tcPr>
          <w:p w:rsidR="00340042" w:rsidP="00BF623B" w:rsidRDefault="00340042" w14:paraId="463E9A11" w14:textId="77777777"/>
        </w:tc>
        <w:tc>
          <w:tcPr>
            <w:tcW w:w="851" w:type="dxa"/>
          </w:tcPr>
          <w:p w:rsidR="00340042" w:rsidP="00BF623B" w:rsidRDefault="00340042" w14:paraId="6AA94595" w14:textId="49A4A830">
            <w:r>
              <w:t>2027</w:t>
            </w:r>
          </w:p>
        </w:tc>
        <w:tc>
          <w:tcPr>
            <w:tcW w:w="1134" w:type="dxa"/>
          </w:tcPr>
          <w:p w:rsidR="00340042" w:rsidP="00BF623B" w:rsidRDefault="00340042" w14:paraId="7ADF42F0" w14:textId="6FE0C2F4">
            <w:r>
              <w:t>2028</w:t>
            </w:r>
          </w:p>
        </w:tc>
        <w:tc>
          <w:tcPr>
            <w:tcW w:w="1134" w:type="dxa"/>
          </w:tcPr>
          <w:p w:rsidR="00340042" w:rsidP="00BF623B" w:rsidRDefault="00340042" w14:paraId="6217DAE9" w14:textId="37FF5795">
            <w:r>
              <w:t>2029</w:t>
            </w:r>
          </w:p>
        </w:tc>
        <w:tc>
          <w:tcPr>
            <w:tcW w:w="1134" w:type="dxa"/>
          </w:tcPr>
          <w:p w:rsidR="00340042" w:rsidP="00BF623B" w:rsidRDefault="00340042" w14:paraId="4FC07812" w14:textId="63433ED4">
            <w:r>
              <w:t>2030</w:t>
            </w:r>
          </w:p>
        </w:tc>
        <w:tc>
          <w:tcPr>
            <w:tcW w:w="1276" w:type="dxa"/>
          </w:tcPr>
          <w:p w:rsidR="00340042" w:rsidP="00BF623B" w:rsidRDefault="00340042" w14:paraId="483601DF" w14:textId="6CC45E96">
            <w:r>
              <w:t>2031</w:t>
            </w:r>
          </w:p>
        </w:tc>
        <w:tc>
          <w:tcPr>
            <w:tcW w:w="1134" w:type="dxa"/>
          </w:tcPr>
          <w:p w:rsidR="00340042" w:rsidP="00BF623B" w:rsidRDefault="00340042" w14:paraId="6A85FF0B" w14:textId="233BCA29">
            <w:r>
              <w:t>2032</w:t>
            </w:r>
          </w:p>
        </w:tc>
        <w:tc>
          <w:tcPr>
            <w:tcW w:w="1417" w:type="dxa"/>
          </w:tcPr>
          <w:p w:rsidR="00340042" w:rsidP="00BF623B" w:rsidRDefault="00340042" w14:paraId="5AF2B10F" w14:textId="05A93821">
            <w:r>
              <w:t>Structureel</w:t>
            </w:r>
          </w:p>
        </w:tc>
      </w:tr>
      <w:tr w:rsidR="00D54578" w:rsidTr="00D54578" w14:paraId="55A6B77C" w14:textId="77777777">
        <w:tc>
          <w:tcPr>
            <w:tcW w:w="1696" w:type="dxa"/>
          </w:tcPr>
          <w:p w:rsidR="00340042" w:rsidP="00BF623B" w:rsidRDefault="00340042" w14:paraId="554F8AD7" w14:textId="3A4F1255">
            <w:r>
              <w:t>Toptarief van 49,5%</w:t>
            </w:r>
          </w:p>
        </w:tc>
        <w:tc>
          <w:tcPr>
            <w:tcW w:w="851" w:type="dxa"/>
          </w:tcPr>
          <w:p w:rsidR="00340042" w:rsidP="00BF623B" w:rsidRDefault="00340042" w14:paraId="678E4E04" w14:textId="1FE40CEC">
            <w:r>
              <w:t>-</w:t>
            </w:r>
          </w:p>
        </w:tc>
        <w:tc>
          <w:tcPr>
            <w:tcW w:w="1134" w:type="dxa"/>
          </w:tcPr>
          <w:p w:rsidR="00340042" w:rsidP="00BF623B" w:rsidRDefault="00D54578" w14:paraId="5953EF94" w14:textId="26E4FFA4">
            <w:r>
              <w:t>€749 miljoen</w:t>
            </w:r>
          </w:p>
        </w:tc>
        <w:tc>
          <w:tcPr>
            <w:tcW w:w="1134" w:type="dxa"/>
          </w:tcPr>
          <w:p w:rsidR="00340042" w:rsidP="00BF623B" w:rsidRDefault="00D54578" w14:paraId="041AF1D6" w14:textId="44EC4E5B">
            <w:r>
              <w:t>€628 miljoen</w:t>
            </w:r>
          </w:p>
        </w:tc>
        <w:tc>
          <w:tcPr>
            <w:tcW w:w="1134" w:type="dxa"/>
          </w:tcPr>
          <w:p w:rsidR="00340042" w:rsidP="00BF623B" w:rsidRDefault="00D54578" w14:paraId="055DF3E5" w14:textId="5E65295F">
            <w:r>
              <w:t>€606 miljoen</w:t>
            </w:r>
          </w:p>
        </w:tc>
        <w:tc>
          <w:tcPr>
            <w:tcW w:w="1276" w:type="dxa"/>
          </w:tcPr>
          <w:p w:rsidR="00340042" w:rsidP="00BF623B" w:rsidRDefault="00D54578" w14:paraId="18BC55E4" w14:textId="12F7534F">
            <w:r>
              <w:t>€604 miljoen</w:t>
            </w:r>
          </w:p>
        </w:tc>
        <w:tc>
          <w:tcPr>
            <w:tcW w:w="1134" w:type="dxa"/>
          </w:tcPr>
          <w:p w:rsidR="00340042" w:rsidP="00BF623B" w:rsidRDefault="00D54578" w14:paraId="04EAD363" w14:textId="766AB8A6">
            <w:r>
              <w:t>€613 miljoen</w:t>
            </w:r>
          </w:p>
        </w:tc>
        <w:tc>
          <w:tcPr>
            <w:tcW w:w="1417" w:type="dxa"/>
          </w:tcPr>
          <w:p w:rsidR="00340042" w:rsidP="00BF623B" w:rsidRDefault="00D54578" w14:paraId="0C37D9AF" w14:textId="2E3122FA">
            <w:r>
              <w:t>€879 miljoen</w:t>
            </w:r>
          </w:p>
        </w:tc>
      </w:tr>
    </w:tbl>
    <w:p w:rsidR="007A7772" w:rsidP="00BF623B" w:rsidRDefault="007A7772" w14:paraId="01F03D67" w14:textId="77777777"/>
    <w:p w:rsidR="00AC3015" w:rsidP="00BF623B" w:rsidRDefault="00AC3015" w14:paraId="60732CCC" w14:textId="67FE5A40">
      <w:r>
        <w:t>Stultiens</w:t>
      </w:r>
    </w:p>
    <w:p w:rsidRPr="00EA69AC" w:rsidR="001D1976" w:rsidP="00BF623B" w:rsidRDefault="004B7A99" w14:paraId="2B957D1C" w14:textId="5E7AACFD">
      <w:r>
        <w:t xml:space="preserve">Jimmy </w:t>
      </w:r>
      <w:r w:rsidR="001D1976">
        <w:t>Dijk</w:t>
      </w:r>
    </w:p>
    <w:sectPr w:rsidRPr="00EA69AC" w:rsidR="001D197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12FD" w14:textId="77777777" w:rsidR="00D67F51" w:rsidRDefault="00D67F51">
      <w:pPr>
        <w:spacing w:line="20" w:lineRule="exact"/>
      </w:pPr>
    </w:p>
  </w:endnote>
  <w:endnote w:type="continuationSeparator" w:id="0">
    <w:p w14:paraId="07FC5A66" w14:textId="77777777" w:rsidR="00D67F51" w:rsidRDefault="00D67F51">
      <w:pPr>
        <w:pStyle w:val="Amendement"/>
      </w:pPr>
      <w:r>
        <w:rPr>
          <w:b w:val="0"/>
        </w:rPr>
        <w:t xml:space="preserve"> </w:t>
      </w:r>
    </w:p>
  </w:endnote>
  <w:endnote w:type="continuationNotice" w:id="1">
    <w:p w14:paraId="57C697DE" w14:textId="77777777" w:rsidR="00D67F51" w:rsidRDefault="00D67F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FA4C" w14:textId="77777777" w:rsidR="00D67F51" w:rsidRDefault="00D67F51">
      <w:pPr>
        <w:pStyle w:val="Amendement"/>
      </w:pPr>
      <w:r>
        <w:rPr>
          <w:b w:val="0"/>
        </w:rPr>
        <w:separator/>
      </w:r>
    </w:p>
  </w:footnote>
  <w:footnote w:type="continuationSeparator" w:id="0">
    <w:p w14:paraId="5841B21C" w14:textId="77777777" w:rsidR="00D67F51" w:rsidRDefault="00D6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16C24"/>
    <w:multiLevelType w:val="hybridMultilevel"/>
    <w:tmpl w:val="E4B45F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3083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6E1F"/>
    <w:rsid w:val="0000777F"/>
    <w:rsid w:val="00021A92"/>
    <w:rsid w:val="00025DB4"/>
    <w:rsid w:val="00052244"/>
    <w:rsid w:val="0007471A"/>
    <w:rsid w:val="000872A9"/>
    <w:rsid w:val="00097014"/>
    <w:rsid w:val="000A136C"/>
    <w:rsid w:val="000D0DE7"/>
    <w:rsid w:val="000D17BF"/>
    <w:rsid w:val="00104162"/>
    <w:rsid w:val="00127E3F"/>
    <w:rsid w:val="00134EDA"/>
    <w:rsid w:val="001422E0"/>
    <w:rsid w:val="00157CAF"/>
    <w:rsid w:val="001656EE"/>
    <w:rsid w:val="0016653D"/>
    <w:rsid w:val="00166BA5"/>
    <w:rsid w:val="001771F8"/>
    <w:rsid w:val="00180E0E"/>
    <w:rsid w:val="001910AA"/>
    <w:rsid w:val="001B5214"/>
    <w:rsid w:val="001D1976"/>
    <w:rsid w:val="001D56AF"/>
    <w:rsid w:val="001D7416"/>
    <w:rsid w:val="001E0E21"/>
    <w:rsid w:val="001E1476"/>
    <w:rsid w:val="001E6407"/>
    <w:rsid w:val="00212E0A"/>
    <w:rsid w:val="002153A9"/>
    <w:rsid w:val="002153B0"/>
    <w:rsid w:val="0021777F"/>
    <w:rsid w:val="00223886"/>
    <w:rsid w:val="00241DD0"/>
    <w:rsid w:val="002845E8"/>
    <w:rsid w:val="002A0713"/>
    <w:rsid w:val="002C1951"/>
    <w:rsid w:val="002F165E"/>
    <w:rsid w:val="00313E25"/>
    <w:rsid w:val="00333806"/>
    <w:rsid w:val="00340042"/>
    <w:rsid w:val="003435D4"/>
    <w:rsid w:val="00380034"/>
    <w:rsid w:val="00383B0E"/>
    <w:rsid w:val="003C21AC"/>
    <w:rsid w:val="003C5218"/>
    <w:rsid w:val="003C6EB8"/>
    <w:rsid w:val="003C7876"/>
    <w:rsid w:val="003E2308"/>
    <w:rsid w:val="003E2F98"/>
    <w:rsid w:val="003F4AA4"/>
    <w:rsid w:val="00413B00"/>
    <w:rsid w:val="00420DF4"/>
    <w:rsid w:val="0042574B"/>
    <w:rsid w:val="004330ED"/>
    <w:rsid w:val="00433E2A"/>
    <w:rsid w:val="00444383"/>
    <w:rsid w:val="004467DD"/>
    <w:rsid w:val="004532CD"/>
    <w:rsid w:val="004741D8"/>
    <w:rsid w:val="00481C91"/>
    <w:rsid w:val="004911E3"/>
    <w:rsid w:val="0049243F"/>
    <w:rsid w:val="00497D57"/>
    <w:rsid w:val="004A1E29"/>
    <w:rsid w:val="004A5A07"/>
    <w:rsid w:val="004A7DD4"/>
    <w:rsid w:val="004B50D8"/>
    <w:rsid w:val="004B5B90"/>
    <w:rsid w:val="004B7A99"/>
    <w:rsid w:val="004C4C6C"/>
    <w:rsid w:val="00501109"/>
    <w:rsid w:val="00527934"/>
    <w:rsid w:val="00531155"/>
    <w:rsid w:val="00533F66"/>
    <w:rsid w:val="00537069"/>
    <w:rsid w:val="005376CF"/>
    <w:rsid w:val="005510AC"/>
    <w:rsid w:val="005558C0"/>
    <w:rsid w:val="00560C44"/>
    <w:rsid w:val="005703C9"/>
    <w:rsid w:val="00577243"/>
    <w:rsid w:val="00584EC9"/>
    <w:rsid w:val="005956C2"/>
    <w:rsid w:val="00597703"/>
    <w:rsid w:val="005A6097"/>
    <w:rsid w:val="005B1DCC"/>
    <w:rsid w:val="005B7323"/>
    <w:rsid w:val="005C25B9"/>
    <w:rsid w:val="005E7EC2"/>
    <w:rsid w:val="005F2D8B"/>
    <w:rsid w:val="006267E6"/>
    <w:rsid w:val="006558D2"/>
    <w:rsid w:val="0066242D"/>
    <w:rsid w:val="00672D25"/>
    <w:rsid w:val="006738BC"/>
    <w:rsid w:val="006943E9"/>
    <w:rsid w:val="006A5956"/>
    <w:rsid w:val="006C0C0A"/>
    <w:rsid w:val="006D3E69"/>
    <w:rsid w:val="006E0971"/>
    <w:rsid w:val="006E54F0"/>
    <w:rsid w:val="006F55EA"/>
    <w:rsid w:val="00706B20"/>
    <w:rsid w:val="0071176A"/>
    <w:rsid w:val="00730970"/>
    <w:rsid w:val="00757C28"/>
    <w:rsid w:val="00763201"/>
    <w:rsid w:val="007709F6"/>
    <w:rsid w:val="00783215"/>
    <w:rsid w:val="007965FC"/>
    <w:rsid w:val="007A7772"/>
    <w:rsid w:val="007A7D88"/>
    <w:rsid w:val="007B1554"/>
    <w:rsid w:val="007D2608"/>
    <w:rsid w:val="007D65A2"/>
    <w:rsid w:val="007E2E83"/>
    <w:rsid w:val="007F626A"/>
    <w:rsid w:val="00800F5A"/>
    <w:rsid w:val="008164E5"/>
    <w:rsid w:val="00830081"/>
    <w:rsid w:val="0084178D"/>
    <w:rsid w:val="008467D7"/>
    <w:rsid w:val="00852541"/>
    <w:rsid w:val="00854175"/>
    <w:rsid w:val="00865D47"/>
    <w:rsid w:val="008741FF"/>
    <w:rsid w:val="008747EB"/>
    <w:rsid w:val="0088452C"/>
    <w:rsid w:val="008B0310"/>
    <w:rsid w:val="008C6302"/>
    <w:rsid w:val="008D1E95"/>
    <w:rsid w:val="008D7DCB"/>
    <w:rsid w:val="008F65A9"/>
    <w:rsid w:val="009055DB"/>
    <w:rsid w:val="00905ECB"/>
    <w:rsid w:val="00912EC7"/>
    <w:rsid w:val="00921AD4"/>
    <w:rsid w:val="0096165D"/>
    <w:rsid w:val="009643A0"/>
    <w:rsid w:val="00993E91"/>
    <w:rsid w:val="00995CE4"/>
    <w:rsid w:val="009A409F"/>
    <w:rsid w:val="009B5845"/>
    <w:rsid w:val="009C0C1F"/>
    <w:rsid w:val="009E23BA"/>
    <w:rsid w:val="00A10505"/>
    <w:rsid w:val="00A1288B"/>
    <w:rsid w:val="00A4568A"/>
    <w:rsid w:val="00A46ABE"/>
    <w:rsid w:val="00A53203"/>
    <w:rsid w:val="00A72938"/>
    <w:rsid w:val="00A772EB"/>
    <w:rsid w:val="00A83CD7"/>
    <w:rsid w:val="00A86DF3"/>
    <w:rsid w:val="00A87329"/>
    <w:rsid w:val="00AA5A67"/>
    <w:rsid w:val="00AB1D66"/>
    <w:rsid w:val="00AC3015"/>
    <w:rsid w:val="00B01BA6"/>
    <w:rsid w:val="00B062C9"/>
    <w:rsid w:val="00B16D6E"/>
    <w:rsid w:val="00B36F1D"/>
    <w:rsid w:val="00B4708A"/>
    <w:rsid w:val="00B53974"/>
    <w:rsid w:val="00B635BA"/>
    <w:rsid w:val="00B80C87"/>
    <w:rsid w:val="00B86CE5"/>
    <w:rsid w:val="00B87584"/>
    <w:rsid w:val="00BF623B"/>
    <w:rsid w:val="00C035D4"/>
    <w:rsid w:val="00C10070"/>
    <w:rsid w:val="00C37323"/>
    <w:rsid w:val="00C679BF"/>
    <w:rsid w:val="00C81BBD"/>
    <w:rsid w:val="00C868CF"/>
    <w:rsid w:val="00C96551"/>
    <w:rsid w:val="00CB5BE4"/>
    <w:rsid w:val="00CD3132"/>
    <w:rsid w:val="00CD61E2"/>
    <w:rsid w:val="00CE0A3F"/>
    <w:rsid w:val="00CE27CD"/>
    <w:rsid w:val="00CE3990"/>
    <w:rsid w:val="00D134F3"/>
    <w:rsid w:val="00D47D01"/>
    <w:rsid w:val="00D54578"/>
    <w:rsid w:val="00D67F51"/>
    <w:rsid w:val="00D774B3"/>
    <w:rsid w:val="00DC630A"/>
    <w:rsid w:val="00DC7BEB"/>
    <w:rsid w:val="00DD1B32"/>
    <w:rsid w:val="00DD35A5"/>
    <w:rsid w:val="00DD41E6"/>
    <w:rsid w:val="00DE1171"/>
    <w:rsid w:val="00DE2948"/>
    <w:rsid w:val="00DF5C2E"/>
    <w:rsid w:val="00DF68BE"/>
    <w:rsid w:val="00DF6916"/>
    <w:rsid w:val="00DF712A"/>
    <w:rsid w:val="00E22FDD"/>
    <w:rsid w:val="00E25DF4"/>
    <w:rsid w:val="00E3485D"/>
    <w:rsid w:val="00E529C7"/>
    <w:rsid w:val="00E537E2"/>
    <w:rsid w:val="00E6619B"/>
    <w:rsid w:val="00E67E9B"/>
    <w:rsid w:val="00E908D7"/>
    <w:rsid w:val="00EA1CE4"/>
    <w:rsid w:val="00EA62EA"/>
    <w:rsid w:val="00EA69AC"/>
    <w:rsid w:val="00EB40A1"/>
    <w:rsid w:val="00EC1472"/>
    <w:rsid w:val="00EC3112"/>
    <w:rsid w:val="00ED5E57"/>
    <w:rsid w:val="00EE1BD8"/>
    <w:rsid w:val="00EF38B1"/>
    <w:rsid w:val="00F03221"/>
    <w:rsid w:val="00F15B2A"/>
    <w:rsid w:val="00F20D89"/>
    <w:rsid w:val="00F21BF5"/>
    <w:rsid w:val="00F34EC1"/>
    <w:rsid w:val="00F47B74"/>
    <w:rsid w:val="00F55699"/>
    <w:rsid w:val="00F81CB1"/>
    <w:rsid w:val="00F92751"/>
    <w:rsid w:val="00F97E5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table" w:styleId="Tabelraster">
    <w:name w:val="Table Grid"/>
    <w:basedOn w:val="Standaardtabel"/>
    <w:rsid w:val="007A7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544</ap:Words>
  <ap:Characters>2737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2026-01-19T09:30:00.0000000Z</dcterms:created>
  <dcterms:modified xsi:type="dcterms:W3CDTF">2026-02-04T12:42:00.0000000Z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