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723" w:rsidP="000E6723" w:rsidRDefault="000E6723" w14:paraId="3FAFC303" w14:textId="77777777"/>
    <w:p w:rsidRPr="000D2049" w:rsidR="000E6723" w:rsidP="000E6723" w:rsidRDefault="000E6723" w14:paraId="7286062E" w14:textId="58AEA9AA">
      <w:r w:rsidRPr="000D2049">
        <w:t>Geachte Voorzitter,  </w:t>
      </w:r>
    </w:p>
    <w:p w:rsidRPr="000D2049" w:rsidR="000E6723" w:rsidP="000E6723" w:rsidRDefault="000E6723" w14:paraId="1AA7FC96" w14:textId="77777777">
      <w:r w:rsidRPr="000D2049">
        <w:t>  </w:t>
      </w:r>
    </w:p>
    <w:p w:rsidRPr="000D2049" w:rsidR="000E6723" w:rsidP="000E6723" w:rsidRDefault="000E6723" w14:paraId="2A63C50E" w14:textId="77777777">
      <w:r w:rsidRPr="000D2049">
        <w:t xml:space="preserve">Op </w:t>
      </w:r>
      <w:r>
        <w:t>2 en 3</w:t>
      </w:r>
      <w:r w:rsidRPr="000D2049">
        <w:t xml:space="preserve"> </w:t>
      </w:r>
      <w:r>
        <w:t>februari</w:t>
      </w:r>
      <w:r w:rsidRPr="000D2049">
        <w:t xml:space="preserve"> organiseert het </w:t>
      </w:r>
      <w:r>
        <w:t>Cypriotisch</w:t>
      </w:r>
      <w:r w:rsidRPr="000D2049">
        <w:t xml:space="preserve"> Voorzitterschap een informele Raad voor Concurrentievermogen (RvC) over </w:t>
      </w:r>
      <w:r>
        <w:t>het</w:t>
      </w:r>
      <w:r w:rsidRPr="000D2049">
        <w:t xml:space="preserve"> onderde</w:t>
      </w:r>
      <w:r>
        <w:t>el</w:t>
      </w:r>
      <w:r w:rsidRPr="000D2049">
        <w:t xml:space="preserve"> industrie en interne markt</w:t>
      </w:r>
      <w:r>
        <w:t>.</w:t>
      </w:r>
      <w:r w:rsidRPr="000D2049">
        <w:t xml:space="preserve"> Met deze brief stuur ik u de geannoteerde agenda met daarin een beschrijving van de discussiepunten en de Nederlandse inzet. </w:t>
      </w:r>
    </w:p>
    <w:p w:rsidRPr="002822CA" w:rsidR="000E6723" w:rsidP="000E6723" w:rsidRDefault="000E6723" w14:paraId="508B77A3" w14:textId="77777777"/>
    <w:p w:rsidRPr="005C65B5" w:rsidR="000E6723" w:rsidP="000E6723" w:rsidRDefault="000E6723" w14:paraId="117981FB" w14:textId="77777777"/>
    <w:p w:rsidR="000E6723" w:rsidP="000E6723" w:rsidRDefault="000E6723" w14:paraId="7D7C44E2" w14:textId="77777777"/>
    <w:p w:rsidRPr="005C65B5" w:rsidR="000E6723" w:rsidP="000E6723" w:rsidRDefault="000E6723" w14:paraId="236B95FA" w14:textId="77777777"/>
    <w:p w:rsidRPr="00591E4A" w:rsidR="000E6723" w:rsidP="000E6723" w:rsidRDefault="000E6723" w14:paraId="716565AB" w14:textId="77777777">
      <w:pPr>
        <w:rPr>
          <w:szCs w:val="18"/>
        </w:rPr>
      </w:pPr>
      <w:r>
        <w:rPr>
          <w:szCs w:val="18"/>
        </w:rPr>
        <w:t>Vincent Karremans</w:t>
      </w:r>
    </w:p>
    <w:p w:rsidRPr="00012B4F" w:rsidR="000E6723" w:rsidP="000E6723" w:rsidRDefault="000E6723" w14:paraId="59FA46C2" w14:textId="77777777">
      <w:r w:rsidRPr="005C65B5">
        <w:t>Minister van Economische Zaken</w:t>
      </w:r>
    </w:p>
    <w:p w:rsidR="000E6723" w:rsidP="000E6723" w:rsidRDefault="000E6723" w14:paraId="71796135" w14:textId="77777777"/>
    <w:p w:rsidR="000E6723" w:rsidP="000E6723" w:rsidRDefault="000E6723" w14:paraId="58931B33" w14:textId="77777777"/>
    <w:p w:rsidR="000E6723" w:rsidP="000E6723" w:rsidRDefault="000E6723" w14:paraId="1E875191" w14:textId="77777777"/>
    <w:p w:rsidR="000E6723" w:rsidP="000E6723" w:rsidRDefault="000E6723" w14:paraId="4850D994" w14:textId="77777777"/>
    <w:p w:rsidR="000E6723" w:rsidP="000E6723" w:rsidRDefault="000E6723" w14:paraId="60B7DB8E" w14:textId="77777777"/>
    <w:p w:rsidR="000E6723" w:rsidP="000E6723" w:rsidRDefault="000E6723" w14:paraId="086EB9CB" w14:textId="77777777"/>
    <w:p w:rsidR="000E6723" w:rsidP="000E6723" w:rsidRDefault="000E6723" w14:paraId="1ADA671B" w14:textId="77777777"/>
    <w:p w:rsidR="000E6723" w:rsidP="000E6723" w:rsidRDefault="000E6723" w14:paraId="47B23FCA" w14:textId="77777777"/>
    <w:p w:rsidR="000E6723" w:rsidP="000E6723" w:rsidRDefault="000E6723" w14:paraId="1C45FF14" w14:textId="77777777"/>
    <w:p w:rsidR="000E6723" w:rsidP="000E6723" w:rsidRDefault="000E6723" w14:paraId="44575BD0" w14:textId="77777777"/>
    <w:p w:rsidR="000E6723" w:rsidP="000E6723" w:rsidRDefault="000E6723" w14:paraId="666A0138" w14:textId="77777777"/>
    <w:p w:rsidR="000E6723" w:rsidP="000E6723" w:rsidRDefault="000E6723" w14:paraId="0BBDA633" w14:textId="77777777"/>
    <w:p w:rsidR="000E6723" w:rsidP="000E6723" w:rsidRDefault="000E6723" w14:paraId="059DB8BD" w14:textId="77777777"/>
    <w:p w:rsidR="000E6723" w:rsidP="000E6723" w:rsidRDefault="000E6723" w14:paraId="0EC4E5B5" w14:textId="77777777"/>
    <w:p w:rsidR="000E6723" w:rsidP="000E6723" w:rsidRDefault="000E6723" w14:paraId="32AD0953" w14:textId="77777777"/>
    <w:p w:rsidR="000E6723" w:rsidP="000E6723" w:rsidRDefault="000E6723" w14:paraId="334B9450" w14:textId="77777777"/>
    <w:p w:rsidR="000E6723" w:rsidP="000E6723" w:rsidRDefault="000E6723" w14:paraId="75858EC3" w14:textId="77777777"/>
    <w:p w:rsidR="000E6723" w:rsidP="000E6723" w:rsidRDefault="000E6723" w14:paraId="1FC2B68B" w14:textId="77777777"/>
    <w:p w:rsidR="000E6723" w:rsidP="000E6723" w:rsidRDefault="000E6723" w14:paraId="0BE1B4F6" w14:textId="77777777"/>
    <w:p w:rsidR="000E6723" w:rsidP="000E6723" w:rsidRDefault="000E6723" w14:paraId="6CE7F943" w14:textId="77777777"/>
    <w:p w:rsidR="00190F01" w:rsidRDefault="00190F01" w14:paraId="53CAB350" w14:textId="77777777">
      <w:pPr>
        <w:spacing w:line="240" w:lineRule="auto"/>
        <w:rPr>
          <w:rFonts w:eastAsia="Verdana" w:cs="Verdana"/>
          <w:b/>
          <w:bCs/>
          <w:color w:val="000000"/>
          <w:szCs w:val="18"/>
          <w:lang w:eastAsia="en-US"/>
        </w:rPr>
      </w:pPr>
      <w:r>
        <w:rPr>
          <w:rFonts w:eastAsia="Verdana" w:cs="Verdana"/>
          <w:b/>
          <w:bCs/>
          <w:color w:val="000000"/>
          <w:szCs w:val="18"/>
          <w:lang w:eastAsia="en-US"/>
        </w:rPr>
        <w:br w:type="page"/>
      </w:r>
    </w:p>
    <w:p w:rsidRPr="000D2049" w:rsidR="002F3154" w:rsidP="002F3154" w:rsidRDefault="002F3154" w14:paraId="046D671E" w14:textId="48A3ED12">
      <w:pPr>
        <w:spacing w:after="160"/>
        <w:rPr>
          <w:rFonts w:eastAsia="Verdana" w:cs="Verdana"/>
          <w:b/>
          <w:bCs/>
          <w:color w:val="000000"/>
          <w:szCs w:val="18"/>
          <w:lang w:eastAsia="en-US"/>
        </w:rPr>
      </w:pPr>
      <w:r w:rsidRPr="000D2049">
        <w:rPr>
          <w:rFonts w:eastAsia="Verdana" w:cs="Verdana"/>
          <w:b/>
          <w:bCs/>
          <w:color w:val="000000"/>
          <w:szCs w:val="18"/>
          <w:lang w:eastAsia="en-US"/>
        </w:rPr>
        <w:lastRenderedPageBreak/>
        <w:t xml:space="preserve">Inleiding </w:t>
      </w:r>
    </w:p>
    <w:p w:rsidRPr="000D2049" w:rsidR="002F3154" w:rsidP="002F3154" w:rsidRDefault="002F3154" w14:paraId="7419A730" w14:textId="77777777">
      <w:pPr>
        <w:spacing w:after="160"/>
        <w:rPr>
          <w:rFonts w:eastAsia="Verdana" w:cs="Verdana"/>
          <w:color w:val="000000"/>
          <w:szCs w:val="18"/>
          <w:lang w:eastAsia="en-US"/>
        </w:rPr>
      </w:pPr>
      <w:r w:rsidRPr="000D2049">
        <w:rPr>
          <w:rFonts w:eastAsia="Verdana" w:cs="Verdana"/>
          <w:color w:val="000000"/>
          <w:szCs w:val="18"/>
          <w:lang w:eastAsia="en-US"/>
        </w:rPr>
        <w:t xml:space="preserve">Op 2 en 3 februari 2026 vindt de informele Raad voor Concurrentievermogen (hierna: Raad) voor interne markt en industrie plaats in Nicosia, onder Cypriotisch voorzitterschap. </w:t>
      </w:r>
    </w:p>
    <w:p w:rsidRPr="000D2049" w:rsidR="002F3154" w:rsidP="002F3154" w:rsidRDefault="002F3154" w14:paraId="172FCC9C" w14:textId="77777777">
      <w:pPr>
        <w:rPr>
          <w:rFonts w:eastAsia="Verdana" w:cs="Verdana"/>
          <w:b/>
          <w:bCs/>
          <w:color w:val="000000"/>
          <w:szCs w:val="18"/>
          <w:lang w:eastAsia="en-US"/>
        </w:rPr>
      </w:pPr>
      <w:r w:rsidRPr="000D2049">
        <w:rPr>
          <w:rFonts w:eastAsia="Verdana" w:cs="Verdana"/>
          <w:b/>
          <w:bCs/>
          <w:color w:val="000000"/>
          <w:szCs w:val="18"/>
          <w:lang w:eastAsia="en-US"/>
        </w:rPr>
        <w:t>Versterken van de Europese defensie-industrie</w:t>
      </w:r>
    </w:p>
    <w:p w:rsidRPr="000D2049" w:rsidR="002F3154" w:rsidP="002F3154" w:rsidRDefault="002F3154" w14:paraId="1FC92D01" w14:textId="77777777">
      <w:pPr>
        <w:spacing w:after="160"/>
        <w:rPr>
          <w:rFonts w:eastAsia="Verdana" w:cs="Verdana"/>
          <w:b/>
          <w:bCs/>
          <w:i/>
          <w:iCs/>
          <w:color w:val="000000"/>
          <w:szCs w:val="18"/>
          <w:lang w:eastAsia="en-US"/>
        </w:rPr>
      </w:pPr>
      <w:r w:rsidRPr="000D2049">
        <w:rPr>
          <w:rFonts w:eastAsia="Verdana" w:cs="Verdana"/>
          <w:i/>
          <w:iCs/>
          <w:color w:val="000000"/>
          <w:szCs w:val="18"/>
          <w:lang w:eastAsia="en-US"/>
        </w:rPr>
        <w:t xml:space="preserve">Beleidsdebat  </w:t>
      </w:r>
    </w:p>
    <w:p w:rsidRPr="000D2049" w:rsidR="002F3154" w:rsidP="002F3154" w:rsidRDefault="002F3154" w14:paraId="03D038EA" w14:textId="77777777">
      <w:pPr>
        <w:rPr>
          <w:rFonts w:eastAsia="Verdana" w:cs="Verdana"/>
          <w:i/>
          <w:iCs/>
          <w:color w:val="000000"/>
          <w:szCs w:val="18"/>
          <w:lang w:eastAsia="en-US"/>
        </w:rPr>
      </w:pPr>
      <w:r w:rsidRPr="000D2049">
        <w:rPr>
          <w:rFonts w:eastAsia="Verdana" w:cs="Verdana"/>
          <w:i/>
          <w:iCs/>
          <w:color w:val="000000"/>
          <w:szCs w:val="18"/>
          <w:lang w:eastAsia="en-US"/>
        </w:rPr>
        <w:t>Toelichting agendapunt</w:t>
      </w:r>
    </w:p>
    <w:p w:rsidRPr="000D2049" w:rsidR="002F3154" w:rsidP="002F3154" w:rsidRDefault="002F3154" w14:paraId="6624094D" w14:textId="77777777">
      <w:pPr>
        <w:spacing w:after="160"/>
        <w:rPr>
          <w:rFonts w:eastAsia="Verdana" w:cs="Verdana"/>
          <w:color w:val="000000"/>
          <w:lang w:eastAsia="en-US"/>
        </w:rPr>
      </w:pPr>
      <w:r w:rsidRPr="231CDB31">
        <w:rPr>
          <w:rFonts w:eastAsia="Verdana" w:cs="Verdana"/>
          <w:color w:val="000000" w:themeColor="text1"/>
          <w:lang w:eastAsia="en-US"/>
        </w:rPr>
        <w:t>Tijdens de RvC zal gesproken worden over het versterken van de Europese Defensie Technologie</w:t>
      </w:r>
      <w:r>
        <w:rPr>
          <w:rFonts w:eastAsia="Verdana" w:cs="Verdana"/>
          <w:color w:val="000000" w:themeColor="text1"/>
          <w:lang w:eastAsia="en-US"/>
        </w:rPr>
        <w:t xml:space="preserve"> en </w:t>
      </w:r>
      <w:r w:rsidRPr="231CDB31">
        <w:rPr>
          <w:rFonts w:eastAsia="Verdana" w:cs="Verdana"/>
          <w:color w:val="000000" w:themeColor="text1"/>
          <w:lang w:eastAsia="en-US"/>
        </w:rPr>
        <w:t xml:space="preserve">Industriële Basis. Een centraal obstakel voor het versterken van het concurrentievermogen van de defensiesector blijft het gebrek aan schaal. </w:t>
      </w:r>
    </w:p>
    <w:p w:rsidRPr="000D2049" w:rsidR="002F3154" w:rsidP="002F3154" w:rsidRDefault="002F3154" w14:paraId="0F85B3D4" w14:textId="77777777">
      <w:pPr>
        <w:spacing w:after="160"/>
        <w:rPr>
          <w:rFonts w:eastAsia="Verdana" w:cs="Verdana"/>
          <w:lang w:eastAsia="en-US"/>
        </w:rPr>
      </w:pPr>
      <w:r w:rsidRPr="231CDB31">
        <w:rPr>
          <w:rFonts w:eastAsia="Verdana" w:cs="Verdana"/>
          <w:lang w:eastAsia="en-US"/>
        </w:rPr>
        <w:t xml:space="preserve">In maart zal de Commissie naar verwachting een mededeling publiceren over de interne markt voor defensie. De mededeling zal plannen uiteenzetten voor het Europeaniseren van defensieproductieketens, nieuwe grensoverschrijdende industriële samenwerkingen </w:t>
      </w:r>
      <w:r>
        <w:rPr>
          <w:rFonts w:eastAsia="Verdana" w:cs="Verdana"/>
          <w:lang w:eastAsia="en-US"/>
        </w:rPr>
        <w:t xml:space="preserve">te bevorderen </w:t>
      </w:r>
      <w:r w:rsidRPr="231CDB31">
        <w:rPr>
          <w:rFonts w:eastAsia="Verdana" w:cs="Verdana"/>
          <w:lang w:eastAsia="en-US"/>
        </w:rPr>
        <w:t>en</w:t>
      </w:r>
      <w:r>
        <w:rPr>
          <w:rFonts w:eastAsia="Verdana" w:cs="Verdana"/>
          <w:lang w:eastAsia="en-US"/>
        </w:rPr>
        <w:t xml:space="preserve"> verbeterde toegang</w:t>
      </w:r>
      <w:r w:rsidRPr="231CDB31">
        <w:rPr>
          <w:rFonts w:eastAsia="Verdana" w:cs="Verdana"/>
          <w:lang w:eastAsia="en-US"/>
        </w:rPr>
        <w:t xml:space="preserve"> van mkb’s en start- en scale-ups </w:t>
      </w:r>
      <w:r>
        <w:rPr>
          <w:rFonts w:eastAsia="Verdana" w:cs="Verdana"/>
          <w:lang w:eastAsia="en-US"/>
        </w:rPr>
        <w:t>tot</w:t>
      </w:r>
      <w:r w:rsidRPr="231CDB31">
        <w:rPr>
          <w:rFonts w:eastAsia="Verdana" w:cs="Verdana"/>
          <w:lang w:eastAsia="en-US"/>
        </w:rPr>
        <w:t xml:space="preserve"> deze ketens.</w:t>
      </w:r>
    </w:p>
    <w:p w:rsidRPr="000D2049" w:rsidR="002F3154" w:rsidP="002F3154" w:rsidRDefault="002F3154" w14:paraId="1750923A" w14:textId="77777777">
      <w:pPr>
        <w:rPr>
          <w:rFonts w:eastAsia="Verdana" w:cs="Verdana"/>
          <w:i/>
          <w:iCs/>
          <w:color w:val="000000"/>
          <w:szCs w:val="18"/>
          <w:lang w:eastAsia="en-US"/>
        </w:rPr>
      </w:pPr>
      <w:r w:rsidRPr="000D2049">
        <w:rPr>
          <w:rFonts w:eastAsia="Verdana" w:cs="Verdana"/>
          <w:i/>
          <w:iCs/>
          <w:color w:val="000000"/>
          <w:szCs w:val="18"/>
          <w:lang w:eastAsia="en-US"/>
        </w:rPr>
        <w:t xml:space="preserve">Nederlandse positie </w:t>
      </w:r>
    </w:p>
    <w:p w:rsidRPr="00C2237D" w:rsidR="002F3154" w:rsidP="002F3154" w:rsidRDefault="002F3154" w14:paraId="0906761E" w14:textId="77777777">
      <w:pPr>
        <w:spacing w:after="160"/>
        <w:rPr>
          <w:rFonts w:eastAsia="Verdana" w:cs="Verdana"/>
          <w:lang w:eastAsia="en-US"/>
        </w:rPr>
      </w:pPr>
      <w:r w:rsidRPr="00AD5EFB">
        <w:rPr>
          <w:rFonts w:eastAsia="Verdana" w:cs="Verdana"/>
          <w:lang w:eastAsia="en-US"/>
        </w:rPr>
        <w:t>Nederland heeft kennisgenomen van de plannen van de Europese Commissie om een mededeling te publiceren over de interne markt voor defensie.</w:t>
      </w:r>
      <w:r>
        <w:rPr>
          <w:rFonts w:eastAsia="Verdana" w:cs="Verdana"/>
          <w:lang w:eastAsia="en-US"/>
        </w:rPr>
        <w:t xml:space="preserve"> </w:t>
      </w:r>
      <w:r w:rsidRPr="00C2237D">
        <w:rPr>
          <w:rFonts w:eastAsia="Verdana" w:cs="Verdana"/>
          <w:lang w:eastAsia="en-US"/>
        </w:rPr>
        <w:t>De Kamer zal via de reguliere processen worden geïnformeerd over de mededeling over de interne markt voor Defensie na publicatie. Nederland zet zich in algemene zin via Europese programma’s gericht op defensie-industrie in op het Europeaniseren van defensieproductieketens, nieuwe grensoverschrijdende industriële samenwerkingen en integratie van mkb’s en start/scale-ups in toeleveringsketens. Nederland zet zich actief in voor de positionering van de Nederlandse defensie-industrie in internationale en Europese ontwikkel- en aanschaftrajecten via financiële bijdragen en andere ondersteunende maatregel</w:t>
      </w:r>
      <w:r>
        <w:rPr>
          <w:rFonts w:eastAsia="Verdana" w:cs="Verdana"/>
          <w:lang w:eastAsia="en-US"/>
        </w:rPr>
        <w:t>en.</w:t>
      </w:r>
    </w:p>
    <w:p w:rsidRPr="000D2049" w:rsidR="002F3154" w:rsidP="002F3154" w:rsidRDefault="002F3154" w14:paraId="57EE1578" w14:textId="77777777">
      <w:pPr>
        <w:rPr>
          <w:rFonts w:eastAsia="Verdana" w:cs="Verdana"/>
          <w:i/>
          <w:iCs/>
          <w:color w:val="000000"/>
          <w:szCs w:val="18"/>
          <w:lang w:eastAsia="en-US"/>
        </w:rPr>
      </w:pPr>
      <w:r w:rsidRPr="000D2049">
        <w:rPr>
          <w:rFonts w:eastAsia="Verdana" w:cs="Verdana"/>
          <w:i/>
          <w:iCs/>
          <w:color w:val="000000"/>
          <w:szCs w:val="18"/>
          <w:lang w:eastAsia="en-US"/>
        </w:rPr>
        <w:t xml:space="preserve">Krachtenveld  </w:t>
      </w:r>
    </w:p>
    <w:p w:rsidRPr="0059156D" w:rsidR="002F3154" w:rsidP="002F3154" w:rsidRDefault="002F3154" w14:paraId="63BA7BC0" w14:textId="2FCEC7FA">
      <w:pPr>
        <w:rPr>
          <w:rFonts w:eastAsia="Verdana" w:cs="Verdana"/>
          <w:lang w:eastAsia="en-US"/>
        </w:rPr>
      </w:pPr>
      <w:r w:rsidRPr="0059156D">
        <w:rPr>
          <w:rFonts w:eastAsia="Verdana" w:cs="Verdana"/>
          <w:lang w:eastAsia="en-US"/>
        </w:rPr>
        <w:t xml:space="preserve">In algemene zin is er onder de meeste lidstaten steun voor het wegnemen van belemmeringen in de interne defensiemarkt. Tussen lidstaten bestaat echter verschil van inzicht over de manier waarop de Europese </w:t>
      </w:r>
      <w:r w:rsidR="00535B16">
        <w:rPr>
          <w:rFonts w:eastAsia="Verdana" w:cs="Verdana"/>
          <w:lang w:eastAsia="en-US"/>
        </w:rPr>
        <w:t>Unie</w:t>
      </w:r>
      <w:r w:rsidRPr="0059156D">
        <w:rPr>
          <w:rFonts w:eastAsia="Verdana" w:cs="Verdana"/>
          <w:lang w:eastAsia="en-US"/>
        </w:rPr>
        <w:t xml:space="preserve"> dit kan faciliteren.</w:t>
      </w:r>
    </w:p>
    <w:p w:rsidR="002F3154" w:rsidP="002F3154" w:rsidRDefault="002F3154" w14:paraId="042A68D1" w14:textId="77777777">
      <w:pPr>
        <w:rPr>
          <w:rFonts w:eastAsia="Verdana" w:cs="Verdana"/>
          <w:b/>
          <w:bCs/>
          <w:color w:val="000000"/>
          <w:szCs w:val="18"/>
          <w:lang w:eastAsia="en-US"/>
        </w:rPr>
      </w:pPr>
    </w:p>
    <w:p w:rsidRPr="000D2049" w:rsidR="002F3154" w:rsidP="002F3154" w:rsidRDefault="002F3154" w14:paraId="6A03DB43" w14:textId="77777777">
      <w:pPr>
        <w:rPr>
          <w:rFonts w:eastAsia="Verdana" w:cs="Verdana"/>
          <w:b/>
          <w:bCs/>
          <w:color w:val="000000"/>
          <w:szCs w:val="18"/>
          <w:lang w:eastAsia="en-US"/>
        </w:rPr>
      </w:pPr>
      <w:r w:rsidRPr="000D2049">
        <w:rPr>
          <w:rFonts w:eastAsia="Verdana" w:cs="Verdana"/>
          <w:b/>
          <w:bCs/>
          <w:color w:val="000000"/>
          <w:szCs w:val="18"/>
          <w:lang w:eastAsia="en-US"/>
        </w:rPr>
        <w:t>Concurrentievermogen kompas - een jaar later</w:t>
      </w:r>
    </w:p>
    <w:p w:rsidRPr="000D2049" w:rsidR="002F3154" w:rsidP="002F3154" w:rsidRDefault="002F3154" w14:paraId="30FF822A" w14:textId="77777777">
      <w:pPr>
        <w:spacing w:after="160"/>
        <w:rPr>
          <w:rFonts w:eastAsia="Verdana" w:cs="Verdana"/>
          <w:b/>
          <w:bCs/>
          <w:i/>
          <w:iCs/>
          <w:color w:val="000000"/>
          <w:szCs w:val="18"/>
          <w:lang w:eastAsia="en-US"/>
        </w:rPr>
      </w:pPr>
      <w:r w:rsidRPr="000D2049">
        <w:rPr>
          <w:rFonts w:eastAsia="Verdana" w:cs="Verdana"/>
          <w:i/>
          <w:iCs/>
          <w:color w:val="000000"/>
          <w:szCs w:val="18"/>
          <w:lang w:eastAsia="en-US"/>
        </w:rPr>
        <w:t xml:space="preserve">Beleidsdebat  </w:t>
      </w:r>
    </w:p>
    <w:p w:rsidRPr="000D2049" w:rsidR="002F3154" w:rsidP="002F3154" w:rsidRDefault="002F3154" w14:paraId="55316384" w14:textId="77777777">
      <w:pPr>
        <w:rPr>
          <w:rFonts w:eastAsia="Verdana" w:cs="Verdana"/>
          <w:i/>
          <w:iCs/>
          <w:color w:val="000000"/>
          <w:szCs w:val="18"/>
          <w:lang w:eastAsia="en-US"/>
        </w:rPr>
      </w:pPr>
      <w:r w:rsidRPr="000D2049">
        <w:rPr>
          <w:rFonts w:eastAsia="Verdana" w:cs="Verdana"/>
          <w:i/>
          <w:iCs/>
          <w:color w:val="000000"/>
          <w:szCs w:val="18"/>
          <w:lang w:eastAsia="en-US"/>
        </w:rPr>
        <w:t>Toelichting agendapunt</w:t>
      </w:r>
    </w:p>
    <w:p w:rsidRPr="000D2049" w:rsidR="002F3154" w:rsidP="002F3154" w:rsidRDefault="002F3154" w14:paraId="62C3AC1F" w14:textId="77777777">
      <w:pPr>
        <w:spacing w:after="160"/>
        <w:rPr>
          <w:rFonts w:eastAsia="Verdana" w:cs="Verdana"/>
          <w:color w:val="000000"/>
          <w:lang w:eastAsia="en-US"/>
        </w:rPr>
      </w:pPr>
      <w:r w:rsidRPr="231CDB31">
        <w:rPr>
          <w:rFonts w:eastAsia="Verdana" w:cs="Verdana"/>
          <w:color w:val="000000" w:themeColor="text1"/>
          <w:lang w:eastAsia="en-US"/>
        </w:rPr>
        <w:t xml:space="preserve">Tijdens de informele Raad zal besproken worden wat de voortgang is van de verschillende initiatieven die een jaar geleden in het Concurrentievermogen Kompas door de Commissie zijn  aangekondigd. Hierbij vraagt het voorzitterschap in het bijzonder aandacht voor het mkb en start-ups. </w:t>
      </w:r>
    </w:p>
    <w:p w:rsidRPr="000D2049" w:rsidR="002F3154" w:rsidP="002F3154" w:rsidRDefault="002F3154" w14:paraId="07AF140E" w14:textId="77777777">
      <w:pPr>
        <w:rPr>
          <w:rFonts w:eastAsia="Verdana" w:cs="Verdana"/>
          <w:i/>
          <w:iCs/>
          <w:color w:val="000000"/>
          <w:szCs w:val="18"/>
          <w:lang w:eastAsia="en-US"/>
        </w:rPr>
      </w:pPr>
      <w:r w:rsidRPr="000D2049">
        <w:rPr>
          <w:rFonts w:eastAsia="Verdana" w:cs="Verdana"/>
          <w:i/>
          <w:iCs/>
          <w:color w:val="000000"/>
          <w:szCs w:val="18"/>
          <w:lang w:eastAsia="en-US"/>
        </w:rPr>
        <w:t xml:space="preserve">Nederlandse positie </w:t>
      </w:r>
    </w:p>
    <w:p w:rsidRPr="000D2049" w:rsidR="002F3154" w:rsidP="002F3154" w:rsidRDefault="002F3154" w14:paraId="62A11B0D" w14:textId="77777777">
      <w:pPr>
        <w:spacing w:after="160"/>
        <w:rPr>
          <w:rFonts w:eastAsia="Verdana" w:cs="Verdana"/>
          <w:color w:val="000000"/>
          <w:lang w:eastAsia="en-US"/>
        </w:rPr>
      </w:pPr>
      <w:r w:rsidRPr="231CDB31">
        <w:rPr>
          <w:rFonts w:eastAsia="Verdana" w:cs="Verdana"/>
          <w:color w:val="000000" w:themeColor="text1"/>
          <w:lang w:eastAsia="en-US"/>
        </w:rPr>
        <w:t xml:space="preserve">Het kabinet is positief over het feit dat onder het Cypriotisch voorzitterschap EU- concurrentievermogen hoog op de agenda blijft staan. Het Kompas vormt hiervoor de leidraad van de Europese Commissie gedurende deze Commissieperiode. Een bespreking van de voortgang van de initiatieven onder het Kompas, een jaar na dato van publicatie, ziet het kabinet dan ook als tijdig. Daarbij verwelkomt het kabinet de aandacht voor het mkb, gelet op de belangrijke rol die het mkb speelt in de Nederlandse economie. </w:t>
      </w:r>
    </w:p>
    <w:p w:rsidRPr="000D2049" w:rsidR="002F3154" w:rsidP="002F3154" w:rsidRDefault="002F3154" w14:paraId="5997A3E1" w14:textId="77777777">
      <w:pPr>
        <w:spacing w:after="160"/>
        <w:rPr>
          <w:rFonts w:eastAsia="Verdana" w:cs="Verdana"/>
          <w:color w:val="000000"/>
          <w:lang w:eastAsia="en-US"/>
        </w:rPr>
      </w:pPr>
      <w:r w:rsidRPr="231CDB31">
        <w:rPr>
          <w:rFonts w:eastAsia="Verdana" w:cs="Verdana"/>
          <w:color w:val="000000" w:themeColor="text1"/>
          <w:lang w:eastAsia="en-US"/>
        </w:rPr>
        <w:lastRenderedPageBreak/>
        <w:t>In haar interventie zal Nederland aangeven dat het de initiatieven om regeldruk te verminderen die voortvloeien uit het kompas verwelkomt en de omnibussen daarbij als belangrijk middel ziet om snelle resultaten te boeken, mits de doelen uit de vereenvoudigde regels overeind blijven. Tegelijkertijd vindt het kabinet het van belang dat regeldruk door de Commissie proactief en zo goed mogelijk wordt meegewogen bij nieuwe initiatieven, om noodzakelijke correcties in de toekomst zoveel mogelijk te voorkomen. Dit is belangrijk voor de rechtszekerheid van het bedrijfsleven</w:t>
      </w:r>
      <w:r>
        <w:rPr>
          <w:rFonts w:eastAsia="Verdana" w:cs="Verdana"/>
          <w:color w:val="000000" w:themeColor="text1"/>
          <w:lang w:eastAsia="en-US"/>
        </w:rPr>
        <w:t xml:space="preserve"> en het investeringsklimaat</w:t>
      </w:r>
      <w:r w:rsidRPr="231CDB31">
        <w:rPr>
          <w:rFonts w:eastAsia="Verdana" w:cs="Verdana"/>
          <w:color w:val="000000" w:themeColor="text1"/>
          <w:lang w:eastAsia="en-US"/>
        </w:rPr>
        <w:t xml:space="preserve">. </w:t>
      </w:r>
    </w:p>
    <w:p w:rsidRPr="000D2049" w:rsidR="002F3154" w:rsidP="002F3154" w:rsidRDefault="002F3154" w14:paraId="2976C6A2" w14:textId="77777777">
      <w:pPr>
        <w:spacing w:after="160"/>
        <w:rPr>
          <w:rFonts w:eastAsia="Verdana" w:cs="Verdana"/>
          <w:color w:val="000000"/>
          <w:lang w:eastAsia="en-US"/>
        </w:rPr>
      </w:pPr>
      <w:r w:rsidRPr="231CDB31">
        <w:rPr>
          <w:rFonts w:eastAsia="Verdana" w:cs="Verdana"/>
          <w:color w:val="000000" w:themeColor="text1"/>
          <w:lang w:eastAsia="en-US"/>
        </w:rPr>
        <w:t xml:space="preserve">Ook zal Nederland aangeven dat bij het verder uitwerken van de aankondigingen uit het Kompas consistentie en samenhang tussen de verschillende (sectorale) initiatieven van belang zijn om het concurrentievermogen effectief te versterken. Hier zou het kabinet meer aandacht voor willen zien vanuit de Commissie. Ook zal het kabinet aangeven een nauwere verbinding tussen de concurrentievermogen-agenda en de handelsagenda te willen zien en dat ook weerbaarheid </w:t>
      </w:r>
      <w:r>
        <w:rPr>
          <w:rFonts w:eastAsia="Verdana" w:cs="Verdana"/>
          <w:color w:val="000000" w:themeColor="text1"/>
          <w:lang w:eastAsia="en-US"/>
        </w:rPr>
        <w:t>na</w:t>
      </w:r>
      <w:r w:rsidRPr="231CDB31">
        <w:rPr>
          <w:rFonts w:eastAsia="Verdana" w:cs="Verdana"/>
          <w:color w:val="000000" w:themeColor="text1"/>
          <w:lang w:eastAsia="en-US"/>
        </w:rPr>
        <w:t xml:space="preserve">drukkelijker </w:t>
      </w:r>
      <w:r>
        <w:rPr>
          <w:rFonts w:eastAsia="Verdana" w:cs="Verdana"/>
          <w:color w:val="000000" w:themeColor="text1"/>
          <w:lang w:eastAsia="en-US"/>
        </w:rPr>
        <w:t>moet</w:t>
      </w:r>
      <w:r w:rsidRPr="231CDB31">
        <w:rPr>
          <w:rFonts w:eastAsia="Verdana" w:cs="Verdana"/>
          <w:color w:val="000000" w:themeColor="text1"/>
          <w:lang w:eastAsia="en-US"/>
        </w:rPr>
        <w:t xml:space="preserve"> worden meegenomen bij het uitwerken van concurrentievermogen-maatregelen. </w:t>
      </w:r>
    </w:p>
    <w:p w:rsidRPr="000D2049" w:rsidR="002F3154" w:rsidP="002F3154" w:rsidRDefault="002F3154" w14:paraId="4CAEEACD" w14:textId="77777777">
      <w:pPr>
        <w:rPr>
          <w:rFonts w:eastAsia="Verdana" w:cs="Verdana"/>
          <w:i/>
          <w:iCs/>
          <w:color w:val="000000"/>
          <w:szCs w:val="18"/>
          <w:lang w:eastAsia="en-US"/>
        </w:rPr>
      </w:pPr>
      <w:r w:rsidRPr="000D2049">
        <w:rPr>
          <w:rFonts w:eastAsia="Verdana" w:cs="Verdana"/>
          <w:i/>
          <w:iCs/>
          <w:color w:val="000000"/>
          <w:szCs w:val="18"/>
          <w:lang w:eastAsia="en-US"/>
        </w:rPr>
        <w:t xml:space="preserve">Krachtenveld </w:t>
      </w:r>
    </w:p>
    <w:p w:rsidRPr="000D2049" w:rsidR="002F3154" w:rsidP="002F3154" w:rsidRDefault="002F3154" w14:paraId="6D728BEB" w14:textId="77777777">
      <w:pPr>
        <w:spacing w:after="160"/>
        <w:rPr>
          <w:rFonts w:eastAsia="Verdana" w:cs="Verdana"/>
          <w:color w:val="000000"/>
          <w:lang w:eastAsia="en-US"/>
        </w:rPr>
      </w:pPr>
      <w:r w:rsidRPr="231CDB31">
        <w:rPr>
          <w:rFonts w:eastAsia="Verdana" w:cs="Verdana"/>
          <w:color w:val="000000" w:themeColor="text1"/>
          <w:lang w:eastAsia="en-US"/>
        </w:rPr>
        <w:t xml:space="preserve">Alle EU-lidstaten onderschrijven het belang van de versterking van het EU-Concurrentievermogen, maar waar met betrekking tot  het Kompas de nadruk op wordt gelegd verschilt. Voor sommige lidstaten is verduurzaming van de traditionele industrie het belangrijkste, voor andere lidstaten  ligt de nadruk op innovatie en nieuwe markten. Weer andere lidstaten leggen de voorkeur bij een focus op randvoorwaarden en de interne markt. </w:t>
      </w:r>
    </w:p>
    <w:p w:rsidRPr="000D2049" w:rsidR="002F3154" w:rsidP="002F3154" w:rsidRDefault="002F3154" w14:paraId="5E6EA138" w14:textId="77777777">
      <w:pPr>
        <w:rPr>
          <w:rFonts w:eastAsia="Verdana" w:cs="Verdana"/>
          <w:b/>
          <w:bCs/>
          <w:color w:val="000000"/>
          <w:szCs w:val="18"/>
          <w:lang w:eastAsia="en-US"/>
        </w:rPr>
      </w:pPr>
      <w:r w:rsidRPr="000D2049">
        <w:rPr>
          <w:rFonts w:eastAsia="Verdana" w:cs="Verdana"/>
          <w:b/>
          <w:bCs/>
          <w:color w:val="000000"/>
          <w:szCs w:val="18"/>
          <w:lang w:eastAsia="en-US"/>
        </w:rPr>
        <w:t>Naar 2030: een sterkere, eerlijkere, en veiligere interne markt voor Europese consumenten</w:t>
      </w:r>
    </w:p>
    <w:p w:rsidRPr="000D2049" w:rsidR="002F3154" w:rsidP="002F3154" w:rsidRDefault="002F3154" w14:paraId="552BBC15" w14:textId="77777777">
      <w:pPr>
        <w:spacing w:after="160"/>
        <w:rPr>
          <w:rFonts w:eastAsia="Verdana" w:cs="Verdana"/>
          <w:i/>
          <w:iCs/>
          <w:color w:val="000000"/>
          <w:szCs w:val="18"/>
          <w:lang w:eastAsia="en-US"/>
        </w:rPr>
      </w:pPr>
      <w:r w:rsidRPr="000D2049">
        <w:rPr>
          <w:rFonts w:eastAsia="Verdana" w:cs="Verdana"/>
          <w:i/>
          <w:iCs/>
          <w:color w:val="000000"/>
          <w:szCs w:val="18"/>
          <w:lang w:eastAsia="en-US"/>
        </w:rPr>
        <w:t xml:space="preserve">Lunchdebat </w:t>
      </w:r>
    </w:p>
    <w:p w:rsidRPr="000D2049" w:rsidR="002F3154" w:rsidP="002F3154" w:rsidRDefault="002F3154" w14:paraId="09DB4A33" w14:textId="77777777">
      <w:pPr>
        <w:rPr>
          <w:rFonts w:eastAsia="Verdana" w:cs="Verdana"/>
          <w:i/>
          <w:iCs/>
          <w:color w:val="000000"/>
          <w:szCs w:val="18"/>
          <w:lang w:eastAsia="en-US"/>
        </w:rPr>
      </w:pPr>
      <w:r w:rsidRPr="000D2049">
        <w:rPr>
          <w:rFonts w:eastAsia="Verdana" w:cs="Verdana"/>
          <w:i/>
          <w:iCs/>
          <w:color w:val="000000"/>
          <w:szCs w:val="18"/>
          <w:lang w:eastAsia="en-US"/>
        </w:rPr>
        <w:t>Toelichting agendapunt</w:t>
      </w:r>
    </w:p>
    <w:p w:rsidRPr="000D2049" w:rsidR="002F3154" w:rsidP="002F3154" w:rsidRDefault="002F3154" w14:paraId="3CBA2E77" w14:textId="77777777">
      <w:pPr>
        <w:spacing w:after="160"/>
        <w:rPr>
          <w:rFonts w:eastAsia="Verdana" w:cs="Verdana"/>
          <w:lang w:eastAsia="en-US"/>
        </w:rPr>
      </w:pPr>
      <w:r w:rsidRPr="231CDB31">
        <w:rPr>
          <w:rFonts w:eastAsia="Verdana" w:cs="Verdana"/>
          <w:color w:val="000000" w:themeColor="text1"/>
          <w:lang w:eastAsia="en-US"/>
        </w:rPr>
        <w:t xml:space="preserve">Tijdens de informele Raad zal de Europese </w:t>
      </w:r>
      <w:r w:rsidRPr="231CDB31">
        <w:rPr>
          <w:rFonts w:eastAsia="Verdana" w:cs="Verdana"/>
          <w:lang w:eastAsia="en-US"/>
        </w:rPr>
        <w:t>consumentenagenda 2025-2030, inclusief een interne-marktactieplan voor consumenten, worden besproken. De Europese Commissie presenteerde op 19 november 2025 deze agenda. De agenda bevat ongeveer twintig concrete acties verdeeld over vier prioriteiten: 1) de interne markt voor consumenten versterken; 2) consumenten beter beschermen in de digitale economie; 3) duurzame consumptie bevorderen; 4) handhaving. Simplificatie, verminderen van regeldruk en het beschermen van de consument in kwetsbare situaties staan centraal in de agenda.</w:t>
      </w:r>
    </w:p>
    <w:p w:rsidRPr="000D2049" w:rsidR="002F3154" w:rsidP="002F3154" w:rsidRDefault="002F3154" w14:paraId="4D955DF3" w14:textId="77777777">
      <w:pPr>
        <w:rPr>
          <w:rFonts w:eastAsia="Verdana" w:cs="Verdana"/>
          <w:i/>
          <w:iCs/>
          <w:color w:val="000000"/>
          <w:szCs w:val="18"/>
          <w:lang w:eastAsia="en-US"/>
        </w:rPr>
      </w:pPr>
      <w:r w:rsidRPr="000D2049">
        <w:rPr>
          <w:rFonts w:eastAsia="Verdana" w:cs="Verdana"/>
          <w:i/>
          <w:iCs/>
          <w:color w:val="000000"/>
          <w:szCs w:val="18"/>
          <w:lang w:eastAsia="en-US"/>
        </w:rPr>
        <w:t xml:space="preserve">Nederlandse positie </w:t>
      </w:r>
    </w:p>
    <w:p w:rsidRPr="000D2049" w:rsidR="002F3154" w:rsidP="002F3154" w:rsidRDefault="002F3154" w14:paraId="7642217E" w14:textId="033641DB">
      <w:pPr>
        <w:rPr>
          <w:rFonts w:eastAsia="Verdana" w:cs="Verdana"/>
          <w:color w:val="000000"/>
          <w:lang w:eastAsia="en-US"/>
        </w:rPr>
      </w:pPr>
      <w:r w:rsidRPr="231CDB31">
        <w:rPr>
          <w:rFonts w:eastAsia="Verdana" w:cs="Verdana"/>
          <w:lang w:eastAsia="en-US"/>
        </w:rPr>
        <w:t>Het kabinet verwelkomt de consumentenagenda en het interne-marktactieplan. Ze sluiten goed aan bij het Nederlandse non-paper</w:t>
      </w:r>
      <w:r w:rsidRPr="231CDB31">
        <w:rPr>
          <w:rFonts w:eastAsia="Verdana" w:cs="Verdana"/>
          <w:vertAlign w:val="superscript"/>
          <w:lang w:eastAsia="en-US"/>
        </w:rPr>
        <w:footnoteReference w:id="1"/>
      </w:r>
      <w:r w:rsidRPr="231CDB31">
        <w:rPr>
          <w:rFonts w:eastAsia="Verdana" w:cs="Verdana"/>
          <w:lang w:eastAsia="en-US"/>
        </w:rPr>
        <w:t xml:space="preserve"> en prioriteiten zoals een sterke interne markt, betere regelgeving, regeldrukvermindering, effectieve consumentenbescherming en circulaire economie. Ook zijn ze in lijn met digitale wet- en regelgeving en bredere Europese strategieën zoals de horizontale interne-marktstrategie</w:t>
      </w:r>
      <w:r w:rsidR="00BC4C74">
        <w:rPr>
          <w:rFonts w:eastAsia="Verdana" w:cs="Verdana"/>
          <w:lang w:eastAsia="en-US"/>
        </w:rPr>
        <w:t>.</w:t>
      </w:r>
      <w:r w:rsidRPr="231CDB31">
        <w:rPr>
          <w:rFonts w:eastAsia="Verdana" w:cs="Verdana"/>
          <w:vertAlign w:val="superscript"/>
          <w:lang w:eastAsia="en-US"/>
        </w:rPr>
        <w:footnoteReference w:id="2"/>
      </w:r>
      <w:r w:rsidRPr="231CDB31">
        <w:rPr>
          <w:rFonts w:eastAsia="Verdana" w:cs="Verdana"/>
          <w:lang w:eastAsia="en-US"/>
        </w:rPr>
        <w:t xml:space="preserve"> Het kabinet zal zich actief inzetten voor een ambitieuze uitvoering van de agenda en het actieplan en zal in dit kader ook speciale aandacht hebben voor het verminderen van administratieve lasten en betere regelgeving.</w:t>
      </w:r>
    </w:p>
    <w:p w:rsidRPr="000D2049" w:rsidR="002F3154" w:rsidP="002F3154" w:rsidRDefault="002F3154" w14:paraId="7D9281D6" w14:textId="77777777">
      <w:pPr>
        <w:rPr>
          <w:rFonts w:eastAsia="Verdana" w:cs="Verdana"/>
          <w:i/>
          <w:iCs/>
          <w:color w:val="000000"/>
          <w:szCs w:val="18"/>
          <w:lang w:eastAsia="en-US"/>
        </w:rPr>
      </w:pPr>
      <w:r w:rsidRPr="000D2049">
        <w:rPr>
          <w:rFonts w:eastAsia="Verdana" w:cs="Verdana"/>
          <w:i/>
          <w:iCs/>
          <w:color w:val="000000"/>
          <w:szCs w:val="18"/>
          <w:lang w:eastAsia="en-US"/>
        </w:rPr>
        <w:lastRenderedPageBreak/>
        <w:t xml:space="preserve">Krachtenveld  </w:t>
      </w:r>
    </w:p>
    <w:p w:rsidR="004425CC" w:rsidP="002F3154" w:rsidRDefault="002F3154" w14:paraId="35B7B42B" w14:textId="788BE414">
      <w:pPr>
        <w:spacing w:after="160"/>
      </w:pPr>
      <w:r w:rsidRPr="000D2049">
        <w:rPr>
          <w:rFonts w:eastAsia="Verdana" w:cs="Verdana"/>
          <w:szCs w:val="18"/>
          <w:lang w:eastAsia="en-US"/>
        </w:rPr>
        <w:t xml:space="preserve">Vrijwel alle lidstaten verwelkomen de consumentenagenda. Lidstaten hebben verschillende prioriteiten waar ze nadruk aan geven, bijvoorbeeld de herziening van de </w:t>
      </w:r>
      <w:r w:rsidRPr="000D2049">
        <w:rPr>
          <w:rFonts w:eastAsia="Verdana" w:cs="Verdana"/>
          <w:i/>
          <w:iCs/>
          <w:szCs w:val="18"/>
          <w:lang w:eastAsia="en-US"/>
        </w:rPr>
        <w:t>Consumer Protection Cooperation Regulation</w:t>
      </w:r>
      <w:r w:rsidRPr="000D2049">
        <w:rPr>
          <w:rFonts w:eastAsia="Verdana" w:cs="Verdana"/>
          <w:szCs w:val="18"/>
          <w:lang w:eastAsia="en-US"/>
        </w:rPr>
        <w:t xml:space="preserve"> (CPC) of de aanpak van fraude of territoriale leveringsbeperkingen.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E741" w14:textId="77777777" w:rsidR="001129C0" w:rsidRDefault="001129C0">
      <w:r>
        <w:separator/>
      </w:r>
    </w:p>
    <w:p w14:paraId="36259376" w14:textId="77777777" w:rsidR="001129C0" w:rsidRDefault="001129C0"/>
  </w:endnote>
  <w:endnote w:type="continuationSeparator" w:id="0">
    <w:p w14:paraId="6B938321" w14:textId="77777777" w:rsidR="001129C0" w:rsidRDefault="001129C0">
      <w:r>
        <w:continuationSeparator/>
      </w:r>
    </w:p>
    <w:p w14:paraId="151A85E6" w14:textId="77777777" w:rsidR="001129C0" w:rsidRDefault="00112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C9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570E6" w14:paraId="7CEF803D" w14:textId="77777777" w:rsidTr="00CA6A25">
      <w:trPr>
        <w:trHeight w:hRule="exact" w:val="240"/>
      </w:trPr>
      <w:tc>
        <w:tcPr>
          <w:tcW w:w="7601" w:type="dxa"/>
        </w:tcPr>
        <w:p w14:paraId="0BF8C975" w14:textId="77777777" w:rsidR="00527BD4" w:rsidRDefault="00527BD4" w:rsidP="003F1F6B">
          <w:pPr>
            <w:pStyle w:val="Huisstijl-Rubricering"/>
          </w:pPr>
        </w:p>
      </w:tc>
      <w:tc>
        <w:tcPr>
          <w:tcW w:w="2156" w:type="dxa"/>
        </w:tcPr>
        <w:p w14:paraId="62554972" w14:textId="05EB4465" w:rsidR="00527BD4" w:rsidRPr="00645414" w:rsidRDefault="00384A6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F7E64">
            <w:t>4</w:t>
          </w:r>
          <w:r w:rsidR="004425CC">
            <w:fldChar w:fldCharType="end"/>
          </w:r>
        </w:p>
      </w:tc>
    </w:tr>
  </w:tbl>
  <w:p w14:paraId="0B179E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570E6" w14:paraId="68D64A2B" w14:textId="77777777" w:rsidTr="00CA6A25">
      <w:trPr>
        <w:trHeight w:hRule="exact" w:val="240"/>
      </w:trPr>
      <w:tc>
        <w:tcPr>
          <w:tcW w:w="7601" w:type="dxa"/>
        </w:tcPr>
        <w:p w14:paraId="68461FEB" w14:textId="77777777" w:rsidR="00527BD4" w:rsidRDefault="00527BD4" w:rsidP="008C356D">
          <w:pPr>
            <w:pStyle w:val="Huisstijl-Rubricering"/>
          </w:pPr>
        </w:p>
      </w:tc>
      <w:tc>
        <w:tcPr>
          <w:tcW w:w="2170" w:type="dxa"/>
        </w:tcPr>
        <w:p w14:paraId="65437B19" w14:textId="0E115004" w:rsidR="00527BD4" w:rsidRPr="00ED539E" w:rsidRDefault="00384A6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CF7E64">
            <w:t>4</w:t>
          </w:r>
          <w:r w:rsidR="00396A8F">
            <w:fldChar w:fldCharType="end"/>
          </w:r>
        </w:p>
      </w:tc>
    </w:tr>
  </w:tbl>
  <w:p w14:paraId="7FE83686" w14:textId="77777777" w:rsidR="00527BD4" w:rsidRPr="00BC3B53" w:rsidRDefault="00527BD4" w:rsidP="008C356D">
    <w:pPr>
      <w:pStyle w:val="Voettekst"/>
      <w:spacing w:line="240" w:lineRule="auto"/>
      <w:rPr>
        <w:sz w:val="2"/>
        <w:szCs w:val="2"/>
      </w:rPr>
    </w:pPr>
  </w:p>
  <w:p w14:paraId="0A80A9E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FFE4" w14:textId="77777777" w:rsidR="001129C0" w:rsidRDefault="001129C0">
      <w:r>
        <w:separator/>
      </w:r>
    </w:p>
    <w:p w14:paraId="69ACC4AA" w14:textId="77777777" w:rsidR="001129C0" w:rsidRDefault="001129C0"/>
  </w:footnote>
  <w:footnote w:type="continuationSeparator" w:id="0">
    <w:p w14:paraId="6A3484D2" w14:textId="77777777" w:rsidR="001129C0" w:rsidRDefault="001129C0">
      <w:r>
        <w:continuationSeparator/>
      </w:r>
    </w:p>
    <w:p w14:paraId="7BD85868" w14:textId="77777777" w:rsidR="001129C0" w:rsidRDefault="001129C0"/>
  </w:footnote>
  <w:footnote w:id="1">
    <w:p w14:paraId="29B9BE7D" w14:textId="77777777" w:rsidR="002F3154" w:rsidRPr="00883E4B" w:rsidRDefault="002F3154" w:rsidP="002F3154">
      <w:pPr>
        <w:pStyle w:val="Voetnoottekst"/>
        <w:rPr>
          <w:rFonts w:ascii="Aptos" w:eastAsia="Aptos" w:hAnsi="Aptos" w:cs="Arial"/>
          <w:lang w:val="en-US"/>
        </w:rPr>
      </w:pPr>
      <w:r w:rsidRPr="694DE03D">
        <w:rPr>
          <w:rStyle w:val="Voetnootmarkering"/>
        </w:rPr>
        <w:footnoteRef/>
      </w:r>
      <w:r w:rsidRPr="00883E4B">
        <w:rPr>
          <w:lang w:val="en-US"/>
        </w:rPr>
        <w:t xml:space="preserve"> </w:t>
      </w:r>
      <w:hyperlink r:id="rId1" w:history="1">
        <w:r w:rsidRPr="00883E4B">
          <w:rPr>
            <w:rStyle w:val="Hyperlink"/>
            <w:lang w:val="en-US"/>
          </w:rPr>
          <w:t>Non-paper of The Netherlands on actions for the EC Consumer Agenda 2025-2030 | Rapport | Rijksoverheid.nl</w:t>
        </w:r>
      </w:hyperlink>
    </w:p>
  </w:footnote>
  <w:footnote w:id="2">
    <w:p w14:paraId="55CD988D" w14:textId="77777777" w:rsidR="002F3154" w:rsidRDefault="002F3154" w:rsidP="002F3154">
      <w:pPr>
        <w:pStyle w:val="Voetnoottekst"/>
      </w:pPr>
      <w:r w:rsidRPr="694DE03D">
        <w:rPr>
          <w:rStyle w:val="Voetnootmarkering"/>
        </w:rPr>
        <w:footnoteRef/>
      </w:r>
      <w:r>
        <w:t xml:space="preserve"> </w:t>
      </w:r>
      <w:hyperlink r:id="rId2">
        <w:r w:rsidRPr="694DE03D">
          <w:rPr>
            <w:rStyle w:val="Hyperlink"/>
          </w:rPr>
          <w:t>BNC fiche 1 - Mededeling horizontale interne-marktstrategie | Publicatie | Rijksoverheid.nl</w:t>
        </w:r>
      </w:hyperlink>
      <w:r w:rsidRPr="694DE03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570E6" w14:paraId="3D27F1FA" w14:textId="77777777" w:rsidTr="00A50CF6">
      <w:tc>
        <w:tcPr>
          <w:tcW w:w="2156" w:type="dxa"/>
        </w:tcPr>
        <w:p w14:paraId="3BDD8AF0" w14:textId="77777777" w:rsidR="00527BD4" w:rsidRPr="005819CE" w:rsidRDefault="00384A61" w:rsidP="00A50CF6">
          <w:pPr>
            <w:pStyle w:val="Huisstijl-Adres"/>
            <w:rPr>
              <w:b/>
            </w:rPr>
          </w:pPr>
          <w:r>
            <w:rPr>
              <w:b/>
            </w:rPr>
            <w:t>Directie Europese en Internationale Zaken</w:t>
          </w:r>
          <w:r w:rsidRPr="005819CE">
            <w:rPr>
              <w:b/>
            </w:rPr>
            <w:br/>
          </w:r>
        </w:p>
      </w:tc>
    </w:tr>
    <w:tr w:rsidR="002570E6" w14:paraId="45FDBDE7" w14:textId="77777777" w:rsidTr="00A50CF6">
      <w:trPr>
        <w:trHeight w:hRule="exact" w:val="200"/>
      </w:trPr>
      <w:tc>
        <w:tcPr>
          <w:tcW w:w="2156" w:type="dxa"/>
        </w:tcPr>
        <w:p w14:paraId="407AE707" w14:textId="77777777" w:rsidR="00527BD4" w:rsidRPr="005819CE" w:rsidRDefault="00527BD4" w:rsidP="00A50CF6"/>
      </w:tc>
    </w:tr>
    <w:tr w:rsidR="002570E6" w14:paraId="51FB6DCB" w14:textId="77777777" w:rsidTr="00502512">
      <w:trPr>
        <w:trHeight w:hRule="exact" w:val="774"/>
      </w:trPr>
      <w:tc>
        <w:tcPr>
          <w:tcW w:w="2156" w:type="dxa"/>
        </w:tcPr>
        <w:p w14:paraId="326B0FE6" w14:textId="77777777" w:rsidR="00527BD4" w:rsidRDefault="00384A61" w:rsidP="003A5290">
          <w:pPr>
            <w:pStyle w:val="Huisstijl-Kopje"/>
          </w:pPr>
          <w:r>
            <w:t>Ons kenmerk</w:t>
          </w:r>
        </w:p>
        <w:p w14:paraId="504DC13F" w14:textId="77777777" w:rsidR="00527BD4" w:rsidRPr="005819CE" w:rsidRDefault="00384A61" w:rsidP="004425CC">
          <w:pPr>
            <w:pStyle w:val="Huisstijl-Kopje"/>
          </w:pPr>
          <w:r>
            <w:rPr>
              <w:b w:val="0"/>
            </w:rPr>
            <w:t>DEIZ</w:t>
          </w:r>
          <w:r w:rsidRPr="00502512">
            <w:rPr>
              <w:b w:val="0"/>
            </w:rPr>
            <w:t xml:space="preserve"> / </w:t>
          </w:r>
          <w:r>
            <w:rPr>
              <w:b w:val="0"/>
            </w:rPr>
            <w:t>103614101</w:t>
          </w:r>
        </w:p>
      </w:tc>
    </w:tr>
  </w:tbl>
  <w:p w14:paraId="0F87CC70" w14:textId="77777777" w:rsidR="00527BD4" w:rsidRDefault="00527BD4" w:rsidP="004F44C2"/>
  <w:p w14:paraId="2B0D0EFF" w14:textId="77777777" w:rsidR="005B522E" w:rsidRDefault="005B522E" w:rsidP="004F44C2"/>
  <w:p w14:paraId="414A7B00" w14:textId="77777777" w:rsidR="005B522E" w:rsidRPr="00740712" w:rsidRDefault="005B522E" w:rsidP="004F44C2"/>
  <w:p w14:paraId="67BAA6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70E6" w14:paraId="19A8FA0C" w14:textId="77777777" w:rsidTr="00751A6A">
      <w:trPr>
        <w:trHeight w:val="2636"/>
      </w:trPr>
      <w:tc>
        <w:tcPr>
          <w:tcW w:w="737" w:type="dxa"/>
        </w:tcPr>
        <w:p w14:paraId="46F8290E" w14:textId="77777777" w:rsidR="00527BD4" w:rsidRDefault="00527BD4" w:rsidP="00D0609E">
          <w:pPr>
            <w:framePr w:w="6340" w:h="2750" w:hRule="exact" w:hSpace="180" w:wrap="around" w:vAnchor="page" w:hAnchor="text" w:x="3873" w:y="-140"/>
            <w:spacing w:line="240" w:lineRule="auto"/>
          </w:pPr>
        </w:p>
      </w:tc>
      <w:tc>
        <w:tcPr>
          <w:tcW w:w="5156" w:type="dxa"/>
        </w:tcPr>
        <w:p w14:paraId="394BCD96" w14:textId="77777777" w:rsidR="00527BD4" w:rsidRDefault="00384A6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1381B94" wp14:editId="6086A32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C1AC29E" w14:textId="77777777" w:rsidR="007269E3" w:rsidRDefault="007269E3" w:rsidP="00651CEE">
          <w:pPr>
            <w:framePr w:w="6340" w:h="2750" w:hRule="exact" w:hSpace="180" w:wrap="around" w:vAnchor="page" w:hAnchor="text" w:x="3873" w:y="-140"/>
            <w:spacing w:line="240" w:lineRule="auto"/>
          </w:pPr>
        </w:p>
      </w:tc>
    </w:tr>
  </w:tbl>
  <w:p w14:paraId="028D5F40" w14:textId="77777777" w:rsidR="00527BD4" w:rsidRDefault="00527BD4" w:rsidP="00D0609E">
    <w:pPr>
      <w:framePr w:w="6340" w:h="2750" w:hRule="exact" w:hSpace="180" w:wrap="around" w:vAnchor="page" w:hAnchor="text" w:x="3873" w:y="-140"/>
    </w:pPr>
  </w:p>
  <w:p w14:paraId="048BD9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570E6" w14:paraId="21BE559C" w14:textId="77777777" w:rsidTr="00A50CF6">
      <w:tc>
        <w:tcPr>
          <w:tcW w:w="2160" w:type="dxa"/>
        </w:tcPr>
        <w:p w14:paraId="041AD655" w14:textId="77777777" w:rsidR="00527BD4" w:rsidRPr="005819CE" w:rsidRDefault="00384A61" w:rsidP="00A50CF6">
          <w:pPr>
            <w:pStyle w:val="Huisstijl-Adres"/>
            <w:rPr>
              <w:b/>
            </w:rPr>
          </w:pPr>
          <w:r>
            <w:rPr>
              <w:b/>
            </w:rPr>
            <w:t>Directie Europese en Internationale Zaken</w:t>
          </w:r>
          <w:r w:rsidRPr="005819CE">
            <w:rPr>
              <w:b/>
            </w:rPr>
            <w:br/>
          </w:r>
        </w:p>
        <w:p w14:paraId="149D3012" w14:textId="77777777" w:rsidR="00527BD4" w:rsidRPr="00BE5ED9" w:rsidRDefault="00384A61" w:rsidP="00A50CF6">
          <w:pPr>
            <w:pStyle w:val="Huisstijl-Adres"/>
          </w:pPr>
          <w:r>
            <w:rPr>
              <w:b/>
            </w:rPr>
            <w:t>Bezoekadres</w:t>
          </w:r>
          <w:r>
            <w:rPr>
              <w:b/>
            </w:rPr>
            <w:br/>
          </w:r>
          <w:r>
            <w:t>Bezuidenhoutseweg 73</w:t>
          </w:r>
          <w:r w:rsidRPr="005819CE">
            <w:br/>
          </w:r>
          <w:r>
            <w:t>2594 AC Den Haag</w:t>
          </w:r>
        </w:p>
        <w:p w14:paraId="6D49EBC5" w14:textId="77777777" w:rsidR="00EF495B" w:rsidRDefault="00384A61" w:rsidP="0098788A">
          <w:pPr>
            <w:pStyle w:val="Huisstijl-Adres"/>
          </w:pPr>
          <w:r>
            <w:rPr>
              <w:b/>
            </w:rPr>
            <w:t>Postadres</w:t>
          </w:r>
          <w:r>
            <w:rPr>
              <w:b/>
            </w:rPr>
            <w:br/>
          </w:r>
          <w:r>
            <w:t>Postbus 20401</w:t>
          </w:r>
          <w:r w:rsidRPr="005819CE">
            <w:br/>
            <w:t>2500 E</w:t>
          </w:r>
          <w:r>
            <w:t>K</w:t>
          </w:r>
          <w:r w:rsidRPr="005819CE">
            <w:t xml:space="preserve"> Den Haag</w:t>
          </w:r>
        </w:p>
        <w:p w14:paraId="47E6D795" w14:textId="77777777" w:rsidR="00EF495B" w:rsidRPr="005B3814" w:rsidRDefault="00384A61" w:rsidP="0098788A">
          <w:pPr>
            <w:pStyle w:val="Huisstijl-Adres"/>
          </w:pPr>
          <w:r>
            <w:rPr>
              <w:b/>
            </w:rPr>
            <w:t>Overheidsidentificatienr</w:t>
          </w:r>
          <w:r>
            <w:rPr>
              <w:b/>
            </w:rPr>
            <w:br/>
          </w:r>
          <w:r w:rsidRPr="005B3814">
            <w:t>00000001003214369000</w:t>
          </w:r>
        </w:p>
        <w:p w14:paraId="1497E1CE" w14:textId="6100E762" w:rsidR="00527BD4" w:rsidRPr="005B522E" w:rsidRDefault="00384A6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570E6" w14:paraId="4099A181" w14:textId="77777777" w:rsidTr="00A50CF6">
      <w:trPr>
        <w:trHeight w:hRule="exact" w:val="200"/>
      </w:trPr>
      <w:tc>
        <w:tcPr>
          <w:tcW w:w="2160" w:type="dxa"/>
        </w:tcPr>
        <w:p w14:paraId="1DE6F6E0" w14:textId="77777777" w:rsidR="00527BD4" w:rsidRPr="005819CE" w:rsidRDefault="00527BD4" w:rsidP="00A50CF6"/>
      </w:tc>
    </w:tr>
    <w:tr w:rsidR="002570E6" w14:paraId="265006E6" w14:textId="77777777" w:rsidTr="00A50CF6">
      <w:tc>
        <w:tcPr>
          <w:tcW w:w="2160" w:type="dxa"/>
        </w:tcPr>
        <w:p w14:paraId="60D59931" w14:textId="77777777" w:rsidR="000C0163" w:rsidRPr="005819CE" w:rsidRDefault="00384A61" w:rsidP="000C0163">
          <w:pPr>
            <w:pStyle w:val="Huisstijl-Kopje"/>
          </w:pPr>
          <w:r>
            <w:t>Ons kenmerk</w:t>
          </w:r>
          <w:r w:rsidRPr="005819CE">
            <w:t xml:space="preserve"> </w:t>
          </w:r>
        </w:p>
        <w:p w14:paraId="577E60AF" w14:textId="20F252FD" w:rsidR="00527BD4" w:rsidRPr="005819CE" w:rsidRDefault="00384A61" w:rsidP="005B522E">
          <w:pPr>
            <w:pStyle w:val="Huisstijl-Gegeven"/>
          </w:pPr>
          <w:r>
            <w:t>DEIZ</w:t>
          </w:r>
          <w:r w:rsidR="00926AE2">
            <w:t xml:space="preserve"> / </w:t>
          </w:r>
          <w:r>
            <w:t>103614101</w:t>
          </w:r>
        </w:p>
      </w:tc>
    </w:tr>
  </w:tbl>
  <w:p w14:paraId="672559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570E6" w14:paraId="7DC74163" w14:textId="77777777" w:rsidTr="007610AA">
      <w:trPr>
        <w:trHeight w:val="400"/>
      </w:trPr>
      <w:tc>
        <w:tcPr>
          <w:tcW w:w="7520" w:type="dxa"/>
          <w:gridSpan w:val="2"/>
        </w:tcPr>
        <w:p w14:paraId="1EE978AD" w14:textId="77777777" w:rsidR="00527BD4" w:rsidRPr="00BC3B53" w:rsidRDefault="00384A61" w:rsidP="00A50CF6">
          <w:pPr>
            <w:pStyle w:val="Huisstijl-Retouradres"/>
          </w:pPr>
          <w:r>
            <w:t>&gt; Retouradres Postbus 20401 2500 EK Den Haag</w:t>
          </w:r>
        </w:p>
      </w:tc>
    </w:tr>
    <w:tr w:rsidR="002570E6" w14:paraId="700A19E2" w14:textId="77777777" w:rsidTr="007610AA">
      <w:tc>
        <w:tcPr>
          <w:tcW w:w="7520" w:type="dxa"/>
          <w:gridSpan w:val="2"/>
        </w:tcPr>
        <w:p w14:paraId="60246A2D" w14:textId="77777777" w:rsidR="00527BD4" w:rsidRPr="00983E8F" w:rsidRDefault="00527BD4" w:rsidP="00A50CF6">
          <w:pPr>
            <w:pStyle w:val="Huisstijl-Rubricering"/>
          </w:pPr>
        </w:p>
      </w:tc>
    </w:tr>
    <w:tr w:rsidR="002570E6" w14:paraId="63910838" w14:textId="77777777" w:rsidTr="007610AA">
      <w:trPr>
        <w:trHeight w:hRule="exact" w:val="2440"/>
      </w:trPr>
      <w:tc>
        <w:tcPr>
          <w:tcW w:w="7520" w:type="dxa"/>
          <w:gridSpan w:val="2"/>
        </w:tcPr>
        <w:p w14:paraId="39E6AD20" w14:textId="77777777" w:rsidR="005B522E" w:rsidRDefault="005B522E" w:rsidP="005B522E">
          <w:pPr>
            <w:pStyle w:val="Huisstijl-NAW"/>
          </w:pPr>
          <w:r>
            <w:t>De Voorzitter van de Tweede Kamer</w:t>
          </w:r>
        </w:p>
        <w:p w14:paraId="618C795E" w14:textId="77777777" w:rsidR="005B522E" w:rsidRDefault="005B522E" w:rsidP="005B522E">
          <w:pPr>
            <w:pStyle w:val="Huisstijl-NAW"/>
          </w:pPr>
          <w:r>
            <w:t>der Staten-Generaal</w:t>
          </w:r>
        </w:p>
        <w:p w14:paraId="6518F5B2" w14:textId="77777777" w:rsidR="005B522E" w:rsidRDefault="005B522E" w:rsidP="005B522E">
          <w:pPr>
            <w:pStyle w:val="Huisstijl-NAW"/>
          </w:pPr>
          <w:r>
            <w:t>Prinses Irenestraat 6</w:t>
          </w:r>
        </w:p>
        <w:p w14:paraId="49267631" w14:textId="74355487" w:rsidR="002570E6" w:rsidRDefault="005B522E">
          <w:pPr>
            <w:pStyle w:val="Huisstijl-NAW"/>
          </w:pPr>
          <w:r>
            <w:t>2595 BD  DEN HAAG</w:t>
          </w:r>
        </w:p>
      </w:tc>
    </w:tr>
    <w:tr w:rsidR="002570E6" w14:paraId="5566F576" w14:textId="77777777" w:rsidTr="007610AA">
      <w:trPr>
        <w:trHeight w:hRule="exact" w:val="400"/>
      </w:trPr>
      <w:tc>
        <w:tcPr>
          <w:tcW w:w="7520" w:type="dxa"/>
          <w:gridSpan w:val="2"/>
        </w:tcPr>
        <w:p w14:paraId="4DF5450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570E6" w14:paraId="58100018" w14:textId="77777777" w:rsidTr="007610AA">
      <w:trPr>
        <w:trHeight w:val="240"/>
      </w:trPr>
      <w:tc>
        <w:tcPr>
          <w:tcW w:w="900" w:type="dxa"/>
        </w:tcPr>
        <w:p w14:paraId="69E3A5BA" w14:textId="77777777" w:rsidR="00527BD4" w:rsidRPr="007709EF" w:rsidRDefault="00384A61" w:rsidP="00A50CF6">
          <w:pPr>
            <w:rPr>
              <w:szCs w:val="18"/>
            </w:rPr>
          </w:pPr>
          <w:r>
            <w:rPr>
              <w:szCs w:val="18"/>
            </w:rPr>
            <w:t>Datum</w:t>
          </w:r>
        </w:p>
      </w:tc>
      <w:tc>
        <w:tcPr>
          <w:tcW w:w="6620" w:type="dxa"/>
        </w:tcPr>
        <w:p w14:paraId="5D59C60E" w14:textId="0BE06002" w:rsidR="00527BD4" w:rsidRPr="007709EF" w:rsidRDefault="00D45570" w:rsidP="00A50CF6">
          <w:r>
            <w:t xml:space="preserve">19 </w:t>
          </w:r>
          <w:r w:rsidR="00384A61">
            <w:t>januari</w:t>
          </w:r>
          <w:r>
            <w:t xml:space="preserve"> 2026</w:t>
          </w:r>
        </w:p>
      </w:tc>
    </w:tr>
    <w:tr w:rsidR="002570E6" w14:paraId="518F1CA7" w14:textId="77777777" w:rsidTr="007610AA">
      <w:trPr>
        <w:trHeight w:val="240"/>
      </w:trPr>
      <w:tc>
        <w:tcPr>
          <w:tcW w:w="900" w:type="dxa"/>
        </w:tcPr>
        <w:p w14:paraId="78E07FF7" w14:textId="77777777" w:rsidR="00527BD4" w:rsidRPr="007709EF" w:rsidRDefault="00384A61" w:rsidP="00A50CF6">
          <w:pPr>
            <w:rPr>
              <w:szCs w:val="18"/>
            </w:rPr>
          </w:pPr>
          <w:r>
            <w:rPr>
              <w:szCs w:val="18"/>
            </w:rPr>
            <w:t>Betreft</w:t>
          </w:r>
        </w:p>
      </w:tc>
      <w:tc>
        <w:tcPr>
          <w:tcW w:w="6620" w:type="dxa"/>
        </w:tcPr>
        <w:p w14:paraId="579A3278" w14:textId="77777777" w:rsidR="00527BD4" w:rsidRPr="007709EF" w:rsidRDefault="00384A61" w:rsidP="00A50CF6">
          <w:r>
            <w:t>Geannoteerde Agenda Informele Raad voor Concurrentievermogen 2 en 3 februari 2026</w:t>
          </w:r>
        </w:p>
      </w:tc>
    </w:tr>
  </w:tbl>
  <w:p w14:paraId="7A4B24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4AA68C">
      <w:start w:val="1"/>
      <w:numFmt w:val="bullet"/>
      <w:pStyle w:val="Lijstopsomteken"/>
      <w:lvlText w:val="•"/>
      <w:lvlJc w:val="left"/>
      <w:pPr>
        <w:tabs>
          <w:tab w:val="num" w:pos="227"/>
        </w:tabs>
        <w:ind w:left="227" w:hanging="227"/>
      </w:pPr>
      <w:rPr>
        <w:rFonts w:ascii="Verdana" w:hAnsi="Verdana" w:hint="default"/>
        <w:sz w:val="18"/>
        <w:szCs w:val="18"/>
      </w:rPr>
    </w:lvl>
    <w:lvl w:ilvl="1" w:tplc="D3422D02" w:tentative="1">
      <w:start w:val="1"/>
      <w:numFmt w:val="bullet"/>
      <w:lvlText w:val="o"/>
      <w:lvlJc w:val="left"/>
      <w:pPr>
        <w:tabs>
          <w:tab w:val="num" w:pos="1440"/>
        </w:tabs>
        <w:ind w:left="1440" w:hanging="360"/>
      </w:pPr>
      <w:rPr>
        <w:rFonts w:ascii="Courier New" w:hAnsi="Courier New" w:cs="Courier New" w:hint="default"/>
      </w:rPr>
    </w:lvl>
    <w:lvl w:ilvl="2" w:tplc="292A82F6" w:tentative="1">
      <w:start w:val="1"/>
      <w:numFmt w:val="bullet"/>
      <w:lvlText w:val=""/>
      <w:lvlJc w:val="left"/>
      <w:pPr>
        <w:tabs>
          <w:tab w:val="num" w:pos="2160"/>
        </w:tabs>
        <w:ind w:left="2160" w:hanging="360"/>
      </w:pPr>
      <w:rPr>
        <w:rFonts w:ascii="Wingdings" w:hAnsi="Wingdings" w:hint="default"/>
      </w:rPr>
    </w:lvl>
    <w:lvl w:ilvl="3" w:tplc="7ADEFA98" w:tentative="1">
      <w:start w:val="1"/>
      <w:numFmt w:val="bullet"/>
      <w:lvlText w:val=""/>
      <w:lvlJc w:val="left"/>
      <w:pPr>
        <w:tabs>
          <w:tab w:val="num" w:pos="2880"/>
        </w:tabs>
        <w:ind w:left="2880" w:hanging="360"/>
      </w:pPr>
      <w:rPr>
        <w:rFonts w:ascii="Symbol" w:hAnsi="Symbol" w:hint="default"/>
      </w:rPr>
    </w:lvl>
    <w:lvl w:ilvl="4" w:tplc="5B263FEC" w:tentative="1">
      <w:start w:val="1"/>
      <w:numFmt w:val="bullet"/>
      <w:lvlText w:val="o"/>
      <w:lvlJc w:val="left"/>
      <w:pPr>
        <w:tabs>
          <w:tab w:val="num" w:pos="3600"/>
        </w:tabs>
        <w:ind w:left="3600" w:hanging="360"/>
      </w:pPr>
      <w:rPr>
        <w:rFonts w:ascii="Courier New" w:hAnsi="Courier New" w:cs="Courier New" w:hint="default"/>
      </w:rPr>
    </w:lvl>
    <w:lvl w:ilvl="5" w:tplc="B888CE12" w:tentative="1">
      <w:start w:val="1"/>
      <w:numFmt w:val="bullet"/>
      <w:lvlText w:val=""/>
      <w:lvlJc w:val="left"/>
      <w:pPr>
        <w:tabs>
          <w:tab w:val="num" w:pos="4320"/>
        </w:tabs>
        <w:ind w:left="4320" w:hanging="360"/>
      </w:pPr>
      <w:rPr>
        <w:rFonts w:ascii="Wingdings" w:hAnsi="Wingdings" w:hint="default"/>
      </w:rPr>
    </w:lvl>
    <w:lvl w:ilvl="6" w:tplc="2F1A5F50" w:tentative="1">
      <w:start w:val="1"/>
      <w:numFmt w:val="bullet"/>
      <w:lvlText w:val=""/>
      <w:lvlJc w:val="left"/>
      <w:pPr>
        <w:tabs>
          <w:tab w:val="num" w:pos="5040"/>
        </w:tabs>
        <w:ind w:left="5040" w:hanging="360"/>
      </w:pPr>
      <w:rPr>
        <w:rFonts w:ascii="Symbol" w:hAnsi="Symbol" w:hint="default"/>
      </w:rPr>
    </w:lvl>
    <w:lvl w:ilvl="7" w:tplc="D7C89228" w:tentative="1">
      <w:start w:val="1"/>
      <w:numFmt w:val="bullet"/>
      <w:lvlText w:val="o"/>
      <w:lvlJc w:val="left"/>
      <w:pPr>
        <w:tabs>
          <w:tab w:val="num" w:pos="5760"/>
        </w:tabs>
        <w:ind w:left="5760" w:hanging="360"/>
      </w:pPr>
      <w:rPr>
        <w:rFonts w:ascii="Courier New" w:hAnsi="Courier New" w:cs="Courier New" w:hint="default"/>
      </w:rPr>
    </w:lvl>
    <w:lvl w:ilvl="8" w:tplc="AA2255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A0CDC60">
      <w:start w:val="1"/>
      <w:numFmt w:val="bullet"/>
      <w:pStyle w:val="Lijstopsomteken2"/>
      <w:lvlText w:val="–"/>
      <w:lvlJc w:val="left"/>
      <w:pPr>
        <w:tabs>
          <w:tab w:val="num" w:pos="227"/>
        </w:tabs>
        <w:ind w:left="227" w:firstLine="0"/>
      </w:pPr>
      <w:rPr>
        <w:rFonts w:ascii="Verdana" w:hAnsi="Verdana" w:hint="default"/>
      </w:rPr>
    </w:lvl>
    <w:lvl w:ilvl="1" w:tplc="13888A74" w:tentative="1">
      <w:start w:val="1"/>
      <w:numFmt w:val="bullet"/>
      <w:lvlText w:val="o"/>
      <w:lvlJc w:val="left"/>
      <w:pPr>
        <w:tabs>
          <w:tab w:val="num" w:pos="1440"/>
        </w:tabs>
        <w:ind w:left="1440" w:hanging="360"/>
      </w:pPr>
      <w:rPr>
        <w:rFonts w:ascii="Courier New" w:hAnsi="Courier New" w:cs="Courier New" w:hint="default"/>
      </w:rPr>
    </w:lvl>
    <w:lvl w:ilvl="2" w:tplc="E8DE3722" w:tentative="1">
      <w:start w:val="1"/>
      <w:numFmt w:val="bullet"/>
      <w:lvlText w:val=""/>
      <w:lvlJc w:val="left"/>
      <w:pPr>
        <w:tabs>
          <w:tab w:val="num" w:pos="2160"/>
        </w:tabs>
        <w:ind w:left="2160" w:hanging="360"/>
      </w:pPr>
      <w:rPr>
        <w:rFonts w:ascii="Wingdings" w:hAnsi="Wingdings" w:hint="default"/>
      </w:rPr>
    </w:lvl>
    <w:lvl w:ilvl="3" w:tplc="8CF03E70" w:tentative="1">
      <w:start w:val="1"/>
      <w:numFmt w:val="bullet"/>
      <w:lvlText w:val=""/>
      <w:lvlJc w:val="left"/>
      <w:pPr>
        <w:tabs>
          <w:tab w:val="num" w:pos="2880"/>
        </w:tabs>
        <w:ind w:left="2880" w:hanging="360"/>
      </w:pPr>
      <w:rPr>
        <w:rFonts w:ascii="Symbol" w:hAnsi="Symbol" w:hint="default"/>
      </w:rPr>
    </w:lvl>
    <w:lvl w:ilvl="4" w:tplc="ACA6109A" w:tentative="1">
      <w:start w:val="1"/>
      <w:numFmt w:val="bullet"/>
      <w:lvlText w:val="o"/>
      <w:lvlJc w:val="left"/>
      <w:pPr>
        <w:tabs>
          <w:tab w:val="num" w:pos="3600"/>
        </w:tabs>
        <w:ind w:left="3600" w:hanging="360"/>
      </w:pPr>
      <w:rPr>
        <w:rFonts w:ascii="Courier New" w:hAnsi="Courier New" w:cs="Courier New" w:hint="default"/>
      </w:rPr>
    </w:lvl>
    <w:lvl w:ilvl="5" w:tplc="5344D68C" w:tentative="1">
      <w:start w:val="1"/>
      <w:numFmt w:val="bullet"/>
      <w:lvlText w:val=""/>
      <w:lvlJc w:val="left"/>
      <w:pPr>
        <w:tabs>
          <w:tab w:val="num" w:pos="4320"/>
        </w:tabs>
        <w:ind w:left="4320" w:hanging="360"/>
      </w:pPr>
      <w:rPr>
        <w:rFonts w:ascii="Wingdings" w:hAnsi="Wingdings" w:hint="default"/>
      </w:rPr>
    </w:lvl>
    <w:lvl w:ilvl="6" w:tplc="64DA62D2" w:tentative="1">
      <w:start w:val="1"/>
      <w:numFmt w:val="bullet"/>
      <w:lvlText w:val=""/>
      <w:lvlJc w:val="left"/>
      <w:pPr>
        <w:tabs>
          <w:tab w:val="num" w:pos="5040"/>
        </w:tabs>
        <w:ind w:left="5040" w:hanging="360"/>
      </w:pPr>
      <w:rPr>
        <w:rFonts w:ascii="Symbol" w:hAnsi="Symbol" w:hint="default"/>
      </w:rPr>
    </w:lvl>
    <w:lvl w:ilvl="7" w:tplc="8746FDB4" w:tentative="1">
      <w:start w:val="1"/>
      <w:numFmt w:val="bullet"/>
      <w:lvlText w:val="o"/>
      <w:lvlJc w:val="left"/>
      <w:pPr>
        <w:tabs>
          <w:tab w:val="num" w:pos="5760"/>
        </w:tabs>
        <w:ind w:left="5760" w:hanging="360"/>
      </w:pPr>
      <w:rPr>
        <w:rFonts w:ascii="Courier New" w:hAnsi="Courier New" w:cs="Courier New" w:hint="default"/>
      </w:rPr>
    </w:lvl>
    <w:lvl w:ilvl="8" w:tplc="7AB854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0022695">
    <w:abstractNumId w:val="10"/>
  </w:num>
  <w:num w:numId="2" w16cid:durableId="37552623">
    <w:abstractNumId w:val="7"/>
  </w:num>
  <w:num w:numId="3" w16cid:durableId="1909800522">
    <w:abstractNumId w:val="6"/>
  </w:num>
  <w:num w:numId="4" w16cid:durableId="1786849960">
    <w:abstractNumId w:val="5"/>
  </w:num>
  <w:num w:numId="5" w16cid:durableId="363403260">
    <w:abstractNumId w:val="4"/>
  </w:num>
  <w:num w:numId="6" w16cid:durableId="42338994">
    <w:abstractNumId w:val="8"/>
  </w:num>
  <w:num w:numId="7" w16cid:durableId="766922868">
    <w:abstractNumId w:val="3"/>
  </w:num>
  <w:num w:numId="8" w16cid:durableId="1450516328">
    <w:abstractNumId w:val="2"/>
  </w:num>
  <w:num w:numId="9" w16cid:durableId="1710648600">
    <w:abstractNumId w:val="1"/>
  </w:num>
  <w:num w:numId="10" w16cid:durableId="237447095">
    <w:abstractNumId w:val="0"/>
  </w:num>
  <w:num w:numId="11" w16cid:durableId="762065286">
    <w:abstractNumId w:val="9"/>
  </w:num>
  <w:num w:numId="12" w16cid:durableId="1312370512">
    <w:abstractNumId w:val="11"/>
  </w:num>
  <w:num w:numId="13" w16cid:durableId="1940601803">
    <w:abstractNumId w:val="13"/>
  </w:num>
  <w:num w:numId="14" w16cid:durableId="12990683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543DE"/>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6723"/>
    <w:rsid w:val="000E7895"/>
    <w:rsid w:val="000F161D"/>
    <w:rsid w:val="000F3CAA"/>
    <w:rsid w:val="00102ABB"/>
    <w:rsid w:val="001129C0"/>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F0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5324"/>
    <w:rsid w:val="00217880"/>
    <w:rsid w:val="00222D66"/>
    <w:rsid w:val="00224A8A"/>
    <w:rsid w:val="002309A8"/>
    <w:rsid w:val="002369BF"/>
    <w:rsid w:val="00236CFE"/>
    <w:rsid w:val="002428E3"/>
    <w:rsid w:val="00243031"/>
    <w:rsid w:val="002570E6"/>
    <w:rsid w:val="00260BAF"/>
    <w:rsid w:val="002650F7"/>
    <w:rsid w:val="00266168"/>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3154"/>
    <w:rsid w:val="002F5147"/>
    <w:rsid w:val="002F7ABD"/>
    <w:rsid w:val="00312597"/>
    <w:rsid w:val="00326845"/>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4A6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5B1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B522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4C74"/>
    <w:rsid w:val="00BC5B28"/>
    <w:rsid w:val="00BD2370"/>
    <w:rsid w:val="00BE3F88"/>
    <w:rsid w:val="00BE4756"/>
    <w:rsid w:val="00BE5ED9"/>
    <w:rsid w:val="00BE7B41"/>
    <w:rsid w:val="00C15A91"/>
    <w:rsid w:val="00C206F1"/>
    <w:rsid w:val="00C217E1"/>
    <w:rsid w:val="00C219B1"/>
    <w:rsid w:val="00C348E8"/>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767"/>
    <w:rsid w:val="00CF1A17"/>
    <w:rsid w:val="00CF65AC"/>
    <w:rsid w:val="00CF7E64"/>
    <w:rsid w:val="00D0375A"/>
    <w:rsid w:val="00D0609E"/>
    <w:rsid w:val="00D078E1"/>
    <w:rsid w:val="00D100E9"/>
    <w:rsid w:val="00D17942"/>
    <w:rsid w:val="00D21E4B"/>
    <w:rsid w:val="00D22441"/>
    <w:rsid w:val="00D23522"/>
    <w:rsid w:val="00D264D6"/>
    <w:rsid w:val="00D33BF0"/>
    <w:rsid w:val="00D33DE0"/>
    <w:rsid w:val="00D36447"/>
    <w:rsid w:val="00D45570"/>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96033"/>
    <w:rsid w:val="00FA1F1F"/>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2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E6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6/30/bnc-fiche-1-mededeling-horizontale-interne-marktstrategie" TargetMode="External"/><Relationship Id="rId1" Type="http://schemas.openxmlformats.org/officeDocument/2006/relationships/hyperlink" Target="https://www.rijksoverheid.nl/documenten/rapporten/2025/11/12/non-paper-europese-consumentenagenda-2025-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861</ap:Words>
  <ap:Characters>5524</ap:Characters>
  <ap:DocSecurity>0</ap:DocSecurity>
  <ap:Lines>46</ap:Lines>
  <ap:Paragraphs>12</ap:Paragraphs>
  <ap:ScaleCrop>false</ap:ScaleCrop>
  <ap:LinksUpToDate>false</ap:LinksUpToDate>
  <ap:CharactersWithSpaces>6373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2026-01-19T14:12:00.0000000Z</dcterms:created>
  <dcterms:modified xsi:type="dcterms:W3CDTF">2026-01-19T14:12:00.0000000Z</dcterms:modified>
  <dc:description>------------------------</dc:description>
  <dc:subject/>
  <keywords/>
  <version/>
  <category/>
</coreProperties>
</file>