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5BA1" w:rsidP="00C612F7" w:rsidRDefault="00D05BA1" w14:paraId="0DD57A18" w14:textId="77777777">
      <w:r w:rsidRPr="000120A9">
        <w:t xml:space="preserve">Geachte Voorzitter, </w:t>
      </w:r>
    </w:p>
    <w:p w:rsidR="00D05BA1" w:rsidP="00C612F7" w:rsidRDefault="00D05BA1" w14:paraId="51B99341" w14:textId="77777777"/>
    <w:p w:rsidR="00D05BA1" w:rsidP="00C612F7" w:rsidRDefault="00D05BA1" w14:paraId="27824819" w14:textId="1C5614DC">
      <w:r w:rsidRPr="000120A9">
        <w:t xml:space="preserve">Hierbij stuur ik u het verslag van de Energieraad </w:t>
      </w:r>
      <w:r w:rsidR="00B866DC">
        <w:t xml:space="preserve">die </w:t>
      </w:r>
      <w:r w:rsidRPr="000120A9">
        <w:t xml:space="preserve">op </w:t>
      </w:r>
      <w:r>
        <w:t>15 december</w:t>
      </w:r>
      <w:r w:rsidRPr="000120A9">
        <w:t xml:space="preserve"> 2025 plaatsvond in </w:t>
      </w:r>
      <w:r>
        <w:t xml:space="preserve">Brussel. </w:t>
      </w:r>
    </w:p>
    <w:p w:rsidR="00D05BA1" w:rsidP="00C612F7" w:rsidRDefault="00D05BA1" w14:paraId="4C14A4F9" w14:textId="77777777"/>
    <w:p w:rsidR="00D05BA1" w:rsidP="00C612F7" w:rsidRDefault="00D05BA1" w14:paraId="4F09BFA5" w14:textId="77777777"/>
    <w:p w:rsidR="00C612F7" w:rsidP="00C612F7" w:rsidRDefault="00C612F7" w14:paraId="76AE4AF1" w14:textId="77777777"/>
    <w:p w:rsidR="00C612F7" w:rsidP="00C612F7" w:rsidRDefault="00C612F7" w14:paraId="07C1C33D" w14:textId="77777777"/>
    <w:p w:rsidR="00D05BA1" w:rsidP="00C612F7" w:rsidRDefault="00D05BA1" w14:paraId="4409F8F4" w14:textId="77777777">
      <w:r w:rsidRPr="000120A9">
        <w:t xml:space="preserve">Sophie Hermans </w:t>
      </w:r>
    </w:p>
    <w:p w:rsidR="00D05BA1" w:rsidP="00C612F7" w:rsidRDefault="00D05BA1" w14:paraId="4DA08494" w14:textId="77777777">
      <w:r w:rsidRPr="000120A9">
        <w:t>Minister van Klimaat en Groene Groe</w:t>
      </w:r>
      <w:r>
        <w:t>i</w:t>
      </w:r>
    </w:p>
    <w:p w:rsidR="00D05BA1" w:rsidP="00C612F7" w:rsidRDefault="00D05BA1" w14:paraId="220AF6BD" w14:textId="77777777"/>
    <w:p w:rsidR="00D05BA1" w:rsidP="00C612F7" w:rsidRDefault="00D05BA1" w14:paraId="19A86364" w14:textId="77777777"/>
    <w:p w:rsidR="00D05BA1" w:rsidP="00C612F7" w:rsidRDefault="00D05BA1" w14:paraId="6BF9A5AD" w14:textId="77777777"/>
    <w:p w:rsidR="00D05BA1" w:rsidP="00C612F7" w:rsidRDefault="00D05BA1" w14:paraId="6355E072" w14:textId="77777777">
      <w:r>
        <w:br w:type="page"/>
      </w:r>
    </w:p>
    <w:p w:rsidRPr="000120A9" w:rsidR="00D05BA1" w:rsidP="00C612F7" w:rsidRDefault="00D05BA1" w14:paraId="70906654" w14:textId="77777777">
      <w:pPr>
        <w:pStyle w:val="Voetnoottekst"/>
        <w:spacing w:line="240" w:lineRule="atLeast"/>
        <w:rPr>
          <w:b/>
          <w:bCs/>
          <w:sz w:val="18"/>
          <w:szCs w:val="18"/>
        </w:rPr>
      </w:pPr>
      <w:r w:rsidRPr="000120A9">
        <w:rPr>
          <w:b/>
          <w:bCs/>
          <w:sz w:val="18"/>
          <w:szCs w:val="18"/>
        </w:rPr>
        <w:t xml:space="preserve">Verslag Energieraad </w:t>
      </w:r>
      <w:r>
        <w:rPr>
          <w:b/>
          <w:bCs/>
          <w:sz w:val="18"/>
          <w:szCs w:val="18"/>
        </w:rPr>
        <w:t xml:space="preserve">15 december </w:t>
      </w:r>
      <w:r w:rsidRPr="000120A9">
        <w:rPr>
          <w:b/>
          <w:bCs/>
          <w:sz w:val="18"/>
          <w:szCs w:val="18"/>
        </w:rPr>
        <w:t>2025</w:t>
      </w:r>
    </w:p>
    <w:p w:rsidR="00D05BA1" w:rsidP="00C612F7" w:rsidRDefault="00D05BA1" w14:paraId="6EB29A73" w14:textId="77777777">
      <w:pPr>
        <w:pStyle w:val="Geenafstand"/>
        <w:spacing w:line="240" w:lineRule="atLeast"/>
      </w:pPr>
    </w:p>
    <w:p w:rsidR="00D05BA1" w:rsidP="00C612F7" w:rsidRDefault="00D05BA1" w14:paraId="54DC2A62" w14:textId="0FA674C9">
      <w:pPr>
        <w:pStyle w:val="Geenafstand"/>
        <w:spacing w:line="240" w:lineRule="atLeast"/>
      </w:pPr>
      <w:r>
        <w:t xml:space="preserve">Op 15 december jl. vond in Brussel de Energieraad plaats. Op de agenda stonden: het bereiken van een gedeeltelijke algemene oriëntatie van de </w:t>
      </w:r>
      <w:r w:rsidR="003E3FED">
        <w:t>Raad</w:t>
      </w:r>
      <w:r>
        <w:t xml:space="preserve"> over de </w:t>
      </w:r>
      <w:proofErr w:type="spellStart"/>
      <w:r w:rsidRPr="00580958">
        <w:rPr>
          <w:i/>
          <w:iCs/>
        </w:rPr>
        <w:t>Connecting</w:t>
      </w:r>
      <w:proofErr w:type="spellEnd"/>
      <w:r w:rsidRPr="00580958">
        <w:rPr>
          <w:i/>
          <w:iCs/>
        </w:rPr>
        <w:t xml:space="preserve"> Europe Facility</w:t>
      </w:r>
      <w:r>
        <w:rPr>
          <w:i/>
          <w:iCs/>
        </w:rPr>
        <w:t xml:space="preserve"> </w:t>
      </w:r>
      <w:r w:rsidRPr="000512B5">
        <w:t>(hierna: CEF)</w:t>
      </w:r>
      <w:r w:rsidRPr="00580958">
        <w:t>,</w:t>
      </w:r>
      <w:r>
        <w:t xml:space="preserve"> een beleidsdiscussie over het </w:t>
      </w:r>
      <w:proofErr w:type="spellStart"/>
      <w:r w:rsidRPr="00580958">
        <w:rPr>
          <w:i/>
          <w:iCs/>
        </w:rPr>
        <w:t>Grids</w:t>
      </w:r>
      <w:proofErr w:type="spellEnd"/>
      <w:r w:rsidRPr="00580958">
        <w:rPr>
          <w:i/>
          <w:iCs/>
        </w:rPr>
        <w:t xml:space="preserve"> </w:t>
      </w:r>
      <w:r>
        <w:rPr>
          <w:i/>
          <w:iCs/>
        </w:rPr>
        <w:t>P</w:t>
      </w:r>
      <w:r w:rsidRPr="00580958">
        <w:rPr>
          <w:i/>
          <w:iCs/>
        </w:rPr>
        <w:t>ackage</w:t>
      </w:r>
      <w:r>
        <w:t xml:space="preserve"> van de Europese Commissie (hierna: de Commissie) en een gedachtewisseling over de ‘</w:t>
      </w:r>
      <w:r w:rsidRPr="0099236A">
        <w:rPr>
          <w:i/>
          <w:iCs/>
        </w:rPr>
        <w:t xml:space="preserve">energy-security </w:t>
      </w:r>
      <w:proofErr w:type="spellStart"/>
      <w:r w:rsidRPr="0099236A">
        <w:rPr>
          <w:i/>
          <w:iCs/>
        </w:rPr>
        <w:t>nexus</w:t>
      </w:r>
      <w:proofErr w:type="spellEnd"/>
      <w:r w:rsidRPr="0099236A">
        <w:rPr>
          <w:i/>
          <w:iCs/>
        </w:rPr>
        <w:t>’</w:t>
      </w:r>
      <w:r>
        <w:t>. Daarnaast werden enkele diversenpunten besproken.</w:t>
      </w:r>
    </w:p>
    <w:p w:rsidR="00D05BA1" w:rsidP="00C612F7" w:rsidRDefault="00D05BA1" w14:paraId="1D52CE24" w14:textId="77777777">
      <w:pPr>
        <w:pStyle w:val="Geenafstand"/>
        <w:spacing w:line="240" w:lineRule="atLeast"/>
      </w:pPr>
    </w:p>
    <w:p w:rsidR="00D05BA1" w:rsidP="00C612F7" w:rsidRDefault="00D05BA1" w14:paraId="0CBAFB12" w14:textId="0BA0B140">
      <w:pPr>
        <w:pStyle w:val="Geenafstand"/>
        <w:spacing w:line="240" w:lineRule="atLeast"/>
      </w:pPr>
      <w:r>
        <w:t xml:space="preserve">Eerder was de verwachting dat </w:t>
      </w:r>
      <w:proofErr w:type="spellStart"/>
      <w:r>
        <w:t>REPowerEU</w:t>
      </w:r>
      <w:proofErr w:type="spellEnd"/>
      <w:r>
        <w:t xml:space="preserve"> op de agenda van de Energieraad zou staan,</w:t>
      </w:r>
      <w:r w:rsidR="00B866DC">
        <w:t xml:space="preserve"> </w:t>
      </w:r>
      <w:r w:rsidR="006906E5">
        <w:t>zoals</w:t>
      </w:r>
      <w:r>
        <w:t xml:space="preserve"> vermeld in de geannoteerde agenda (GA) van 26 november 2025. Op 3 december jl. werd echter reeds door de </w:t>
      </w:r>
      <w:r w:rsidR="003E3FED">
        <w:t>Raad</w:t>
      </w:r>
      <w:r>
        <w:t xml:space="preserve"> en het Europees Parlement een voorlopig akkoord bereikt over de </w:t>
      </w:r>
      <w:proofErr w:type="spellStart"/>
      <w:r>
        <w:t>REPowerEU</w:t>
      </w:r>
      <w:proofErr w:type="spellEnd"/>
      <w:r>
        <w:t xml:space="preserve">-verordening, die op termijn voorziet in de volledige en permanente uitfasering van Russisch gas uit de EU. Dit akkoord werd op 10 december jl. bevestigd in </w:t>
      </w:r>
      <w:proofErr w:type="spellStart"/>
      <w:r>
        <w:t>Coreper</w:t>
      </w:r>
      <w:proofErr w:type="spellEnd"/>
      <w:r>
        <w:t xml:space="preserve">. Zoals </w:t>
      </w:r>
      <w:r w:rsidR="00B866DC">
        <w:t>het kabinet</w:t>
      </w:r>
      <w:r>
        <w:t xml:space="preserve"> in de beantwoording op het Schriftelijk Overleg (SO) voor de Energieraad van 11</w:t>
      </w:r>
      <w:r w:rsidR="00C612F7">
        <w:t> </w:t>
      </w:r>
      <w:r>
        <w:t>december jl. meldde, oordeelt het kabinet positief over het bereikte akkoord.</w:t>
      </w:r>
    </w:p>
    <w:p w:rsidR="00D05BA1" w:rsidP="00C612F7" w:rsidRDefault="00D05BA1" w14:paraId="7C3E99A8" w14:textId="77777777">
      <w:pPr>
        <w:rPr>
          <w:b/>
          <w:bCs/>
        </w:rPr>
      </w:pPr>
    </w:p>
    <w:p w:rsidRPr="00FB6B5D" w:rsidR="00D05BA1" w:rsidP="00C612F7" w:rsidRDefault="00D05BA1" w14:paraId="0899C41C" w14:textId="77777777">
      <w:pPr>
        <w:rPr>
          <w:b/>
          <w:bCs/>
        </w:rPr>
      </w:pPr>
      <w:r>
        <w:rPr>
          <w:b/>
          <w:bCs/>
        </w:rPr>
        <w:t xml:space="preserve">Gedeeltelijke algemene oriëntatie </w:t>
      </w:r>
      <w:proofErr w:type="spellStart"/>
      <w:r w:rsidRPr="00FB6B5D">
        <w:rPr>
          <w:b/>
          <w:bCs/>
          <w:i/>
          <w:iCs/>
        </w:rPr>
        <w:t>Connecting</w:t>
      </w:r>
      <w:proofErr w:type="spellEnd"/>
      <w:r w:rsidRPr="00FB6B5D">
        <w:rPr>
          <w:b/>
          <w:bCs/>
          <w:i/>
          <w:iCs/>
        </w:rPr>
        <w:t xml:space="preserve"> Europe Facility </w:t>
      </w:r>
    </w:p>
    <w:p w:rsidR="00D05BA1" w:rsidP="00C612F7" w:rsidRDefault="00D05BA1" w14:paraId="0E05263D" w14:textId="77777777"/>
    <w:p w:rsidR="00D05BA1" w:rsidP="00C612F7" w:rsidRDefault="00D05BA1" w14:paraId="7698B13F" w14:textId="0F37ABEA">
      <w:r>
        <w:t xml:space="preserve">Tijdens de Energieraad is een gedeeltelijke </w:t>
      </w:r>
      <w:r w:rsidR="00B866DC">
        <w:t>algemene oriëntatie</w:t>
      </w:r>
      <w:r w:rsidR="006906E5">
        <w:t xml:space="preserve"> (hierna: AO)</w:t>
      </w:r>
      <w:r w:rsidR="00B866DC">
        <w:t xml:space="preserve"> </w:t>
      </w:r>
      <w:r>
        <w:t xml:space="preserve">bereikt over het Commissievoorstel over de </w:t>
      </w:r>
      <w:proofErr w:type="spellStart"/>
      <w:r>
        <w:t>Connecting</w:t>
      </w:r>
      <w:proofErr w:type="spellEnd"/>
      <w:r>
        <w:t xml:space="preserve"> Europe Facility (CEF) Verordening.</w:t>
      </w:r>
      <w:r w:rsidRPr="6A7F0B9D">
        <w:rPr>
          <w:rStyle w:val="Voetnootmarkering"/>
        </w:rPr>
        <w:footnoteReference w:id="1"/>
      </w:r>
      <w:r>
        <w:t xml:space="preserve"> De CEF is het EU-instrument voor financiering van grensoverschrijdende infrastructuur</w:t>
      </w:r>
      <w:r w:rsidR="00603706">
        <w:rPr>
          <w:rStyle w:val="Voetnootmarkering"/>
        </w:rPr>
        <w:footnoteReference w:id="2"/>
      </w:r>
      <w:r>
        <w:t xml:space="preserve"> binnen het TEN-T en TEN-E</w:t>
      </w:r>
      <w:r w:rsidRPr="6A7F0B9D">
        <w:rPr>
          <w:rStyle w:val="Voetnootmarkering"/>
        </w:rPr>
        <w:footnoteReference w:id="3"/>
      </w:r>
      <w:r>
        <w:t>. Met d</w:t>
      </w:r>
      <w:r w:rsidR="00B866DC">
        <w:t>eze</w:t>
      </w:r>
      <w:r>
        <w:t xml:space="preserve"> gedeeltelijk</w:t>
      </w:r>
      <w:r w:rsidR="00B866DC">
        <w:t>e</w:t>
      </w:r>
      <w:r>
        <w:t xml:space="preserve"> AO zijn de inhoudelijke en procedurele randvoorwaarden vastgesteld waaronder EU-middelen beschikbaar kunnen worden gesteld voor grensoverschrijdende transport-, energie- en militaire mobiliteitsprojecten. Het betrof een gedeeltelijke AO, omdat de budgettaire bepalingen nog niet zijn </w:t>
      </w:r>
      <w:proofErr w:type="spellStart"/>
      <w:r>
        <w:t>uitonderhandeld</w:t>
      </w:r>
      <w:proofErr w:type="spellEnd"/>
      <w:r w:rsidR="38D4C64C">
        <w:t>. Deze zijn</w:t>
      </w:r>
      <w:r>
        <w:t xml:space="preserve"> onderdeel van de bredere onderhandelingen over het Meerjarig Financieel Kader (MFK). De Commissie lichtte tijdens de </w:t>
      </w:r>
      <w:r w:rsidR="003E3FED">
        <w:t>Raad</w:t>
      </w:r>
      <w:r>
        <w:t xml:space="preserve"> toe dat grensoverschrijdende </w:t>
      </w:r>
      <w:proofErr w:type="spellStart"/>
      <w:r>
        <w:t>interconnectiviteit</w:t>
      </w:r>
      <w:proofErr w:type="spellEnd"/>
      <w:r>
        <w:t xml:space="preserve"> de energievoorziening in Europa versterkt en de veerkracht vergroot. In de CEF-verordening zijn de doelstellingen verbreed naar het belang van de bescherming van kritieke energie-infrastructuur, energieopslag en het beëindigen van energie-isolatie, onder meer voor eiland-lidstaten. </w:t>
      </w:r>
    </w:p>
    <w:p w:rsidR="00D05BA1" w:rsidP="00C612F7" w:rsidRDefault="00D05BA1" w14:paraId="5AD4BBD7" w14:textId="77777777"/>
    <w:p w:rsidR="00F74171" w:rsidP="00C612F7" w:rsidRDefault="00D05BA1" w14:paraId="370DA986" w14:textId="65CAE7AD">
      <w:r>
        <w:t xml:space="preserve">Tijdens de </w:t>
      </w:r>
      <w:r w:rsidR="003E3FED">
        <w:t>Raad</w:t>
      </w:r>
      <w:r>
        <w:t xml:space="preserve"> onderstreepten lidstaten het strategische belang van de CEF voor het EU-concurrentievermogen, de energietransitie en de bescherming van kritieke infrastructuur. Over het transportdeel van </w:t>
      </w:r>
      <w:r w:rsidR="00B866DC">
        <w:t xml:space="preserve">de </w:t>
      </w:r>
      <w:r>
        <w:t xml:space="preserve">CEF bestond brede steun onder de lidstaten. Lidstaten benadrukten vooral het belang van grensoverschrijdende infrastructuur en militaire mobiliteit. Over het energiedeel van </w:t>
      </w:r>
      <w:r w:rsidR="00B866DC">
        <w:t xml:space="preserve">de </w:t>
      </w:r>
      <w:r>
        <w:t xml:space="preserve">CEF deelden enkele lidstaten zorgen </w:t>
      </w:r>
      <w:r w:rsidR="00B866DC">
        <w:t>ten aanzien van</w:t>
      </w:r>
      <w:r>
        <w:t xml:space="preserve"> de sterke focus op nieuwe </w:t>
      </w:r>
      <w:proofErr w:type="spellStart"/>
      <w:r>
        <w:t>interconnecties</w:t>
      </w:r>
      <w:proofErr w:type="spellEnd"/>
      <w:r>
        <w:t xml:space="preserve"> en de beperkte focus op </w:t>
      </w:r>
      <w:r w:rsidR="00B866DC">
        <w:t xml:space="preserve">een </w:t>
      </w:r>
      <w:r>
        <w:t>optimaal gebruik van bestaande netten. Enkele lidstaten betreurden dat gasdiversificatieprojecten</w:t>
      </w:r>
      <w:r w:rsidR="5167F175">
        <w:t xml:space="preserve"> niet zijn opgenomen</w:t>
      </w:r>
      <w:r>
        <w:t xml:space="preserve"> onder </w:t>
      </w:r>
      <w:r w:rsidR="00B866DC">
        <w:t xml:space="preserve">de </w:t>
      </w:r>
      <w:r>
        <w:t xml:space="preserve">CEF, omdat de TEN-E verordening geen ruimte laat voor fossiele projecten. </w:t>
      </w:r>
    </w:p>
    <w:p w:rsidR="00F74171" w:rsidP="00C612F7" w:rsidRDefault="00F74171" w14:paraId="7DFE6D64" w14:textId="77777777"/>
    <w:p w:rsidR="00D05BA1" w:rsidP="00C612F7" w:rsidRDefault="2DAC2EE8" w14:paraId="1D20EDDC" w14:textId="37EC4421">
      <w:r>
        <w:t xml:space="preserve">Ondanks de genoemde aandachtspunten konden vrijwel alle lidstaten de AO steunen. Ook </w:t>
      </w:r>
      <w:r w:rsidR="00D05BA1">
        <w:t xml:space="preserve">Nederland sprak steun uit voor de tekst en specifiek voor het feit dat de CEF zich richt op het verbeteren van </w:t>
      </w:r>
      <w:proofErr w:type="spellStart"/>
      <w:r w:rsidR="00D05BA1">
        <w:t>interconnectiviteit</w:t>
      </w:r>
      <w:proofErr w:type="spellEnd"/>
      <w:r w:rsidR="00D05BA1">
        <w:t xml:space="preserve"> via grensoverschrijdende transport, energie- en militaire mobiliteitsprojecten. Ook benadrukte Nederland het belang van de versterking en modernisering van grensoverschrijdende energie-infrastructuur met integratie van schone, duurzame energiebronnen. </w:t>
      </w:r>
    </w:p>
    <w:p w:rsidR="00BE7A96" w:rsidP="00C612F7" w:rsidRDefault="00BE7A96" w14:paraId="03004998" w14:textId="77777777"/>
    <w:p w:rsidR="00D05BA1" w:rsidP="00C612F7" w:rsidRDefault="00D05BA1" w14:paraId="452FD479" w14:textId="3426D67A">
      <w:r>
        <w:t xml:space="preserve">Nu de </w:t>
      </w:r>
      <w:r w:rsidR="003E3FED">
        <w:t>Raad</w:t>
      </w:r>
      <w:r>
        <w:t xml:space="preserve"> tot een AO is gekomen, zal onder leiding van </w:t>
      </w:r>
      <w:r w:rsidR="00D40D32">
        <w:t xml:space="preserve">een volgend </w:t>
      </w:r>
      <w:r>
        <w:t xml:space="preserve">voorzitterschap de </w:t>
      </w:r>
      <w:proofErr w:type="spellStart"/>
      <w:r>
        <w:t>triloogonderhandeling</w:t>
      </w:r>
      <w:proofErr w:type="spellEnd"/>
      <w:r>
        <w:t xml:space="preserve"> met het Europees Parlement beginnen. Zoals benoemd zullen de budgettaire aspecten onderdeel zijn van de bredere MFK-onderhandeling. In </w:t>
      </w:r>
      <w:r w:rsidR="4CDF5D21">
        <w:t>het</w:t>
      </w:r>
      <w:r>
        <w:t xml:space="preserve"> kader van deze onderhandelingen riep de Commissie lidstaten op om het voorgestelde verhoogde CEF-budget te behouden.</w:t>
      </w:r>
    </w:p>
    <w:p w:rsidR="00D05BA1" w:rsidP="00C612F7" w:rsidRDefault="00D05BA1" w14:paraId="56F706C3" w14:textId="77777777"/>
    <w:p w:rsidRPr="00FB6B5D" w:rsidR="00D05BA1" w:rsidP="00C612F7" w:rsidRDefault="00D05BA1" w14:paraId="5DCB5AC1" w14:textId="77777777">
      <w:pPr>
        <w:rPr>
          <w:b/>
          <w:bCs/>
        </w:rPr>
      </w:pPr>
      <w:r>
        <w:rPr>
          <w:b/>
          <w:bCs/>
        </w:rPr>
        <w:t xml:space="preserve">Beleidsdiscussie European </w:t>
      </w:r>
      <w:proofErr w:type="spellStart"/>
      <w:r w:rsidRPr="00FB6B5D">
        <w:rPr>
          <w:b/>
          <w:bCs/>
        </w:rPr>
        <w:t>Grids</w:t>
      </w:r>
      <w:proofErr w:type="spellEnd"/>
      <w:r w:rsidRPr="00FB6B5D">
        <w:rPr>
          <w:b/>
          <w:bCs/>
        </w:rPr>
        <w:t xml:space="preserve"> Package</w:t>
      </w:r>
    </w:p>
    <w:p w:rsidRPr="00FB6B5D" w:rsidR="00D05BA1" w:rsidP="00C612F7" w:rsidRDefault="00D05BA1" w14:paraId="5D6577E0" w14:textId="77777777">
      <w:pPr>
        <w:rPr>
          <w:b/>
          <w:bCs/>
        </w:rPr>
      </w:pPr>
    </w:p>
    <w:p w:rsidR="00D05BA1" w:rsidP="00C612F7" w:rsidRDefault="00D05BA1" w14:paraId="18B4BD72" w14:textId="5CC21860">
      <w:pPr>
        <w:pStyle w:val="Geenafstand"/>
        <w:spacing w:line="240" w:lineRule="atLeast"/>
      </w:pPr>
      <w:r w:rsidRPr="00855EDE">
        <w:t xml:space="preserve">Tijdens de </w:t>
      </w:r>
      <w:r w:rsidR="003E3FED">
        <w:t>Raad</w:t>
      </w:r>
      <w:r w:rsidRPr="00855EDE">
        <w:t xml:space="preserve"> vond een beleidsdiscussie plaats over het European </w:t>
      </w:r>
      <w:proofErr w:type="spellStart"/>
      <w:r w:rsidRPr="00855EDE">
        <w:t>Grids</w:t>
      </w:r>
      <w:proofErr w:type="spellEnd"/>
      <w:r w:rsidRPr="00855EDE">
        <w:t xml:space="preserve"> Package dat op 10 december jl. door de Commissie werd gepresenteerd.</w:t>
      </w:r>
      <w:r>
        <w:t xml:space="preserve"> De Commissie lichtte tijdens de </w:t>
      </w:r>
      <w:r w:rsidR="003E3FED">
        <w:t>Raad</w:t>
      </w:r>
      <w:r>
        <w:t xml:space="preserve"> toe dat de voorstellen in het </w:t>
      </w:r>
      <w:proofErr w:type="spellStart"/>
      <w:r>
        <w:t>Grids</w:t>
      </w:r>
      <w:proofErr w:type="spellEnd"/>
      <w:r>
        <w:t xml:space="preserve"> Package moeten bijdragen aan de verlaging van de energieprijzen, het versterken van de Europese energieonafhankelijkheid en het </w:t>
      </w:r>
      <w:proofErr w:type="spellStart"/>
      <w:r>
        <w:t>decarboniseren</w:t>
      </w:r>
      <w:proofErr w:type="spellEnd"/>
      <w:r>
        <w:t xml:space="preserve"> van het energiesysteem. Ten eerste benadrukte de Commissie het belang van meer top-down netwerkplanning en scenario-ontwikkeling op Europees niveau in lijn met de Europese klimaat- en energie doelen. Dit bevordert een optimale en kosteneffectieve planning op Europees niveau, ook voor grensoverschrijdende projecten. Volgens de Commissie gaat dit niet ten koste van nationale bevoegdheden van lidstaten. Ten tweede wil de Commissie vergunningstermijnen voor energieprojecten fors verkorten, met oog voor natuurbehoud. Ten derde onderstreepte de Commissie dat veiligheid integraal onderdeel moet zijn van toekomstige energie-infrastructuurprojecten.</w:t>
      </w:r>
    </w:p>
    <w:p w:rsidR="00D05BA1" w:rsidP="00C612F7" w:rsidRDefault="00D05BA1" w14:paraId="68D4758F" w14:textId="77777777"/>
    <w:p w:rsidR="00D05BA1" w:rsidP="00C612F7" w:rsidRDefault="00D05BA1" w14:paraId="39AEE32A" w14:textId="399998A4">
      <w:r>
        <w:t>Het merendeel van de lidstaten verwelkomde het pakket en onderschreef de voorstellen. Gezien de recente publicatie maakten lidstaten veelal een studievoorbehoud. Lidstaten waren verdeeld over de noodzaak van een meer top-down benadering. Sommige lidstaten z</w:t>
      </w:r>
      <w:r w:rsidR="00B866DC">
        <w:t>ien</w:t>
      </w:r>
      <w:r>
        <w:t xml:space="preserve"> dit als noodzakelijk voor coördinatie en het wegnemen van knelpunten, terwijl anderen vrezen dat het </w:t>
      </w:r>
      <w:r w:rsidR="00B866DC">
        <w:t xml:space="preserve">de </w:t>
      </w:r>
      <w:r>
        <w:t xml:space="preserve">nationale zeggenschap beperkt en flexibiliteit bij netwerkplanning vermindert. Sommige lidstaten uitten zorgen dat bepaalde voorstellen kunnen leiden tot hogere nettarieven en extra lasten, vooral voor landen die al veel hebben geïnvesteerd in hun eigen infrastructuur. Voorstellen voor kostendeling moeten daarom volgens deze lidstaten transparant en goed uitlegbaar zijn. Ten aanzien van vergunningverlening steunden lidstaten de versnelling van procedures, maar benadrukten het belang van milieubescherming en de coherentie tussen Europese en nationale wetgeving. Enkele lidstaten vroegen aandacht voor het behoud van fossiele infrastructuur in het licht van de uitfasering van Russisch gas en olie onder </w:t>
      </w:r>
      <w:proofErr w:type="spellStart"/>
      <w:r>
        <w:t>REPowerEU</w:t>
      </w:r>
      <w:proofErr w:type="spellEnd"/>
      <w:r>
        <w:t xml:space="preserve">. </w:t>
      </w:r>
    </w:p>
    <w:p w:rsidR="00D05BA1" w:rsidP="00C612F7" w:rsidRDefault="00D05BA1" w14:paraId="054D9189" w14:textId="77777777"/>
    <w:p w:rsidR="00D05BA1" w:rsidP="00C612F7" w:rsidRDefault="00D05BA1" w14:paraId="0BD4EEFE" w14:textId="6A858C0C">
      <w:r>
        <w:t xml:space="preserve">Nederland verwelkomde, onder een studievoorbehoud, het voorstel en gaf aan dit als kans te zien de energienetten te moderniseren en de Europese energiemarkt te versterken. </w:t>
      </w:r>
      <w:r w:rsidR="00B866DC">
        <w:t>Nederland verwelkomde het</w:t>
      </w:r>
      <w:r>
        <w:t xml:space="preserve"> vereenvoudigen van vergunningverlening en specifiek de verduidelijking rond stikstofemissies tijdens de aanleg van elektriciteitsinfrastructuur. Ook werd het belang van een eerlijk en transparant kostendelingsmechanisme benadrukt. Ook ondersteunde Nederland het voorstel </w:t>
      </w:r>
      <w:r w:rsidR="0085683F">
        <w:t>voor</w:t>
      </w:r>
      <w:r>
        <w:t xml:space="preserve"> een top-down netwerkplanning. Tot slot prees Nederland de opname van een </w:t>
      </w:r>
      <w:proofErr w:type="spellStart"/>
      <w:r w:rsidRPr="009476F6">
        <w:rPr>
          <w:i/>
          <w:iCs/>
        </w:rPr>
        <w:t>toolbox</w:t>
      </w:r>
      <w:proofErr w:type="spellEnd"/>
      <w:r w:rsidRPr="009476F6">
        <w:rPr>
          <w:i/>
          <w:iCs/>
        </w:rPr>
        <w:t xml:space="preserve"> </w:t>
      </w:r>
      <w:r>
        <w:t xml:space="preserve">om netcongestie te verminderen en de toegang tot het netwerk te verbeteren. </w:t>
      </w:r>
    </w:p>
    <w:p w:rsidR="00D05BA1" w:rsidP="00C612F7" w:rsidRDefault="00D05BA1" w14:paraId="02E13EEC" w14:textId="77777777"/>
    <w:p w:rsidR="00D05BA1" w:rsidP="00C612F7" w:rsidRDefault="00D05BA1" w14:paraId="1637A380" w14:textId="09E64191">
      <w:r>
        <w:t xml:space="preserve">In de komende periode zullen onderhandelingen plaatsvinden over de voorstellen om uiteindelijk te komen tot </w:t>
      </w:r>
      <w:proofErr w:type="spellStart"/>
      <w:r>
        <w:t>AO’s</w:t>
      </w:r>
      <w:proofErr w:type="spellEnd"/>
      <w:r>
        <w:t xml:space="preserve"> van de </w:t>
      </w:r>
      <w:r w:rsidR="003E3FED">
        <w:t>Raad</w:t>
      </w:r>
      <w:r>
        <w:t xml:space="preserve"> op het </w:t>
      </w:r>
      <w:proofErr w:type="spellStart"/>
      <w:r>
        <w:t>Grids</w:t>
      </w:r>
      <w:proofErr w:type="spellEnd"/>
      <w:r>
        <w:t xml:space="preserve"> Package. Het kabinet informeert </w:t>
      </w:r>
      <w:r w:rsidR="003E3FED">
        <w:t xml:space="preserve">binnenkort </w:t>
      </w:r>
      <w:r w:rsidR="005C1DF2">
        <w:t xml:space="preserve">de </w:t>
      </w:r>
      <w:r>
        <w:t xml:space="preserve">Kamer via een BNC-fiche over de kabinetspositie op deze voorstellen. </w:t>
      </w:r>
    </w:p>
    <w:p w:rsidR="00C612F7" w:rsidP="00C612F7" w:rsidRDefault="00C612F7" w14:paraId="2F8CB0B5" w14:textId="77777777">
      <w:pPr>
        <w:rPr>
          <w:b/>
          <w:bCs/>
        </w:rPr>
      </w:pPr>
    </w:p>
    <w:p w:rsidR="00D05BA1" w:rsidP="00C612F7" w:rsidRDefault="00D05BA1" w14:paraId="56831158" w14:textId="5912567C">
      <w:pPr>
        <w:rPr>
          <w:b/>
          <w:bCs/>
        </w:rPr>
      </w:pPr>
      <w:r w:rsidRPr="00FB6B5D">
        <w:rPr>
          <w:b/>
          <w:bCs/>
        </w:rPr>
        <w:t xml:space="preserve">Energy-security </w:t>
      </w:r>
      <w:proofErr w:type="spellStart"/>
      <w:r w:rsidRPr="00FB6B5D">
        <w:rPr>
          <w:b/>
          <w:bCs/>
        </w:rPr>
        <w:t>nexus</w:t>
      </w:r>
      <w:proofErr w:type="spellEnd"/>
    </w:p>
    <w:p w:rsidR="00D05BA1" w:rsidP="00C612F7" w:rsidRDefault="00D05BA1" w14:paraId="7D3D3934" w14:textId="616E0801">
      <w:r w:rsidRPr="00855EDE">
        <w:t xml:space="preserve">Tijdens de </w:t>
      </w:r>
      <w:r w:rsidR="003E3FED">
        <w:t>Raad</w:t>
      </w:r>
      <w:r w:rsidRPr="00855EDE">
        <w:t xml:space="preserve"> vond een </w:t>
      </w:r>
      <w:r>
        <w:t xml:space="preserve">gedachtewisseling plaats over de </w:t>
      </w:r>
      <w:r w:rsidRPr="006521DB">
        <w:rPr>
          <w:i/>
          <w:iCs/>
        </w:rPr>
        <w:t xml:space="preserve">energy-security </w:t>
      </w:r>
      <w:proofErr w:type="spellStart"/>
      <w:r w:rsidRPr="006521DB">
        <w:rPr>
          <w:i/>
          <w:iCs/>
        </w:rPr>
        <w:t>nexus</w:t>
      </w:r>
      <w:proofErr w:type="spellEnd"/>
      <w:r>
        <w:rPr>
          <w:i/>
          <w:iCs/>
        </w:rPr>
        <w:t xml:space="preserve">, </w:t>
      </w:r>
      <w:r>
        <w:t xml:space="preserve">in bijzijn van de plaatsvervangend </w:t>
      </w:r>
      <w:r w:rsidR="002B512B">
        <w:t>s</w:t>
      </w:r>
      <w:r>
        <w:t xml:space="preserve">ecretaris-generaal van de </w:t>
      </w:r>
      <w:r w:rsidRPr="00580958">
        <w:t>Noord-Atlantische Verdragsorganisatie (NAVO)</w:t>
      </w:r>
      <w:r>
        <w:t>. Deze ‘</w:t>
      </w:r>
      <w:proofErr w:type="spellStart"/>
      <w:r>
        <w:t>nexus</w:t>
      </w:r>
      <w:proofErr w:type="spellEnd"/>
      <w:r>
        <w:t xml:space="preserve">’ ziet op de verwevenheid tussen de thema’s collectieve </w:t>
      </w:r>
      <w:r w:rsidR="00BC01BF">
        <w:t>verdediging,</w:t>
      </w:r>
      <w:r>
        <w:t xml:space="preserve"> energiezekerheid en energieveiligheid. De </w:t>
      </w:r>
      <w:proofErr w:type="spellStart"/>
      <w:r>
        <w:t>plv</w:t>
      </w:r>
      <w:proofErr w:type="spellEnd"/>
      <w:r>
        <w:t>. NAVO SG ben</w:t>
      </w:r>
      <w:r w:rsidR="00E4310E">
        <w:t>adrukte de verhoogde</w:t>
      </w:r>
      <w:r>
        <w:t xml:space="preserve"> aandacht voor veiligheid </w:t>
      </w:r>
      <w:r w:rsidR="00E4310E">
        <w:t>vanwege</w:t>
      </w:r>
      <w:r>
        <w:t xml:space="preserve"> geopolitieke spanningen en specifiek de oorlog op het Europese continent. D</w:t>
      </w:r>
      <w:r w:rsidR="00E4310E">
        <w:t>e geopolitieke situatie</w:t>
      </w:r>
      <w:r>
        <w:t xml:space="preserve"> gaat gepaard met een hogere energiebehoefte vanuit de defensiesector, terwijl parallel </w:t>
      </w:r>
      <w:r w:rsidR="00E4310E">
        <w:t xml:space="preserve">hieraan </w:t>
      </w:r>
      <w:r>
        <w:t xml:space="preserve">het energiesysteem sterk verandert door de energietransitie en door het wegvallen van voormalige energieleveranciers, zoals Rusland. In dit kader riep de </w:t>
      </w:r>
      <w:r w:rsidR="00E4310E">
        <w:t xml:space="preserve">plaatsvervangend SG van de </w:t>
      </w:r>
      <w:r>
        <w:t xml:space="preserve">NAVO op tot diversificatie van importstromen, zodat </w:t>
      </w:r>
      <w:r w:rsidR="0066127D">
        <w:t xml:space="preserve">de </w:t>
      </w:r>
      <w:r>
        <w:t xml:space="preserve">EU strategisch onafhankelijk kan worden. Ten tweede </w:t>
      </w:r>
      <w:r w:rsidR="00E4310E">
        <w:t>onderstreepte</w:t>
      </w:r>
      <w:r>
        <w:t xml:space="preserve"> z</w:t>
      </w:r>
      <w:r w:rsidR="00E4310E">
        <w:t>ij</w:t>
      </w:r>
      <w:r>
        <w:t xml:space="preserve"> de noodzaak </w:t>
      </w:r>
      <w:r w:rsidR="00E4310E">
        <w:t>van</w:t>
      </w:r>
      <w:r>
        <w:t xml:space="preserve"> een weerbare energie-infrastructuur en verwees daarbij naar Russische aanvallen op </w:t>
      </w:r>
      <w:r w:rsidR="00E4310E">
        <w:t xml:space="preserve">de </w:t>
      </w:r>
      <w:r>
        <w:t xml:space="preserve">energie-infrastructuur in Oekraïne en sabotage in EU-lidstaten. Ten derde benadrukte ze het belang van een structurele dialoog tussen de NAVO en EU op dit thema. </w:t>
      </w:r>
    </w:p>
    <w:p w:rsidR="00D05BA1" w:rsidP="00C612F7" w:rsidRDefault="00D05BA1" w14:paraId="30C870BC" w14:textId="77777777"/>
    <w:p w:rsidR="00D05BA1" w:rsidP="00C612F7" w:rsidRDefault="00D05BA1" w14:paraId="1499A50E" w14:textId="705C3DF7">
      <w:r>
        <w:t>Lidstaten, waaronder Nederland, onderschreven de boodschap van de pl</w:t>
      </w:r>
      <w:r w:rsidR="00E4310E">
        <w:t>aatsvervangend SG van de</w:t>
      </w:r>
      <w:r>
        <w:t xml:space="preserve"> NAVO om </w:t>
      </w:r>
      <w:r w:rsidR="005C1DF2">
        <w:t xml:space="preserve">meer </w:t>
      </w:r>
      <w:r>
        <w:t>integra</w:t>
      </w:r>
      <w:r w:rsidR="005C1DF2">
        <w:t>a</w:t>
      </w:r>
      <w:r>
        <w:t xml:space="preserve">l te kijken naar energiebeleid en collectieve </w:t>
      </w:r>
      <w:r w:rsidR="00BC01BF">
        <w:t xml:space="preserve">verdediging en </w:t>
      </w:r>
      <w:r>
        <w:t xml:space="preserve">veiligheid. Ook noemden vele lidstaten, inclusief Nederland, dat de energietransitie een belangrijk vehikel is om strategische afhankelijkheden te verminderen, zoals </w:t>
      </w:r>
      <w:r w:rsidR="00E4310E">
        <w:t xml:space="preserve">van </w:t>
      </w:r>
      <w:r>
        <w:t xml:space="preserve">Russische fossiele brandstoffen en </w:t>
      </w:r>
      <w:r w:rsidR="00E4310E">
        <w:t xml:space="preserve">van </w:t>
      </w:r>
      <w:r>
        <w:t>kritieke technologieën en grondstoffen uit bijvoorbeeld China. Daarbij werd gewaarschuwd om in de energietransitie geen nieuwe afhankelijkheden te creëren. Tegelijk</w:t>
      </w:r>
      <w:r w:rsidR="00E4310E">
        <w:t>ertijd</w:t>
      </w:r>
      <w:r>
        <w:t xml:space="preserve"> erkenden veel lidstaten dat fossiele brandstoffen, met name vloeibare brandstoffen en gas, op de middellange termijn onmisbaar blijven voor defensie, mobiliteit en leveringszekerheid, vooral aan de oostflank van Europa. Lidstaten steunden een pragmatische benadering van de energietransitie in relatie tot veiligheid, </w:t>
      </w:r>
      <w:r w:rsidRPr="0003598E" w:rsidR="0003598E">
        <w:t>waarbij de kansen van de energietransitie ook bij defensie worden benut, zonder de operationele inzetbaarheid en leveringszekerheid te beperken.</w:t>
      </w:r>
      <w:r w:rsidRPr="0003598E" w:rsidDel="0003598E" w:rsidR="0003598E">
        <w:t xml:space="preserve"> </w:t>
      </w:r>
      <w:r w:rsidRPr="000512B5">
        <w:t xml:space="preserve">Daarnaast benadrukte Nederland het belang van de bescherming van kritieke energie-infrastructuur en pleitte </w:t>
      </w:r>
      <w:r w:rsidR="00762033">
        <w:t>Nederland</w:t>
      </w:r>
      <w:r w:rsidRPr="000512B5">
        <w:t xml:space="preserve"> voor het onderzoeken van mogelijkheden op Europees niveau om deze infrastructuur te beschermen en te </w:t>
      </w:r>
      <w:r w:rsidR="00BC01BF">
        <w:t>repareren</w:t>
      </w:r>
      <w:r>
        <w:t xml:space="preserve">. Tot slot was er brede consensus voor nauwere samenwerking en informatie-uitwisseling tussen </w:t>
      </w:r>
      <w:r w:rsidR="00E4310E">
        <w:t xml:space="preserve">de </w:t>
      </w:r>
      <w:r>
        <w:t xml:space="preserve">EU en </w:t>
      </w:r>
      <w:r w:rsidR="00E4310E">
        <w:t xml:space="preserve">de </w:t>
      </w:r>
      <w:r>
        <w:t xml:space="preserve">NAVO over dit onderwerp. </w:t>
      </w:r>
    </w:p>
    <w:p w:rsidR="00D05BA1" w:rsidP="00C612F7" w:rsidRDefault="00D05BA1" w14:paraId="655DCBDF" w14:textId="77777777"/>
    <w:p w:rsidR="00D05BA1" w:rsidP="00C612F7" w:rsidRDefault="00D05BA1" w14:paraId="5A631648" w14:textId="77777777">
      <w:pPr>
        <w:rPr>
          <w:b/>
          <w:bCs/>
        </w:rPr>
      </w:pPr>
      <w:r w:rsidRPr="00FB6B5D">
        <w:rPr>
          <w:b/>
          <w:bCs/>
        </w:rPr>
        <w:t>Diversenpunten</w:t>
      </w:r>
    </w:p>
    <w:p w:rsidRPr="00A15C65" w:rsidR="00D05BA1" w:rsidP="00C612F7" w:rsidRDefault="00D05BA1" w14:paraId="265AB40E" w14:textId="77777777">
      <w:pPr>
        <w:rPr>
          <w:i/>
          <w:iCs/>
        </w:rPr>
      </w:pPr>
    </w:p>
    <w:p w:rsidRPr="00A15C65" w:rsidR="00D05BA1" w:rsidP="00C612F7" w:rsidRDefault="00D05BA1" w14:paraId="00BA4625" w14:textId="77777777">
      <w:pPr>
        <w:rPr>
          <w:i/>
          <w:iCs/>
        </w:rPr>
      </w:pPr>
      <w:r w:rsidRPr="00A15C65">
        <w:rPr>
          <w:i/>
          <w:iCs/>
        </w:rPr>
        <w:t xml:space="preserve">Energy Union </w:t>
      </w:r>
      <w:proofErr w:type="spellStart"/>
      <w:r w:rsidRPr="00A15C65">
        <w:rPr>
          <w:i/>
          <w:iCs/>
        </w:rPr>
        <w:t>Task</w:t>
      </w:r>
      <w:proofErr w:type="spellEnd"/>
      <w:r w:rsidRPr="00A15C65">
        <w:rPr>
          <w:i/>
          <w:iCs/>
        </w:rPr>
        <w:t xml:space="preserve"> Force </w:t>
      </w:r>
    </w:p>
    <w:p w:rsidR="00D05BA1" w:rsidP="00C612F7" w:rsidRDefault="00D05BA1" w14:paraId="0521B0BE" w14:textId="0DA2DDB5">
      <w:r w:rsidRPr="00A15C65">
        <w:t xml:space="preserve">De Commissie lichtte de Energy Union </w:t>
      </w:r>
      <w:proofErr w:type="spellStart"/>
      <w:r w:rsidRPr="00A15C65">
        <w:t>Task</w:t>
      </w:r>
      <w:proofErr w:type="spellEnd"/>
      <w:r w:rsidRPr="00A15C65">
        <w:t xml:space="preserve"> Force toe, die in juni 2025 is opgericht als platform voor </w:t>
      </w:r>
      <w:r>
        <w:t xml:space="preserve">informele </w:t>
      </w:r>
      <w:r w:rsidRPr="00A15C65">
        <w:t>thematische uitwisseling met lidstaten over het vervolmaken van de Energie</w:t>
      </w:r>
      <w:r>
        <w:t xml:space="preserve"> </w:t>
      </w:r>
      <w:r w:rsidRPr="00A15C65">
        <w:t xml:space="preserve">Unie. Sinds de oprichting is gesproken over onder meer energieprijzen, regionale prijsverschillen, netuitbreiding, staatssteun, energiebelasting en de implementatie van de Methaanverordening. De Commissie kondigde aan in 2026 een overzicht van </w:t>
      </w:r>
      <w:r w:rsidRPr="002D6E84">
        <w:rPr>
          <w:i/>
          <w:iCs/>
        </w:rPr>
        <w:t xml:space="preserve">best </w:t>
      </w:r>
      <w:proofErr w:type="spellStart"/>
      <w:r w:rsidRPr="002D6E84">
        <w:rPr>
          <w:i/>
          <w:iCs/>
        </w:rPr>
        <w:t>practices</w:t>
      </w:r>
      <w:proofErr w:type="spellEnd"/>
      <w:r w:rsidRPr="00A15C65">
        <w:t xml:space="preserve"> te </w:t>
      </w:r>
      <w:r w:rsidR="00E4310E">
        <w:t xml:space="preserve">zullen </w:t>
      </w:r>
      <w:r w:rsidRPr="00A15C65">
        <w:t xml:space="preserve">presenteren. </w:t>
      </w:r>
    </w:p>
    <w:p w:rsidR="00D05BA1" w:rsidP="00C612F7" w:rsidRDefault="00D05BA1" w14:paraId="78861E72" w14:textId="77777777"/>
    <w:p w:rsidRPr="00527E51" w:rsidR="00D05BA1" w:rsidP="00C612F7" w:rsidRDefault="00D05BA1" w14:paraId="4C4AF44E" w14:textId="77777777">
      <w:pPr>
        <w:rPr>
          <w:i/>
          <w:iCs/>
        </w:rPr>
      </w:pPr>
      <w:r w:rsidRPr="00527E51">
        <w:rPr>
          <w:i/>
          <w:iCs/>
        </w:rPr>
        <w:t>Methaanverordening</w:t>
      </w:r>
    </w:p>
    <w:p w:rsidR="00D05BA1" w:rsidP="00C612F7" w:rsidRDefault="00D05BA1" w14:paraId="728B3CB5" w14:textId="265E82D7">
      <w:r w:rsidRPr="00D718C9">
        <w:t>De Methaanverordening verplicht olie- en gasimporteurs om emissies bij productie te rapporteren, wat lastig is bij complexe leveringsketens</w:t>
      </w:r>
      <w:r>
        <w:t xml:space="preserve"> waarbij de oorsprong van productie niet altijd duidelijk is</w:t>
      </w:r>
      <w:r w:rsidRPr="00D718C9">
        <w:t>. De Europese Commissie wil pragmatische oplossingen</w:t>
      </w:r>
      <w:r>
        <w:t xml:space="preserve"> invoeren</w:t>
      </w:r>
      <w:r w:rsidRPr="00D718C9">
        <w:t xml:space="preserve"> zonder de verordening te heropenen, zoals het toestaan van eenvoudige methodes voor importeurs en het rekening houden met leveringszekerheid bij sancties, bijvoorbeeld door boetes tijdelijk op te schorten bij risico op verstoringen.</w:t>
      </w:r>
      <w:r>
        <w:t xml:space="preserve"> Nederland</w:t>
      </w:r>
      <w:r w:rsidR="006906E5">
        <w:t>,</w:t>
      </w:r>
      <w:r>
        <w:t xml:space="preserve"> </w:t>
      </w:r>
      <w:r w:rsidR="00E4310E">
        <w:t xml:space="preserve">tezamen met </w:t>
      </w:r>
      <w:r w:rsidR="006906E5">
        <w:t xml:space="preserve">meerdere </w:t>
      </w:r>
      <w:r>
        <w:t>lidstaten</w:t>
      </w:r>
      <w:r w:rsidR="006906E5">
        <w:t>,</w:t>
      </w:r>
      <w:r>
        <w:t xml:space="preserve"> sprak</w:t>
      </w:r>
      <w:r w:rsidR="00E4310E">
        <w:t xml:space="preserve"> </w:t>
      </w:r>
      <w:r>
        <w:t>steun uit voor deze aanpak, en benadrukte hierbij de urgentie om snel tot werkbare oplossingen te komen.</w:t>
      </w:r>
    </w:p>
    <w:p w:rsidR="00D05BA1" w:rsidP="00C612F7" w:rsidRDefault="00D05BA1" w14:paraId="62A4ECEE" w14:textId="77777777"/>
    <w:p w:rsidRPr="001A35B6" w:rsidR="00D05BA1" w:rsidP="00C612F7" w:rsidRDefault="00D05BA1" w14:paraId="6C2245FE" w14:textId="77777777">
      <w:pPr>
        <w:rPr>
          <w:i/>
          <w:iCs/>
        </w:rPr>
      </w:pPr>
      <w:r w:rsidRPr="001A35B6">
        <w:rPr>
          <w:i/>
          <w:iCs/>
        </w:rPr>
        <w:t>Prijssteun en staatssteun</w:t>
      </w:r>
    </w:p>
    <w:p w:rsidRPr="00A82242" w:rsidR="00D05BA1" w:rsidP="00C612F7" w:rsidRDefault="00D05BA1" w14:paraId="79E411D0" w14:textId="02827E27">
      <w:r w:rsidRPr="00A82242">
        <w:t>Portugal, Spanje, Finland en Ierland</w:t>
      </w:r>
      <w:r w:rsidRPr="00912AD8" w:rsidR="00912AD8">
        <w:t xml:space="preserve"> wezen erop dat in recente jaren verschillende lidstaten steunmaatregelen hebben ingevoerd om hoge energiekosten, vooral voor de industrie, te beperken</w:t>
      </w:r>
      <w:r w:rsidR="00912AD8">
        <w:t xml:space="preserve">. </w:t>
      </w:r>
      <w:r w:rsidR="00F94A81">
        <w:t xml:space="preserve">De </w:t>
      </w:r>
      <w:r w:rsidRPr="00912AD8" w:rsidR="00F94A81">
        <w:t xml:space="preserve">verschillen </w:t>
      </w:r>
      <w:r w:rsidR="00F94A81">
        <w:t xml:space="preserve">van de maatregelen </w:t>
      </w:r>
      <w:r w:rsidRPr="00912AD8" w:rsidR="00F94A81">
        <w:t xml:space="preserve">tussen lidstaten </w:t>
      </w:r>
      <w:r w:rsidR="00F94A81">
        <w:t>(</w:t>
      </w:r>
      <w:r w:rsidRPr="00912AD8" w:rsidR="00F94A81">
        <w:t>schaal, duur en vorm</w:t>
      </w:r>
      <w:r w:rsidR="00F94A81">
        <w:t xml:space="preserve">) </w:t>
      </w:r>
      <w:r w:rsidRPr="00912AD8" w:rsidR="00F94A81">
        <w:t>kunnen leiden tot</w:t>
      </w:r>
      <w:r w:rsidR="00F94A81">
        <w:t xml:space="preserve"> </w:t>
      </w:r>
      <w:r w:rsidRPr="00912AD8" w:rsidR="00F94A81">
        <w:t>prijsverschillen en verstoring van het gelijke speelveld binnen de interne energiemarkt.</w:t>
      </w:r>
      <w:r w:rsidRPr="00A82242" w:rsidR="00F94A81">
        <w:t xml:space="preserve"> </w:t>
      </w:r>
      <w:r w:rsidR="00912AD8">
        <w:t xml:space="preserve">Deze lidstaten vroegen </w:t>
      </w:r>
      <w:r w:rsidRPr="00A82242">
        <w:t xml:space="preserve">de Europese Commissie om meer transparantie en betere coördinatie </w:t>
      </w:r>
      <w:r w:rsidR="00912AD8">
        <w:t>op dit punt</w:t>
      </w:r>
      <w:r w:rsidRPr="00A82242">
        <w:t xml:space="preserve">. Er was brede steun voor deze verklaring, waaronder van Nederland. De Commissie </w:t>
      </w:r>
      <w:r w:rsidR="00F94A81">
        <w:t xml:space="preserve">erkende het belang van een gelijk speelveld en </w:t>
      </w:r>
      <w:r w:rsidRPr="00A82242">
        <w:t>wees op lopende en aangekondigde richtsnoeren in het kader van het CISAF</w:t>
      </w:r>
      <w:r>
        <w:rPr>
          <w:rStyle w:val="Voetnootmarkering"/>
        </w:rPr>
        <w:footnoteReference w:id="4"/>
      </w:r>
      <w:r w:rsidRPr="00A82242">
        <w:t xml:space="preserve"> en het Actieplan Betaalbare Energieprijzen.</w:t>
      </w:r>
    </w:p>
    <w:p w:rsidR="00D05BA1" w:rsidP="00C612F7" w:rsidRDefault="00D05BA1" w14:paraId="3D8C522C" w14:textId="77777777">
      <w:pPr>
        <w:rPr>
          <w:i/>
          <w:iCs/>
        </w:rPr>
      </w:pPr>
    </w:p>
    <w:p w:rsidR="00D05BA1" w:rsidP="00C612F7" w:rsidRDefault="00D05BA1" w14:paraId="4B393455" w14:textId="77777777">
      <w:pPr>
        <w:rPr>
          <w:i/>
          <w:iCs/>
        </w:rPr>
      </w:pPr>
      <w:r w:rsidRPr="001A35B6">
        <w:rPr>
          <w:i/>
          <w:iCs/>
        </w:rPr>
        <w:t>CBAM en elektriciteitsimport uit Oekraïne</w:t>
      </w:r>
    </w:p>
    <w:p w:rsidR="00D05BA1" w:rsidP="00C612F7" w:rsidRDefault="00D05BA1" w14:paraId="6C996C41" w14:textId="70533DA1">
      <w:r w:rsidRPr="001A35B6">
        <w:t xml:space="preserve">Polen, Estland en Litouwen </w:t>
      </w:r>
      <w:r>
        <w:t>wezen</w:t>
      </w:r>
      <w:r w:rsidRPr="001A35B6">
        <w:t xml:space="preserve"> tijdens de </w:t>
      </w:r>
      <w:r>
        <w:t xml:space="preserve">Energieraad </w:t>
      </w:r>
      <w:r w:rsidRPr="001A35B6">
        <w:t>o</w:t>
      </w:r>
      <w:r>
        <w:t xml:space="preserve">p het belang voor een </w:t>
      </w:r>
      <w:r w:rsidRPr="001A35B6">
        <w:t>vrijstelling en compensatie van</w:t>
      </w:r>
      <w:r>
        <w:t xml:space="preserve"> het CBAM</w:t>
      </w:r>
      <w:r>
        <w:rPr>
          <w:rStyle w:val="Voetnootmarkering"/>
        </w:rPr>
        <w:footnoteReference w:id="5"/>
      </w:r>
      <w:r w:rsidRPr="001A35B6">
        <w:t xml:space="preserve"> voor niet</w:t>
      </w:r>
      <w:r w:rsidR="00401F15">
        <w:t>-</w:t>
      </w:r>
      <w:r w:rsidRPr="001A35B6">
        <w:t xml:space="preserve">commerciële elektriciteitsimport vanuit Oekraïne in het geval van operationele noodsituaties. Dit punt hebben dezelfde lidstaten ook ingediend op de </w:t>
      </w:r>
      <w:r>
        <w:t xml:space="preserve">Milieuraad </w:t>
      </w:r>
      <w:r w:rsidRPr="001A35B6">
        <w:t>van 1</w:t>
      </w:r>
      <w:r>
        <w:t>6</w:t>
      </w:r>
      <w:r w:rsidR="00C612F7">
        <w:t> </w:t>
      </w:r>
      <w:r w:rsidRPr="001A35B6">
        <w:t xml:space="preserve">december jl. </w:t>
      </w:r>
      <w:r>
        <w:t>De Commissie gaf aan het gesprek met lidstaten voort te zetten.</w:t>
      </w:r>
    </w:p>
    <w:p w:rsidR="00D05BA1" w:rsidP="00C612F7" w:rsidRDefault="00D05BA1" w14:paraId="54DAEF79" w14:textId="77777777"/>
    <w:p w:rsidRPr="001A35B6" w:rsidR="00D05BA1" w:rsidP="00C612F7" w:rsidRDefault="00D05BA1" w14:paraId="6E21EA84" w14:textId="77777777">
      <w:pPr>
        <w:rPr>
          <w:i/>
          <w:iCs/>
        </w:rPr>
      </w:pPr>
      <w:r>
        <w:rPr>
          <w:i/>
          <w:iCs/>
        </w:rPr>
        <w:t>S</w:t>
      </w:r>
      <w:r w:rsidRPr="001A35B6">
        <w:rPr>
          <w:i/>
          <w:iCs/>
        </w:rPr>
        <w:t>taatssteun en sociale huisvesting</w:t>
      </w:r>
    </w:p>
    <w:p w:rsidR="00D05BA1" w:rsidP="00C612F7" w:rsidRDefault="00D05BA1" w14:paraId="262EC9EF" w14:textId="77777777">
      <w:r>
        <w:t>Frankrijk uitte zorgen over voorgenomen aanpassingen van staatssteunregels voor sociale huisvesting en riep op tot meer flexibiliteit en respect voor subsidiariteit. Dit kreeg steun van meerdere lidstaten. De Commissie gaf aan in de voorgenomen aanpassingen rekening te houden met de zorgen van deze lidstaten en te waarborgen dat nationale steunmaatregelen mogelijk blijven.</w:t>
      </w:r>
    </w:p>
    <w:p w:rsidRPr="00B12A5B" w:rsidR="00D05BA1" w:rsidP="00C612F7" w:rsidRDefault="00D05BA1" w14:paraId="6C059297" w14:textId="77777777">
      <w:pPr>
        <w:rPr>
          <w:i/>
          <w:iCs/>
        </w:rPr>
      </w:pPr>
    </w:p>
    <w:p w:rsidRPr="00B12A5B" w:rsidR="00D05BA1" w:rsidP="00C612F7" w:rsidRDefault="00D05BA1" w14:paraId="2CD5909C" w14:textId="77777777">
      <w:pPr>
        <w:rPr>
          <w:i/>
          <w:iCs/>
        </w:rPr>
      </w:pPr>
      <w:r w:rsidRPr="00B12A5B">
        <w:rPr>
          <w:i/>
          <w:iCs/>
        </w:rPr>
        <w:t>Warmte en koeling strategie</w:t>
      </w:r>
    </w:p>
    <w:p w:rsidR="00D05BA1" w:rsidP="00C612F7" w:rsidRDefault="00D05BA1" w14:paraId="18197DED" w14:textId="7602D79D">
      <w:r>
        <w:t>Letland, gesteund door een groep lidstaten, riep de Commissie op tot een aparte EU-strategie voor warmte en koeling. Dit gezien het grote aandeel in het energieverbruik en de diversiteit aan technologieën. De Commissie bevestigde dat een dergelijke strategie in voorbereiding is met voorziene publicatie in het eerste kwartaal van 2026, conform het Commissiewerkprogramma.</w:t>
      </w:r>
    </w:p>
    <w:p w:rsidR="00D05BA1" w:rsidP="00C612F7" w:rsidRDefault="00D05BA1" w14:paraId="2500AAFE" w14:textId="77777777"/>
    <w:p w:rsidRPr="001A35B6" w:rsidR="00D05BA1" w:rsidP="00C612F7" w:rsidRDefault="00D05BA1" w14:paraId="25AC871A" w14:textId="77777777">
      <w:pPr>
        <w:rPr>
          <w:i/>
          <w:iCs/>
        </w:rPr>
      </w:pPr>
      <w:r w:rsidRPr="001A35B6">
        <w:rPr>
          <w:i/>
          <w:iCs/>
        </w:rPr>
        <w:t>Regionale leveringszekerheid Zuidoost-Europa</w:t>
      </w:r>
    </w:p>
    <w:p w:rsidR="00D05BA1" w:rsidP="00C612F7" w:rsidRDefault="00D05BA1" w14:paraId="66C7A618" w14:textId="77777777">
      <w:r w:rsidRPr="00D718C9">
        <w:t xml:space="preserve">Griekenland en andere lidstaten benadrukten het belang van regionale samenwerking en infrastructuur voor gasleveringszekerheid in Zuidoost-Europa, </w:t>
      </w:r>
      <w:r>
        <w:t xml:space="preserve">ook voor doorvoer van gas uit </w:t>
      </w:r>
      <w:r w:rsidRPr="00D718C9">
        <w:t>Oekraïne</w:t>
      </w:r>
      <w:r>
        <w:t xml:space="preserve"> </w:t>
      </w:r>
      <w:r w:rsidRPr="00D718C9">
        <w:t xml:space="preserve">en Griekenlands rol als doorvoerland. De Commissie </w:t>
      </w:r>
      <w:r>
        <w:t xml:space="preserve">zegde toe de ontwikkelingen in deze regio te blijven volgen. </w:t>
      </w:r>
    </w:p>
    <w:p w:rsidR="00D05BA1" w:rsidP="00C612F7" w:rsidRDefault="00D05BA1" w14:paraId="143BC2A9" w14:textId="77777777"/>
    <w:p w:rsidRPr="001A35B6" w:rsidR="00D05BA1" w:rsidP="00C612F7" w:rsidRDefault="00D05BA1" w14:paraId="53A77C00" w14:textId="77777777">
      <w:pPr>
        <w:rPr>
          <w:i/>
          <w:iCs/>
        </w:rPr>
      </w:pPr>
      <w:r w:rsidRPr="001A35B6">
        <w:rPr>
          <w:i/>
          <w:iCs/>
        </w:rPr>
        <w:t>Werkprogramma inkomend Cypriotisch voorzitterschap</w:t>
      </w:r>
    </w:p>
    <w:p w:rsidRPr="00D05BA1" w:rsidR="00BC222D" w:rsidP="00C612F7" w:rsidRDefault="00D05BA1" w14:paraId="09B119EB" w14:textId="086B5496">
      <w:r>
        <w:t xml:space="preserve">Cyprus presenteerde de prioriteiten van het komende EU-voorzitterschap, met focus op betaalbaarheid, concurrentievermogen, </w:t>
      </w:r>
      <w:proofErr w:type="spellStart"/>
      <w:r>
        <w:t>interconnectie</w:t>
      </w:r>
      <w:proofErr w:type="spellEnd"/>
      <w:r>
        <w:t>, opslag en modernisering van het net. De Commissie en lidstaten namen hier kennis van.</w:t>
      </w:r>
    </w:p>
    <w:sectPr w:rsidRPr="00D05BA1" w:rsidR="00BC222D"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EF32B" w14:textId="77777777" w:rsidR="000714B0" w:rsidRDefault="000714B0">
      <w:r>
        <w:separator/>
      </w:r>
    </w:p>
    <w:p w14:paraId="69E37EC0" w14:textId="77777777" w:rsidR="000714B0" w:rsidRDefault="000714B0"/>
  </w:endnote>
  <w:endnote w:type="continuationSeparator" w:id="0">
    <w:p w14:paraId="4656E047" w14:textId="77777777" w:rsidR="000714B0" w:rsidRDefault="000714B0">
      <w:r>
        <w:continuationSeparator/>
      </w:r>
    </w:p>
    <w:p w14:paraId="0DE6E295" w14:textId="77777777" w:rsidR="000714B0" w:rsidRDefault="000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2F8D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75CAC" w14:paraId="09B36856" w14:textId="77777777" w:rsidTr="00CA6A25">
      <w:trPr>
        <w:trHeight w:hRule="exact" w:val="240"/>
      </w:trPr>
      <w:tc>
        <w:tcPr>
          <w:tcW w:w="7601" w:type="dxa"/>
        </w:tcPr>
        <w:p w14:paraId="4420F39F" w14:textId="77777777" w:rsidR="00527BD4" w:rsidRDefault="00527BD4" w:rsidP="003F1F6B">
          <w:pPr>
            <w:pStyle w:val="Huisstijl-Rubricering"/>
          </w:pPr>
        </w:p>
      </w:tc>
      <w:tc>
        <w:tcPr>
          <w:tcW w:w="2156" w:type="dxa"/>
        </w:tcPr>
        <w:p w14:paraId="3F2F03D9" w14:textId="0C9CE77C" w:rsidR="00527BD4" w:rsidRPr="00645414" w:rsidRDefault="00FB6B5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9F75A9">
            <w:t>5</w:t>
          </w:r>
          <w:r w:rsidR="00BC222D">
            <w:fldChar w:fldCharType="end"/>
          </w:r>
        </w:p>
      </w:tc>
    </w:tr>
  </w:tbl>
  <w:p w14:paraId="42B6702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75CAC" w14:paraId="1348500A" w14:textId="77777777" w:rsidTr="00CA6A25">
      <w:trPr>
        <w:trHeight w:hRule="exact" w:val="240"/>
      </w:trPr>
      <w:tc>
        <w:tcPr>
          <w:tcW w:w="7601" w:type="dxa"/>
        </w:tcPr>
        <w:p w14:paraId="445924DA" w14:textId="77777777" w:rsidR="00527BD4" w:rsidRDefault="00527BD4" w:rsidP="008C356D">
          <w:pPr>
            <w:pStyle w:val="Huisstijl-Rubricering"/>
          </w:pPr>
        </w:p>
      </w:tc>
      <w:tc>
        <w:tcPr>
          <w:tcW w:w="2170" w:type="dxa"/>
        </w:tcPr>
        <w:p w14:paraId="2AE7A241" w14:textId="709EFAB5" w:rsidR="00527BD4" w:rsidRPr="00ED539E" w:rsidRDefault="00FB6B5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3A1B">
            <w:fldChar w:fldCharType="begin"/>
          </w:r>
          <w:r>
            <w:instrText xml:space="preserve"> SECTIONPAGES   \* MERGEFORMAT </w:instrText>
          </w:r>
          <w:r w:rsidR="00BC3A1B">
            <w:fldChar w:fldCharType="separate"/>
          </w:r>
          <w:r w:rsidR="009F75A9">
            <w:t>5</w:t>
          </w:r>
          <w:r w:rsidR="00BC3A1B">
            <w:fldChar w:fldCharType="end"/>
          </w:r>
        </w:p>
      </w:tc>
    </w:tr>
  </w:tbl>
  <w:p w14:paraId="58333A7E" w14:textId="77777777" w:rsidR="00527BD4" w:rsidRPr="00BC3B53" w:rsidRDefault="00527BD4" w:rsidP="008C356D">
    <w:pPr>
      <w:pStyle w:val="Voettekst"/>
      <w:spacing w:line="240" w:lineRule="auto"/>
      <w:rPr>
        <w:sz w:val="2"/>
        <w:szCs w:val="2"/>
      </w:rPr>
    </w:pPr>
  </w:p>
  <w:p w14:paraId="4057C9B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FB978" w14:textId="77777777" w:rsidR="000714B0" w:rsidRDefault="000714B0">
      <w:r>
        <w:separator/>
      </w:r>
    </w:p>
    <w:p w14:paraId="526AFB85" w14:textId="77777777" w:rsidR="000714B0" w:rsidRDefault="000714B0"/>
  </w:footnote>
  <w:footnote w:type="continuationSeparator" w:id="0">
    <w:p w14:paraId="4DA860C9" w14:textId="77777777" w:rsidR="000714B0" w:rsidRDefault="000714B0">
      <w:r>
        <w:continuationSeparator/>
      </w:r>
    </w:p>
    <w:p w14:paraId="4F95CF91" w14:textId="77777777" w:rsidR="000714B0" w:rsidRDefault="000714B0"/>
  </w:footnote>
  <w:footnote w:id="1">
    <w:p w14:paraId="15778EC6" w14:textId="1DFBD0D1" w:rsidR="00D05BA1" w:rsidRPr="00C612F7" w:rsidRDefault="00D05BA1" w:rsidP="00D05BA1">
      <w:pPr>
        <w:pStyle w:val="Voetnoottekst"/>
        <w:rPr>
          <w:szCs w:val="13"/>
        </w:rPr>
      </w:pPr>
      <w:r w:rsidRPr="00C612F7">
        <w:rPr>
          <w:rStyle w:val="Voetnootmarkering"/>
          <w:szCs w:val="13"/>
        </w:rPr>
        <w:footnoteRef/>
      </w:r>
      <w:r w:rsidRPr="00C612F7">
        <w:rPr>
          <w:szCs w:val="13"/>
        </w:rPr>
        <w:t xml:space="preserve"> De gedeeltelijke AO CEF stond </w:t>
      </w:r>
      <w:r w:rsidR="000514A1" w:rsidRPr="00C612F7">
        <w:rPr>
          <w:szCs w:val="13"/>
        </w:rPr>
        <w:t>ook</w:t>
      </w:r>
      <w:r w:rsidRPr="00C612F7">
        <w:rPr>
          <w:szCs w:val="13"/>
        </w:rPr>
        <w:t xml:space="preserve"> als diversenpunt op de Transportraad van 5 december jl. waar de raad brede steun heeft uitgesproken. </w:t>
      </w:r>
    </w:p>
  </w:footnote>
  <w:footnote w:id="2">
    <w:p w14:paraId="74E62C1D" w14:textId="6BB3BD8F" w:rsidR="00603706" w:rsidRPr="00C612F7" w:rsidRDefault="00603706">
      <w:pPr>
        <w:pStyle w:val="Voetnoottekst"/>
        <w:rPr>
          <w:szCs w:val="13"/>
        </w:rPr>
      </w:pPr>
      <w:r w:rsidRPr="00C612F7">
        <w:rPr>
          <w:rStyle w:val="Voetnootmarkering"/>
          <w:szCs w:val="13"/>
        </w:rPr>
        <w:footnoteRef/>
      </w:r>
      <w:r w:rsidRPr="00C612F7">
        <w:rPr>
          <w:szCs w:val="13"/>
        </w:rPr>
        <w:t xml:space="preserve"> Zie ook Fiche 13: ‘MFK - </w:t>
      </w:r>
      <w:r w:rsidRPr="00C612F7">
        <w:rPr>
          <w:szCs w:val="13"/>
        </w:rPr>
        <w:t xml:space="preserve">Connecting Europe Facility’, </w:t>
      </w:r>
      <w:r w:rsidR="00C612F7">
        <w:rPr>
          <w:szCs w:val="13"/>
        </w:rPr>
        <w:t>K</w:t>
      </w:r>
      <w:r w:rsidRPr="00C612F7">
        <w:rPr>
          <w:szCs w:val="13"/>
        </w:rPr>
        <w:t>amerstuk 22 112, nr. 4144.</w:t>
      </w:r>
    </w:p>
  </w:footnote>
  <w:footnote w:id="3">
    <w:p w14:paraId="577A03FB" w14:textId="1AF2A312" w:rsidR="00D05BA1" w:rsidRPr="00C612F7" w:rsidRDefault="00D05BA1" w:rsidP="00D05BA1">
      <w:pPr>
        <w:pStyle w:val="Voetnoottekst"/>
        <w:rPr>
          <w:szCs w:val="13"/>
          <w:lang w:val="en-US"/>
        </w:rPr>
      </w:pPr>
      <w:r w:rsidRPr="00C612F7">
        <w:rPr>
          <w:rStyle w:val="Voetnootmarkering"/>
          <w:szCs w:val="13"/>
        </w:rPr>
        <w:footnoteRef/>
      </w:r>
      <w:r w:rsidRPr="00C612F7">
        <w:rPr>
          <w:szCs w:val="13"/>
          <w:lang w:val="en-US"/>
        </w:rPr>
        <w:t xml:space="preserve"> </w:t>
      </w:r>
      <w:r w:rsidR="00E200D7" w:rsidRPr="00C612F7">
        <w:rPr>
          <w:szCs w:val="13"/>
          <w:lang w:val="en-US"/>
        </w:rPr>
        <w:t>Trans-European Networks for Transport (TEN-T) en Trans-European Networks for Energy (TEN-E).</w:t>
      </w:r>
    </w:p>
  </w:footnote>
  <w:footnote w:id="4">
    <w:p w14:paraId="7EF7A8B2" w14:textId="77777777" w:rsidR="00D05BA1" w:rsidRPr="00C612F7" w:rsidRDefault="00D05BA1" w:rsidP="00D05BA1">
      <w:pPr>
        <w:pStyle w:val="Voetnoottekst"/>
        <w:rPr>
          <w:szCs w:val="13"/>
          <w:lang w:val="en-US"/>
        </w:rPr>
      </w:pPr>
      <w:r w:rsidRPr="00C612F7">
        <w:rPr>
          <w:rStyle w:val="Voetnootmarkering"/>
          <w:szCs w:val="13"/>
        </w:rPr>
        <w:footnoteRef/>
      </w:r>
      <w:r w:rsidRPr="00C612F7">
        <w:rPr>
          <w:szCs w:val="13"/>
          <w:lang w:val="en-US"/>
        </w:rPr>
        <w:t xml:space="preserve"> Clean Industrial Deal State Aid Framework.</w:t>
      </w:r>
    </w:p>
  </w:footnote>
  <w:footnote w:id="5">
    <w:p w14:paraId="7E0F9FCF" w14:textId="77777777" w:rsidR="00D05BA1" w:rsidRPr="00C612F7" w:rsidRDefault="00D05BA1" w:rsidP="00D05BA1">
      <w:pPr>
        <w:pStyle w:val="Voetnoottekst"/>
        <w:rPr>
          <w:szCs w:val="13"/>
        </w:rPr>
      </w:pPr>
      <w:r w:rsidRPr="00C612F7">
        <w:rPr>
          <w:rStyle w:val="Voetnootmarkering"/>
          <w:szCs w:val="13"/>
        </w:rPr>
        <w:footnoteRef/>
      </w:r>
      <w:r w:rsidRPr="00C612F7">
        <w:rPr>
          <w:szCs w:val="13"/>
        </w:rPr>
        <w:t xml:space="preserve"> Het Europese Mechanisme voor Koolstofcorrectie aan de Europese Grens.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75CAC" w14:paraId="4D08B464" w14:textId="77777777" w:rsidTr="00A50CF6">
      <w:tc>
        <w:tcPr>
          <w:tcW w:w="2156" w:type="dxa"/>
        </w:tcPr>
        <w:p w14:paraId="074DC199" w14:textId="77777777" w:rsidR="00527BD4" w:rsidRPr="005819CE" w:rsidRDefault="00FB6B5D" w:rsidP="00A50CF6">
          <w:pPr>
            <w:pStyle w:val="Huisstijl-Adres"/>
            <w:rPr>
              <w:b/>
            </w:rPr>
          </w:pPr>
          <w:r>
            <w:rPr>
              <w:b/>
            </w:rPr>
            <w:t>Directie Europese en Internationale Zaken</w:t>
          </w:r>
          <w:r w:rsidRPr="005819CE">
            <w:rPr>
              <w:b/>
            </w:rPr>
            <w:br/>
          </w:r>
        </w:p>
      </w:tc>
    </w:tr>
    <w:tr w:rsidR="00375CAC" w14:paraId="4CB87DC1" w14:textId="77777777" w:rsidTr="00A50CF6">
      <w:trPr>
        <w:trHeight w:hRule="exact" w:val="200"/>
      </w:trPr>
      <w:tc>
        <w:tcPr>
          <w:tcW w:w="2156" w:type="dxa"/>
        </w:tcPr>
        <w:p w14:paraId="61FD47CD" w14:textId="77777777" w:rsidR="00527BD4" w:rsidRPr="005819CE" w:rsidRDefault="00527BD4" w:rsidP="00A50CF6"/>
      </w:tc>
    </w:tr>
    <w:tr w:rsidR="00375CAC" w14:paraId="786FF3C8" w14:textId="77777777" w:rsidTr="00502512">
      <w:trPr>
        <w:trHeight w:hRule="exact" w:val="774"/>
      </w:trPr>
      <w:tc>
        <w:tcPr>
          <w:tcW w:w="2156" w:type="dxa"/>
        </w:tcPr>
        <w:p w14:paraId="5CBD3FBC" w14:textId="77777777" w:rsidR="00527BD4" w:rsidRDefault="00FB6B5D" w:rsidP="003A5290">
          <w:pPr>
            <w:pStyle w:val="Huisstijl-Kopje"/>
          </w:pPr>
          <w:r>
            <w:t>Ons kenmerk</w:t>
          </w:r>
        </w:p>
        <w:p w14:paraId="6342FB57" w14:textId="5DE55ADA" w:rsidR="00502512" w:rsidRPr="00502512" w:rsidRDefault="00FB6B5D" w:rsidP="003A5290">
          <w:pPr>
            <w:pStyle w:val="Huisstijl-Kopje"/>
            <w:rPr>
              <w:b w:val="0"/>
            </w:rPr>
          </w:pPr>
          <w:r>
            <w:rPr>
              <w:b w:val="0"/>
            </w:rPr>
            <w:t>DEIZ</w:t>
          </w:r>
          <w:r w:rsidRPr="00502512">
            <w:rPr>
              <w:b w:val="0"/>
            </w:rPr>
            <w:t xml:space="preserve"> / </w:t>
          </w:r>
          <w:r w:rsidR="00C612F7" w:rsidRPr="00C612F7">
            <w:rPr>
              <w:b w:val="0"/>
            </w:rPr>
            <w:t>103625505</w:t>
          </w:r>
        </w:p>
        <w:p w14:paraId="1BB135F7" w14:textId="77777777" w:rsidR="00527BD4" w:rsidRPr="005819CE" w:rsidRDefault="00527BD4" w:rsidP="00361A56">
          <w:pPr>
            <w:pStyle w:val="Huisstijl-Kopje"/>
          </w:pPr>
        </w:p>
      </w:tc>
    </w:tr>
  </w:tbl>
  <w:p w14:paraId="79E8428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75CAC" w14:paraId="68735E33" w14:textId="77777777" w:rsidTr="00751A6A">
      <w:trPr>
        <w:trHeight w:val="2636"/>
      </w:trPr>
      <w:tc>
        <w:tcPr>
          <w:tcW w:w="737" w:type="dxa"/>
        </w:tcPr>
        <w:p w14:paraId="7C5123DD" w14:textId="77777777" w:rsidR="00527BD4" w:rsidRDefault="00527BD4" w:rsidP="00D0609E">
          <w:pPr>
            <w:framePr w:w="6340" w:h="2750" w:hRule="exact" w:hSpace="180" w:wrap="around" w:vAnchor="page" w:hAnchor="text" w:x="3873" w:y="-140"/>
            <w:spacing w:line="240" w:lineRule="auto"/>
          </w:pPr>
        </w:p>
      </w:tc>
      <w:tc>
        <w:tcPr>
          <w:tcW w:w="5156" w:type="dxa"/>
        </w:tcPr>
        <w:p w14:paraId="4FD9D496" w14:textId="77777777" w:rsidR="00527BD4" w:rsidRDefault="00FB6B5D"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96D9D20" wp14:editId="5D31AEB0">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72BD6FB5" w14:textId="77777777" w:rsidR="007269E3" w:rsidRDefault="007269E3" w:rsidP="00651CEE">
          <w:pPr>
            <w:framePr w:w="6340" w:h="2750" w:hRule="exact" w:hSpace="180" w:wrap="around" w:vAnchor="page" w:hAnchor="text" w:x="3873" w:y="-140"/>
            <w:spacing w:line="240" w:lineRule="auto"/>
          </w:pPr>
        </w:p>
      </w:tc>
    </w:tr>
  </w:tbl>
  <w:p w14:paraId="2CF1B6A6" w14:textId="77777777" w:rsidR="00527BD4" w:rsidRDefault="00527BD4" w:rsidP="00D0609E">
    <w:pPr>
      <w:framePr w:w="6340" w:h="2750" w:hRule="exact" w:hSpace="180" w:wrap="around" w:vAnchor="page" w:hAnchor="text" w:x="3873" w:y="-140"/>
    </w:pPr>
  </w:p>
  <w:p w14:paraId="4FF8DC4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75CAC" w:rsidRPr="00C612F7" w14:paraId="0BBC560B" w14:textId="77777777" w:rsidTr="00A50CF6">
      <w:tc>
        <w:tcPr>
          <w:tcW w:w="2160" w:type="dxa"/>
        </w:tcPr>
        <w:p w14:paraId="1926EE01" w14:textId="77777777" w:rsidR="00527BD4" w:rsidRPr="005819CE" w:rsidRDefault="00FB6B5D" w:rsidP="00A50CF6">
          <w:pPr>
            <w:pStyle w:val="Huisstijl-Adres"/>
            <w:rPr>
              <w:b/>
            </w:rPr>
          </w:pPr>
          <w:r>
            <w:rPr>
              <w:b/>
            </w:rPr>
            <w:t>Directie Europese en Internationale Zaken</w:t>
          </w:r>
          <w:r w:rsidRPr="005819CE">
            <w:rPr>
              <w:b/>
            </w:rPr>
            <w:br/>
          </w:r>
        </w:p>
        <w:p w14:paraId="058552EA" w14:textId="77777777" w:rsidR="00527BD4" w:rsidRPr="00BE5ED9" w:rsidRDefault="00FB6B5D" w:rsidP="00A50CF6">
          <w:pPr>
            <w:pStyle w:val="Huisstijl-Adres"/>
          </w:pPr>
          <w:r>
            <w:rPr>
              <w:b/>
            </w:rPr>
            <w:t>Bezoekadres</w:t>
          </w:r>
          <w:r>
            <w:rPr>
              <w:b/>
            </w:rPr>
            <w:br/>
          </w:r>
          <w:r>
            <w:t>Bezuidenhoutseweg 73</w:t>
          </w:r>
          <w:r w:rsidRPr="005819CE">
            <w:br/>
          </w:r>
          <w:r>
            <w:t>2594 AC Den Haag</w:t>
          </w:r>
        </w:p>
        <w:p w14:paraId="66CA9779" w14:textId="77777777" w:rsidR="00EF495B" w:rsidRDefault="00FB6B5D" w:rsidP="0098788A">
          <w:pPr>
            <w:pStyle w:val="Huisstijl-Adres"/>
          </w:pPr>
          <w:r>
            <w:rPr>
              <w:b/>
            </w:rPr>
            <w:t>Postadres</w:t>
          </w:r>
          <w:r>
            <w:rPr>
              <w:b/>
            </w:rPr>
            <w:br/>
          </w:r>
          <w:r>
            <w:t>Postbus 20401</w:t>
          </w:r>
          <w:r w:rsidRPr="005819CE">
            <w:br/>
            <w:t>2500 E</w:t>
          </w:r>
          <w:r>
            <w:t>K</w:t>
          </w:r>
          <w:r w:rsidRPr="005819CE">
            <w:t xml:space="preserve"> Den Haag</w:t>
          </w:r>
        </w:p>
        <w:p w14:paraId="0521ED34" w14:textId="77777777" w:rsidR="00EF495B" w:rsidRPr="005B3814" w:rsidRDefault="00FB6B5D" w:rsidP="0098788A">
          <w:pPr>
            <w:pStyle w:val="Huisstijl-Adres"/>
          </w:pPr>
          <w:r>
            <w:rPr>
              <w:b/>
            </w:rPr>
            <w:t>Overheidsidentificatienr</w:t>
          </w:r>
          <w:r>
            <w:rPr>
              <w:b/>
            </w:rPr>
            <w:br/>
          </w:r>
          <w:r w:rsidR="002D0DDB" w:rsidRPr="002D0DDB">
            <w:t>00000003952069570000</w:t>
          </w:r>
        </w:p>
        <w:p w14:paraId="53EB7A36" w14:textId="22D77341" w:rsidR="00527BD4" w:rsidRPr="00C612F7" w:rsidRDefault="00FB6B5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375CAC" w:rsidRPr="00C612F7" w14:paraId="7BF4799E" w14:textId="77777777" w:rsidTr="00A50CF6">
      <w:trPr>
        <w:trHeight w:hRule="exact" w:val="200"/>
      </w:trPr>
      <w:tc>
        <w:tcPr>
          <w:tcW w:w="2160" w:type="dxa"/>
        </w:tcPr>
        <w:p w14:paraId="533D911A" w14:textId="77777777" w:rsidR="00527BD4" w:rsidRPr="009533E8" w:rsidRDefault="00527BD4" w:rsidP="00A50CF6"/>
      </w:tc>
    </w:tr>
    <w:tr w:rsidR="00375CAC" w14:paraId="1EA8983B" w14:textId="77777777" w:rsidTr="00A50CF6">
      <w:tc>
        <w:tcPr>
          <w:tcW w:w="2160" w:type="dxa"/>
        </w:tcPr>
        <w:p w14:paraId="6CEAA72B" w14:textId="77777777" w:rsidR="000C0163" w:rsidRPr="005819CE" w:rsidRDefault="00FB6B5D" w:rsidP="000C0163">
          <w:pPr>
            <w:pStyle w:val="Huisstijl-Kopje"/>
          </w:pPr>
          <w:r>
            <w:t>Ons kenmerk</w:t>
          </w:r>
          <w:r w:rsidRPr="005819CE">
            <w:t xml:space="preserve"> </w:t>
          </w:r>
        </w:p>
        <w:p w14:paraId="660D1341" w14:textId="79E93E4C" w:rsidR="00527BD4" w:rsidRPr="005819CE" w:rsidRDefault="00FB6B5D" w:rsidP="00C612F7">
          <w:pPr>
            <w:pStyle w:val="Huisstijl-Gegeven"/>
          </w:pPr>
          <w:r>
            <w:t>DEIZ</w:t>
          </w:r>
          <w:r w:rsidR="00926AE2">
            <w:t xml:space="preserve"> / </w:t>
          </w:r>
          <w:r w:rsidR="00C612F7" w:rsidRPr="00C612F7">
            <w:t>103625505</w:t>
          </w:r>
        </w:p>
      </w:tc>
    </w:tr>
  </w:tbl>
  <w:p w14:paraId="44E4CD53" w14:textId="77777777" w:rsidR="00121BF0" w:rsidRPr="00121BF0" w:rsidRDefault="00121BF0" w:rsidP="006906E5">
    <w:pPr>
      <w:ind w:firstLine="709"/>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75CAC" w14:paraId="2A6A199E" w14:textId="77777777" w:rsidTr="007610AA">
      <w:trPr>
        <w:trHeight w:val="400"/>
      </w:trPr>
      <w:tc>
        <w:tcPr>
          <w:tcW w:w="7520" w:type="dxa"/>
          <w:gridSpan w:val="2"/>
        </w:tcPr>
        <w:p w14:paraId="18A5C458" w14:textId="77777777" w:rsidR="00527BD4" w:rsidRPr="00BC3B53" w:rsidRDefault="00FB6B5D" w:rsidP="00A50CF6">
          <w:pPr>
            <w:pStyle w:val="Huisstijl-Retouradres"/>
          </w:pPr>
          <w:r>
            <w:t>&gt; Retouradres Postbus 20401 2500 EK Den Haag</w:t>
          </w:r>
        </w:p>
      </w:tc>
    </w:tr>
    <w:tr w:rsidR="00375CAC" w14:paraId="2C781E36" w14:textId="77777777" w:rsidTr="007610AA">
      <w:tc>
        <w:tcPr>
          <w:tcW w:w="7520" w:type="dxa"/>
          <w:gridSpan w:val="2"/>
        </w:tcPr>
        <w:p w14:paraId="43659E56" w14:textId="77777777" w:rsidR="00527BD4" w:rsidRPr="00983E8F" w:rsidRDefault="00527BD4" w:rsidP="00A50CF6">
          <w:pPr>
            <w:pStyle w:val="Huisstijl-Rubricering"/>
          </w:pPr>
        </w:p>
      </w:tc>
    </w:tr>
    <w:tr w:rsidR="00375CAC" w14:paraId="07D8B679" w14:textId="77777777" w:rsidTr="007610AA">
      <w:trPr>
        <w:trHeight w:hRule="exact" w:val="2440"/>
      </w:trPr>
      <w:tc>
        <w:tcPr>
          <w:tcW w:w="7520" w:type="dxa"/>
          <w:gridSpan w:val="2"/>
        </w:tcPr>
        <w:p w14:paraId="3DE96590" w14:textId="77777777" w:rsidR="00C612F7" w:rsidRPr="008F06CE" w:rsidRDefault="00C612F7" w:rsidP="007D1CDF">
          <w:pPr>
            <w:tabs>
              <w:tab w:val="left" w:pos="5580"/>
            </w:tabs>
            <w:rPr>
              <w:szCs w:val="18"/>
            </w:rPr>
          </w:pPr>
          <w:r w:rsidRPr="008F06CE">
            <w:rPr>
              <w:szCs w:val="18"/>
            </w:rPr>
            <w:t>De Voorzitter van de Tweede Kamer</w:t>
          </w:r>
        </w:p>
        <w:p w14:paraId="3DEA279E" w14:textId="77777777" w:rsidR="00C612F7" w:rsidRPr="008F06CE" w:rsidRDefault="00C612F7" w:rsidP="007D1CDF">
          <w:pPr>
            <w:tabs>
              <w:tab w:val="left" w:pos="5580"/>
            </w:tabs>
            <w:rPr>
              <w:szCs w:val="18"/>
            </w:rPr>
          </w:pPr>
          <w:r w:rsidRPr="008F06CE">
            <w:rPr>
              <w:szCs w:val="18"/>
            </w:rPr>
            <w:t>der Staten-Generaal</w:t>
          </w:r>
        </w:p>
        <w:p w14:paraId="5AFEBE3A" w14:textId="77777777" w:rsidR="00C612F7" w:rsidRPr="000F5C1D" w:rsidRDefault="00C612F7" w:rsidP="007D1CDF">
          <w:pPr>
            <w:tabs>
              <w:tab w:val="left" w:pos="5580"/>
            </w:tabs>
            <w:rPr>
              <w:szCs w:val="18"/>
            </w:rPr>
          </w:pPr>
          <w:r w:rsidRPr="000F5C1D">
            <w:rPr>
              <w:szCs w:val="18"/>
            </w:rPr>
            <w:t>Prinses Irenestraat 6</w:t>
          </w:r>
        </w:p>
        <w:p w14:paraId="79D48B23" w14:textId="77777777" w:rsidR="00C612F7" w:rsidRPr="009A0EEB" w:rsidRDefault="00C612F7" w:rsidP="007D1CDF">
          <w:pPr>
            <w:tabs>
              <w:tab w:val="left" w:pos="5580"/>
            </w:tabs>
            <w:rPr>
              <w:szCs w:val="18"/>
            </w:rPr>
          </w:pPr>
          <w:r w:rsidRPr="000F5C1D">
            <w:rPr>
              <w:szCs w:val="18"/>
            </w:rPr>
            <w:t>2595 BD  DEN HAAG</w:t>
          </w:r>
        </w:p>
        <w:p w14:paraId="172BD6B6" w14:textId="7309852C" w:rsidR="00527BD4" w:rsidRDefault="00527BD4" w:rsidP="00A50CF6">
          <w:pPr>
            <w:pStyle w:val="Huisstijl-NAW"/>
          </w:pPr>
        </w:p>
      </w:tc>
    </w:tr>
    <w:tr w:rsidR="00375CAC" w14:paraId="7ACFB6DB" w14:textId="77777777" w:rsidTr="007610AA">
      <w:trPr>
        <w:trHeight w:hRule="exact" w:val="400"/>
      </w:trPr>
      <w:tc>
        <w:tcPr>
          <w:tcW w:w="7520" w:type="dxa"/>
          <w:gridSpan w:val="2"/>
        </w:tcPr>
        <w:p w14:paraId="1FDCF5D5"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75CAC" w14:paraId="6B2680FF" w14:textId="77777777" w:rsidTr="007610AA">
      <w:trPr>
        <w:trHeight w:val="240"/>
      </w:trPr>
      <w:tc>
        <w:tcPr>
          <w:tcW w:w="900" w:type="dxa"/>
        </w:tcPr>
        <w:p w14:paraId="0DA6DE88" w14:textId="77777777" w:rsidR="00527BD4" w:rsidRPr="007709EF" w:rsidRDefault="00FB6B5D" w:rsidP="00A50CF6">
          <w:pPr>
            <w:rPr>
              <w:szCs w:val="18"/>
            </w:rPr>
          </w:pPr>
          <w:r>
            <w:rPr>
              <w:szCs w:val="18"/>
            </w:rPr>
            <w:t>Datum</w:t>
          </w:r>
        </w:p>
      </w:tc>
      <w:tc>
        <w:tcPr>
          <w:tcW w:w="6620" w:type="dxa"/>
        </w:tcPr>
        <w:p w14:paraId="55B3BB55" w14:textId="52D5E824" w:rsidR="00527BD4" w:rsidRPr="007709EF" w:rsidRDefault="009533E8" w:rsidP="00A50CF6">
          <w:r>
            <w:t>19 januari 2026</w:t>
          </w:r>
        </w:p>
      </w:tc>
    </w:tr>
    <w:tr w:rsidR="00375CAC" w14:paraId="0D48BB4B" w14:textId="77777777" w:rsidTr="007610AA">
      <w:trPr>
        <w:trHeight w:val="240"/>
      </w:trPr>
      <w:tc>
        <w:tcPr>
          <w:tcW w:w="900" w:type="dxa"/>
        </w:tcPr>
        <w:p w14:paraId="3F2F9DAA" w14:textId="77777777" w:rsidR="00527BD4" w:rsidRPr="007709EF" w:rsidRDefault="00FB6B5D" w:rsidP="00A50CF6">
          <w:pPr>
            <w:rPr>
              <w:szCs w:val="18"/>
            </w:rPr>
          </w:pPr>
          <w:r>
            <w:rPr>
              <w:szCs w:val="18"/>
            </w:rPr>
            <w:t>Betreft</w:t>
          </w:r>
        </w:p>
      </w:tc>
      <w:tc>
        <w:tcPr>
          <w:tcW w:w="6620" w:type="dxa"/>
        </w:tcPr>
        <w:p w14:paraId="20C0534F" w14:textId="1B789DBA" w:rsidR="00527BD4" w:rsidRPr="007709EF" w:rsidRDefault="000120A9" w:rsidP="00A50CF6">
          <w:r w:rsidRPr="000120A9">
            <w:t xml:space="preserve">Verslag Energieraad (formeel) </w:t>
          </w:r>
          <w:r>
            <w:t>15 december</w:t>
          </w:r>
          <w:r w:rsidRPr="000120A9">
            <w:t xml:space="preserve"> 2025</w:t>
          </w:r>
        </w:p>
      </w:tc>
    </w:tr>
  </w:tbl>
  <w:p w14:paraId="3A45EB9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55C64D0">
      <w:start w:val="1"/>
      <w:numFmt w:val="bullet"/>
      <w:pStyle w:val="Lijstopsomteken"/>
      <w:lvlText w:val="•"/>
      <w:lvlJc w:val="left"/>
      <w:pPr>
        <w:tabs>
          <w:tab w:val="num" w:pos="227"/>
        </w:tabs>
        <w:ind w:left="227" w:hanging="227"/>
      </w:pPr>
      <w:rPr>
        <w:rFonts w:ascii="Verdana" w:hAnsi="Verdana" w:hint="default"/>
        <w:sz w:val="18"/>
        <w:szCs w:val="18"/>
      </w:rPr>
    </w:lvl>
    <w:lvl w:ilvl="1" w:tplc="16B0AA6C" w:tentative="1">
      <w:start w:val="1"/>
      <w:numFmt w:val="bullet"/>
      <w:lvlText w:val="o"/>
      <w:lvlJc w:val="left"/>
      <w:pPr>
        <w:tabs>
          <w:tab w:val="num" w:pos="1440"/>
        </w:tabs>
        <w:ind w:left="1440" w:hanging="360"/>
      </w:pPr>
      <w:rPr>
        <w:rFonts w:ascii="Courier New" w:hAnsi="Courier New" w:cs="Courier New" w:hint="default"/>
      </w:rPr>
    </w:lvl>
    <w:lvl w:ilvl="2" w:tplc="5ED6A85A" w:tentative="1">
      <w:start w:val="1"/>
      <w:numFmt w:val="bullet"/>
      <w:lvlText w:val=""/>
      <w:lvlJc w:val="left"/>
      <w:pPr>
        <w:tabs>
          <w:tab w:val="num" w:pos="2160"/>
        </w:tabs>
        <w:ind w:left="2160" w:hanging="360"/>
      </w:pPr>
      <w:rPr>
        <w:rFonts w:ascii="Wingdings" w:hAnsi="Wingdings" w:hint="default"/>
      </w:rPr>
    </w:lvl>
    <w:lvl w:ilvl="3" w:tplc="2084C228" w:tentative="1">
      <w:start w:val="1"/>
      <w:numFmt w:val="bullet"/>
      <w:lvlText w:val=""/>
      <w:lvlJc w:val="left"/>
      <w:pPr>
        <w:tabs>
          <w:tab w:val="num" w:pos="2880"/>
        </w:tabs>
        <w:ind w:left="2880" w:hanging="360"/>
      </w:pPr>
      <w:rPr>
        <w:rFonts w:ascii="Symbol" w:hAnsi="Symbol" w:hint="default"/>
      </w:rPr>
    </w:lvl>
    <w:lvl w:ilvl="4" w:tplc="28BC30BA" w:tentative="1">
      <w:start w:val="1"/>
      <w:numFmt w:val="bullet"/>
      <w:lvlText w:val="o"/>
      <w:lvlJc w:val="left"/>
      <w:pPr>
        <w:tabs>
          <w:tab w:val="num" w:pos="3600"/>
        </w:tabs>
        <w:ind w:left="3600" w:hanging="360"/>
      </w:pPr>
      <w:rPr>
        <w:rFonts w:ascii="Courier New" w:hAnsi="Courier New" w:cs="Courier New" w:hint="default"/>
      </w:rPr>
    </w:lvl>
    <w:lvl w:ilvl="5" w:tplc="A830C034" w:tentative="1">
      <w:start w:val="1"/>
      <w:numFmt w:val="bullet"/>
      <w:lvlText w:val=""/>
      <w:lvlJc w:val="left"/>
      <w:pPr>
        <w:tabs>
          <w:tab w:val="num" w:pos="4320"/>
        </w:tabs>
        <w:ind w:left="4320" w:hanging="360"/>
      </w:pPr>
      <w:rPr>
        <w:rFonts w:ascii="Wingdings" w:hAnsi="Wingdings" w:hint="default"/>
      </w:rPr>
    </w:lvl>
    <w:lvl w:ilvl="6" w:tplc="15744786" w:tentative="1">
      <w:start w:val="1"/>
      <w:numFmt w:val="bullet"/>
      <w:lvlText w:val=""/>
      <w:lvlJc w:val="left"/>
      <w:pPr>
        <w:tabs>
          <w:tab w:val="num" w:pos="5040"/>
        </w:tabs>
        <w:ind w:left="5040" w:hanging="360"/>
      </w:pPr>
      <w:rPr>
        <w:rFonts w:ascii="Symbol" w:hAnsi="Symbol" w:hint="default"/>
      </w:rPr>
    </w:lvl>
    <w:lvl w:ilvl="7" w:tplc="66CE5FFA" w:tentative="1">
      <w:start w:val="1"/>
      <w:numFmt w:val="bullet"/>
      <w:lvlText w:val="o"/>
      <w:lvlJc w:val="left"/>
      <w:pPr>
        <w:tabs>
          <w:tab w:val="num" w:pos="5760"/>
        </w:tabs>
        <w:ind w:left="5760" w:hanging="360"/>
      </w:pPr>
      <w:rPr>
        <w:rFonts w:ascii="Courier New" w:hAnsi="Courier New" w:cs="Courier New" w:hint="default"/>
      </w:rPr>
    </w:lvl>
    <w:lvl w:ilvl="8" w:tplc="8B62C2F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153A1D"/>
    <w:multiLevelType w:val="hybridMultilevel"/>
    <w:tmpl w:val="6DDE46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1E555FEF"/>
    <w:multiLevelType w:val="hybridMultilevel"/>
    <w:tmpl w:val="50F0923E"/>
    <w:lvl w:ilvl="0" w:tplc="AA5E8546">
      <w:start w:val="1"/>
      <w:numFmt w:val="bullet"/>
      <w:pStyle w:val="Lijstopsomteken2"/>
      <w:lvlText w:val="–"/>
      <w:lvlJc w:val="left"/>
      <w:pPr>
        <w:tabs>
          <w:tab w:val="num" w:pos="227"/>
        </w:tabs>
        <w:ind w:left="227" w:firstLine="0"/>
      </w:pPr>
      <w:rPr>
        <w:rFonts w:ascii="Verdana" w:hAnsi="Verdana" w:hint="default"/>
      </w:rPr>
    </w:lvl>
    <w:lvl w:ilvl="1" w:tplc="713447E0" w:tentative="1">
      <w:start w:val="1"/>
      <w:numFmt w:val="bullet"/>
      <w:lvlText w:val="o"/>
      <w:lvlJc w:val="left"/>
      <w:pPr>
        <w:tabs>
          <w:tab w:val="num" w:pos="1440"/>
        </w:tabs>
        <w:ind w:left="1440" w:hanging="360"/>
      </w:pPr>
      <w:rPr>
        <w:rFonts w:ascii="Courier New" w:hAnsi="Courier New" w:cs="Courier New" w:hint="default"/>
      </w:rPr>
    </w:lvl>
    <w:lvl w:ilvl="2" w:tplc="DC9249DA" w:tentative="1">
      <w:start w:val="1"/>
      <w:numFmt w:val="bullet"/>
      <w:lvlText w:val=""/>
      <w:lvlJc w:val="left"/>
      <w:pPr>
        <w:tabs>
          <w:tab w:val="num" w:pos="2160"/>
        </w:tabs>
        <w:ind w:left="2160" w:hanging="360"/>
      </w:pPr>
      <w:rPr>
        <w:rFonts w:ascii="Wingdings" w:hAnsi="Wingdings" w:hint="default"/>
      </w:rPr>
    </w:lvl>
    <w:lvl w:ilvl="3" w:tplc="9AA8A7BE" w:tentative="1">
      <w:start w:val="1"/>
      <w:numFmt w:val="bullet"/>
      <w:lvlText w:val=""/>
      <w:lvlJc w:val="left"/>
      <w:pPr>
        <w:tabs>
          <w:tab w:val="num" w:pos="2880"/>
        </w:tabs>
        <w:ind w:left="2880" w:hanging="360"/>
      </w:pPr>
      <w:rPr>
        <w:rFonts w:ascii="Symbol" w:hAnsi="Symbol" w:hint="default"/>
      </w:rPr>
    </w:lvl>
    <w:lvl w:ilvl="4" w:tplc="D7765F64" w:tentative="1">
      <w:start w:val="1"/>
      <w:numFmt w:val="bullet"/>
      <w:lvlText w:val="o"/>
      <w:lvlJc w:val="left"/>
      <w:pPr>
        <w:tabs>
          <w:tab w:val="num" w:pos="3600"/>
        </w:tabs>
        <w:ind w:left="3600" w:hanging="360"/>
      </w:pPr>
      <w:rPr>
        <w:rFonts w:ascii="Courier New" w:hAnsi="Courier New" w:cs="Courier New" w:hint="default"/>
      </w:rPr>
    </w:lvl>
    <w:lvl w:ilvl="5" w:tplc="E16A3106" w:tentative="1">
      <w:start w:val="1"/>
      <w:numFmt w:val="bullet"/>
      <w:lvlText w:val=""/>
      <w:lvlJc w:val="left"/>
      <w:pPr>
        <w:tabs>
          <w:tab w:val="num" w:pos="4320"/>
        </w:tabs>
        <w:ind w:left="4320" w:hanging="360"/>
      </w:pPr>
      <w:rPr>
        <w:rFonts w:ascii="Wingdings" w:hAnsi="Wingdings" w:hint="default"/>
      </w:rPr>
    </w:lvl>
    <w:lvl w:ilvl="6" w:tplc="F8D6ADE2" w:tentative="1">
      <w:start w:val="1"/>
      <w:numFmt w:val="bullet"/>
      <w:lvlText w:val=""/>
      <w:lvlJc w:val="left"/>
      <w:pPr>
        <w:tabs>
          <w:tab w:val="num" w:pos="5040"/>
        </w:tabs>
        <w:ind w:left="5040" w:hanging="360"/>
      </w:pPr>
      <w:rPr>
        <w:rFonts w:ascii="Symbol" w:hAnsi="Symbol" w:hint="default"/>
      </w:rPr>
    </w:lvl>
    <w:lvl w:ilvl="7" w:tplc="324CD458" w:tentative="1">
      <w:start w:val="1"/>
      <w:numFmt w:val="bullet"/>
      <w:lvlText w:val="o"/>
      <w:lvlJc w:val="left"/>
      <w:pPr>
        <w:tabs>
          <w:tab w:val="num" w:pos="5760"/>
        </w:tabs>
        <w:ind w:left="5760" w:hanging="360"/>
      </w:pPr>
      <w:rPr>
        <w:rFonts w:ascii="Courier New" w:hAnsi="Courier New" w:cs="Courier New" w:hint="default"/>
      </w:rPr>
    </w:lvl>
    <w:lvl w:ilvl="8" w:tplc="DFE845B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6A7BC4"/>
    <w:multiLevelType w:val="hybridMultilevel"/>
    <w:tmpl w:val="E670DE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862C6A"/>
    <w:multiLevelType w:val="hybridMultilevel"/>
    <w:tmpl w:val="42065FD8"/>
    <w:lvl w:ilvl="0" w:tplc="79C89194">
      <w:start w:val="1"/>
      <w:numFmt w:val="bullet"/>
      <w:lvlText w:val=""/>
      <w:lvlJc w:val="left"/>
      <w:pPr>
        <w:ind w:left="1920" w:hanging="360"/>
      </w:pPr>
      <w:rPr>
        <w:rFonts w:ascii="Symbol" w:hAnsi="Symbol"/>
      </w:rPr>
    </w:lvl>
    <w:lvl w:ilvl="1" w:tplc="73143C9A">
      <w:start w:val="1"/>
      <w:numFmt w:val="bullet"/>
      <w:lvlText w:val=""/>
      <w:lvlJc w:val="left"/>
      <w:pPr>
        <w:ind w:left="1920" w:hanging="360"/>
      </w:pPr>
      <w:rPr>
        <w:rFonts w:ascii="Symbol" w:hAnsi="Symbol"/>
      </w:rPr>
    </w:lvl>
    <w:lvl w:ilvl="2" w:tplc="67082CCE">
      <w:start w:val="1"/>
      <w:numFmt w:val="bullet"/>
      <w:lvlText w:val=""/>
      <w:lvlJc w:val="left"/>
      <w:pPr>
        <w:ind w:left="1920" w:hanging="360"/>
      </w:pPr>
      <w:rPr>
        <w:rFonts w:ascii="Symbol" w:hAnsi="Symbol"/>
      </w:rPr>
    </w:lvl>
    <w:lvl w:ilvl="3" w:tplc="633C925C">
      <w:start w:val="1"/>
      <w:numFmt w:val="bullet"/>
      <w:lvlText w:val=""/>
      <w:lvlJc w:val="left"/>
      <w:pPr>
        <w:ind w:left="1920" w:hanging="360"/>
      </w:pPr>
      <w:rPr>
        <w:rFonts w:ascii="Symbol" w:hAnsi="Symbol"/>
      </w:rPr>
    </w:lvl>
    <w:lvl w:ilvl="4" w:tplc="7E920D00">
      <w:start w:val="1"/>
      <w:numFmt w:val="bullet"/>
      <w:lvlText w:val=""/>
      <w:lvlJc w:val="left"/>
      <w:pPr>
        <w:ind w:left="1920" w:hanging="360"/>
      </w:pPr>
      <w:rPr>
        <w:rFonts w:ascii="Symbol" w:hAnsi="Symbol"/>
      </w:rPr>
    </w:lvl>
    <w:lvl w:ilvl="5" w:tplc="0612353C">
      <w:start w:val="1"/>
      <w:numFmt w:val="bullet"/>
      <w:lvlText w:val=""/>
      <w:lvlJc w:val="left"/>
      <w:pPr>
        <w:ind w:left="1920" w:hanging="360"/>
      </w:pPr>
      <w:rPr>
        <w:rFonts w:ascii="Symbol" w:hAnsi="Symbol"/>
      </w:rPr>
    </w:lvl>
    <w:lvl w:ilvl="6" w:tplc="B7E4574C">
      <w:start w:val="1"/>
      <w:numFmt w:val="bullet"/>
      <w:lvlText w:val=""/>
      <w:lvlJc w:val="left"/>
      <w:pPr>
        <w:ind w:left="1920" w:hanging="360"/>
      </w:pPr>
      <w:rPr>
        <w:rFonts w:ascii="Symbol" w:hAnsi="Symbol"/>
      </w:rPr>
    </w:lvl>
    <w:lvl w:ilvl="7" w:tplc="6602EBDE">
      <w:start w:val="1"/>
      <w:numFmt w:val="bullet"/>
      <w:lvlText w:val=""/>
      <w:lvlJc w:val="left"/>
      <w:pPr>
        <w:ind w:left="1920" w:hanging="360"/>
      </w:pPr>
      <w:rPr>
        <w:rFonts w:ascii="Symbol" w:hAnsi="Symbol"/>
      </w:rPr>
    </w:lvl>
    <w:lvl w:ilvl="8" w:tplc="4F76C36C">
      <w:start w:val="1"/>
      <w:numFmt w:val="bullet"/>
      <w:lvlText w:val=""/>
      <w:lvlJc w:val="left"/>
      <w:pPr>
        <w:ind w:left="1920" w:hanging="360"/>
      </w:pPr>
      <w:rPr>
        <w:rFonts w:ascii="Symbol" w:hAnsi="Symbol"/>
      </w:rPr>
    </w:lvl>
  </w:abstractNum>
  <w:abstractNum w:abstractNumId="18" w15:restartNumberingAfterBreak="0">
    <w:nsid w:val="55F6074B"/>
    <w:multiLevelType w:val="hybridMultilevel"/>
    <w:tmpl w:val="E57C88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56571D82"/>
    <w:multiLevelType w:val="hybridMultilevel"/>
    <w:tmpl w:val="79FC52C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082216894">
    <w:abstractNumId w:val="10"/>
  </w:num>
  <w:num w:numId="2" w16cid:durableId="403182816">
    <w:abstractNumId w:val="7"/>
  </w:num>
  <w:num w:numId="3" w16cid:durableId="1755584607">
    <w:abstractNumId w:val="6"/>
  </w:num>
  <w:num w:numId="4" w16cid:durableId="1772701702">
    <w:abstractNumId w:val="5"/>
  </w:num>
  <w:num w:numId="5" w16cid:durableId="925193692">
    <w:abstractNumId w:val="4"/>
  </w:num>
  <w:num w:numId="6" w16cid:durableId="1955751254">
    <w:abstractNumId w:val="8"/>
  </w:num>
  <w:num w:numId="7" w16cid:durableId="814879231">
    <w:abstractNumId w:val="3"/>
  </w:num>
  <w:num w:numId="8" w16cid:durableId="1860970404">
    <w:abstractNumId w:val="2"/>
  </w:num>
  <w:num w:numId="9" w16cid:durableId="444620217">
    <w:abstractNumId w:val="1"/>
  </w:num>
  <w:num w:numId="10" w16cid:durableId="124472825">
    <w:abstractNumId w:val="0"/>
  </w:num>
  <w:num w:numId="11" w16cid:durableId="32653931">
    <w:abstractNumId w:val="9"/>
  </w:num>
  <w:num w:numId="12" w16cid:durableId="987322628">
    <w:abstractNumId w:val="11"/>
  </w:num>
  <w:num w:numId="13" w16cid:durableId="1526401702">
    <w:abstractNumId w:val="16"/>
  </w:num>
  <w:num w:numId="14" w16cid:durableId="1614246640">
    <w:abstractNumId w:val="13"/>
  </w:num>
  <w:num w:numId="15" w16cid:durableId="1515994028">
    <w:abstractNumId w:val="12"/>
  </w:num>
  <w:num w:numId="16" w16cid:durableId="977952789">
    <w:abstractNumId w:val="14"/>
  </w:num>
  <w:num w:numId="17" w16cid:durableId="1997680378">
    <w:abstractNumId w:val="15"/>
  </w:num>
  <w:num w:numId="18" w16cid:durableId="1181705182">
    <w:abstractNumId w:val="18"/>
  </w:num>
  <w:num w:numId="19" w16cid:durableId="1030037300">
    <w:abstractNumId w:val="17"/>
  </w:num>
  <w:num w:numId="20" w16cid:durableId="432169277">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0A9"/>
    <w:rsid w:val="00013862"/>
    <w:rsid w:val="00013F6D"/>
    <w:rsid w:val="00016012"/>
    <w:rsid w:val="00020189"/>
    <w:rsid w:val="00020EE4"/>
    <w:rsid w:val="00023E9A"/>
    <w:rsid w:val="00033CDD"/>
    <w:rsid w:val="00034A84"/>
    <w:rsid w:val="0003598E"/>
    <w:rsid w:val="00035A2B"/>
    <w:rsid w:val="00035E67"/>
    <w:rsid w:val="000366F3"/>
    <w:rsid w:val="00036F71"/>
    <w:rsid w:val="000514A1"/>
    <w:rsid w:val="0006024D"/>
    <w:rsid w:val="00071193"/>
    <w:rsid w:val="000714B0"/>
    <w:rsid w:val="00071F28"/>
    <w:rsid w:val="00074079"/>
    <w:rsid w:val="00076A35"/>
    <w:rsid w:val="00083B9E"/>
    <w:rsid w:val="000879A7"/>
    <w:rsid w:val="00090669"/>
    <w:rsid w:val="00092799"/>
    <w:rsid w:val="00092C5F"/>
    <w:rsid w:val="00094C52"/>
    <w:rsid w:val="00096680"/>
    <w:rsid w:val="00096A2F"/>
    <w:rsid w:val="000A0F36"/>
    <w:rsid w:val="000A174A"/>
    <w:rsid w:val="000A3E0A"/>
    <w:rsid w:val="000A55A4"/>
    <w:rsid w:val="000A65AC"/>
    <w:rsid w:val="000A7159"/>
    <w:rsid w:val="000B0C33"/>
    <w:rsid w:val="000B1496"/>
    <w:rsid w:val="000B5E5D"/>
    <w:rsid w:val="000B7281"/>
    <w:rsid w:val="000B7FAB"/>
    <w:rsid w:val="000C0163"/>
    <w:rsid w:val="000C1BA1"/>
    <w:rsid w:val="000C277A"/>
    <w:rsid w:val="000C3EA9"/>
    <w:rsid w:val="000D0225"/>
    <w:rsid w:val="000E5DC0"/>
    <w:rsid w:val="000E7895"/>
    <w:rsid w:val="000E79C5"/>
    <w:rsid w:val="000F161D"/>
    <w:rsid w:val="000F3CAA"/>
    <w:rsid w:val="00102ABB"/>
    <w:rsid w:val="00121BF0"/>
    <w:rsid w:val="00122458"/>
    <w:rsid w:val="00123704"/>
    <w:rsid w:val="001270C7"/>
    <w:rsid w:val="00132540"/>
    <w:rsid w:val="00133F0F"/>
    <w:rsid w:val="0014786A"/>
    <w:rsid w:val="001516A4"/>
    <w:rsid w:val="00151E5F"/>
    <w:rsid w:val="00153E28"/>
    <w:rsid w:val="001569AB"/>
    <w:rsid w:val="00164D63"/>
    <w:rsid w:val="00166C20"/>
    <w:rsid w:val="0016725C"/>
    <w:rsid w:val="001726F3"/>
    <w:rsid w:val="00173C51"/>
    <w:rsid w:val="00174CC2"/>
    <w:rsid w:val="00176CC6"/>
    <w:rsid w:val="00181BE4"/>
    <w:rsid w:val="00185576"/>
    <w:rsid w:val="00185951"/>
    <w:rsid w:val="00196B8B"/>
    <w:rsid w:val="001A2BEA"/>
    <w:rsid w:val="001A35B6"/>
    <w:rsid w:val="001A6D93"/>
    <w:rsid w:val="001B7B3E"/>
    <w:rsid w:val="001C096E"/>
    <w:rsid w:val="001C32EC"/>
    <w:rsid w:val="001C38BD"/>
    <w:rsid w:val="001C4D5A"/>
    <w:rsid w:val="001C78CE"/>
    <w:rsid w:val="001C7D3A"/>
    <w:rsid w:val="001E34C6"/>
    <w:rsid w:val="001E4A1A"/>
    <w:rsid w:val="001E5581"/>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1A8E"/>
    <w:rsid w:val="00271B25"/>
    <w:rsid w:val="00273F3B"/>
    <w:rsid w:val="00274DB7"/>
    <w:rsid w:val="002757CC"/>
    <w:rsid w:val="00275984"/>
    <w:rsid w:val="00280F74"/>
    <w:rsid w:val="002822CA"/>
    <w:rsid w:val="00286352"/>
    <w:rsid w:val="00286998"/>
    <w:rsid w:val="0028720B"/>
    <w:rsid w:val="00291AB7"/>
    <w:rsid w:val="00292EB2"/>
    <w:rsid w:val="0029422B"/>
    <w:rsid w:val="002A0938"/>
    <w:rsid w:val="002B153C"/>
    <w:rsid w:val="002B512B"/>
    <w:rsid w:val="002B52FC"/>
    <w:rsid w:val="002C2830"/>
    <w:rsid w:val="002D001A"/>
    <w:rsid w:val="002D0DDB"/>
    <w:rsid w:val="002D28E2"/>
    <w:rsid w:val="002D317B"/>
    <w:rsid w:val="002D3587"/>
    <w:rsid w:val="002D502D"/>
    <w:rsid w:val="002E0F69"/>
    <w:rsid w:val="002F5147"/>
    <w:rsid w:val="002F7ABD"/>
    <w:rsid w:val="002F7DD0"/>
    <w:rsid w:val="00305F1D"/>
    <w:rsid w:val="00312597"/>
    <w:rsid w:val="003140FE"/>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524B"/>
    <w:rsid w:val="00371048"/>
    <w:rsid w:val="0037117A"/>
    <w:rsid w:val="0037396C"/>
    <w:rsid w:val="0037421D"/>
    <w:rsid w:val="00375CAC"/>
    <w:rsid w:val="00376093"/>
    <w:rsid w:val="00383DA1"/>
    <w:rsid w:val="00385F30"/>
    <w:rsid w:val="00387835"/>
    <w:rsid w:val="00393696"/>
    <w:rsid w:val="00393963"/>
    <w:rsid w:val="00395575"/>
    <w:rsid w:val="00395672"/>
    <w:rsid w:val="003A06C8"/>
    <w:rsid w:val="003A0D7C"/>
    <w:rsid w:val="003A5290"/>
    <w:rsid w:val="003B0155"/>
    <w:rsid w:val="003B2BAB"/>
    <w:rsid w:val="003B7EE7"/>
    <w:rsid w:val="003C2CCB"/>
    <w:rsid w:val="003D0F4D"/>
    <w:rsid w:val="003D39EC"/>
    <w:rsid w:val="003D5DED"/>
    <w:rsid w:val="003E3DD5"/>
    <w:rsid w:val="003E3FED"/>
    <w:rsid w:val="003F07C6"/>
    <w:rsid w:val="003F1F6B"/>
    <w:rsid w:val="003F3757"/>
    <w:rsid w:val="003F38BD"/>
    <w:rsid w:val="003F44B7"/>
    <w:rsid w:val="004008E9"/>
    <w:rsid w:val="00401F15"/>
    <w:rsid w:val="00405AD0"/>
    <w:rsid w:val="00413B2E"/>
    <w:rsid w:val="00413D48"/>
    <w:rsid w:val="00441AC2"/>
    <w:rsid w:val="0044249B"/>
    <w:rsid w:val="0045023C"/>
    <w:rsid w:val="00451A5B"/>
    <w:rsid w:val="00452BCD"/>
    <w:rsid w:val="00452CEA"/>
    <w:rsid w:val="00465B52"/>
    <w:rsid w:val="0046708E"/>
    <w:rsid w:val="00472A65"/>
    <w:rsid w:val="00474463"/>
    <w:rsid w:val="00474B75"/>
    <w:rsid w:val="00483F0B"/>
    <w:rsid w:val="00491CBF"/>
    <w:rsid w:val="00496319"/>
    <w:rsid w:val="00497279"/>
    <w:rsid w:val="004A163B"/>
    <w:rsid w:val="004A670A"/>
    <w:rsid w:val="004B4ECF"/>
    <w:rsid w:val="004B5465"/>
    <w:rsid w:val="004B68CC"/>
    <w:rsid w:val="004B70F0"/>
    <w:rsid w:val="004B7AD2"/>
    <w:rsid w:val="004C21A8"/>
    <w:rsid w:val="004D505E"/>
    <w:rsid w:val="004D72CA"/>
    <w:rsid w:val="004E2242"/>
    <w:rsid w:val="004F42FF"/>
    <w:rsid w:val="004F44C2"/>
    <w:rsid w:val="005010AA"/>
    <w:rsid w:val="00502512"/>
    <w:rsid w:val="00502F77"/>
    <w:rsid w:val="00503FD2"/>
    <w:rsid w:val="00505262"/>
    <w:rsid w:val="00512549"/>
    <w:rsid w:val="00516022"/>
    <w:rsid w:val="00521CEE"/>
    <w:rsid w:val="00527BD4"/>
    <w:rsid w:val="00527E51"/>
    <w:rsid w:val="00537095"/>
    <w:rsid w:val="005403C8"/>
    <w:rsid w:val="005429DC"/>
    <w:rsid w:val="0055114F"/>
    <w:rsid w:val="005565F9"/>
    <w:rsid w:val="00573041"/>
    <w:rsid w:val="00575B80"/>
    <w:rsid w:val="0057620F"/>
    <w:rsid w:val="00580958"/>
    <w:rsid w:val="005819CE"/>
    <w:rsid w:val="0058298D"/>
    <w:rsid w:val="005833FF"/>
    <w:rsid w:val="00584C1A"/>
    <w:rsid w:val="00593C2B"/>
    <w:rsid w:val="00595231"/>
    <w:rsid w:val="00595BD3"/>
    <w:rsid w:val="00596166"/>
    <w:rsid w:val="00597F64"/>
    <w:rsid w:val="005A207F"/>
    <w:rsid w:val="005A2F35"/>
    <w:rsid w:val="005B3814"/>
    <w:rsid w:val="005B41A1"/>
    <w:rsid w:val="005B463E"/>
    <w:rsid w:val="005C1DF2"/>
    <w:rsid w:val="005C34E1"/>
    <w:rsid w:val="005C3FE0"/>
    <w:rsid w:val="005C740C"/>
    <w:rsid w:val="005D625B"/>
    <w:rsid w:val="005F62D3"/>
    <w:rsid w:val="005F6D11"/>
    <w:rsid w:val="00600CF0"/>
    <w:rsid w:val="00603706"/>
    <w:rsid w:val="006048F4"/>
    <w:rsid w:val="0060660A"/>
    <w:rsid w:val="00613B1D"/>
    <w:rsid w:val="00615F08"/>
    <w:rsid w:val="00617A44"/>
    <w:rsid w:val="006202B6"/>
    <w:rsid w:val="00621CEE"/>
    <w:rsid w:val="00625CD0"/>
    <w:rsid w:val="0062627D"/>
    <w:rsid w:val="00627432"/>
    <w:rsid w:val="00636896"/>
    <w:rsid w:val="00642B7A"/>
    <w:rsid w:val="006448E4"/>
    <w:rsid w:val="00645414"/>
    <w:rsid w:val="00651CEE"/>
    <w:rsid w:val="006521DB"/>
    <w:rsid w:val="00652CC8"/>
    <w:rsid w:val="00653606"/>
    <w:rsid w:val="006540F9"/>
    <w:rsid w:val="006610E9"/>
    <w:rsid w:val="0066127D"/>
    <w:rsid w:val="00661591"/>
    <w:rsid w:val="00664678"/>
    <w:rsid w:val="00665B2C"/>
    <w:rsid w:val="0066632F"/>
    <w:rsid w:val="00674A89"/>
    <w:rsid w:val="00674F3D"/>
    <w:rsid w:val="00685545"/>
    <w:rsid w:val="006864B3"/>
    <w:rsid w:val="006906E5"/>
    <w:rsid w:val="00691CF6"/>
    <w:rsid w:val="00692D64"/>
    <w:rsid w:val="006A10F8"/>
    <w:rsid w:val="006A2100"/>
    <w:rsid w:val="006A5C3B"/>
    <w:rsid w:val="006A67D8"/>
    <w:rsid w:val="006A72E0"/>
    <w:rsid w:val="006B0BF3"/>
    <w:rsid w:val="006B2741"/>
    <w:rsid w:val="006B775E"/>
    <w:rsid w:val="006B7BC7"/>
    <w:rsid w:val="006C2535"/>
    <w:rsid w:val="006C441E"/>
    <w:rsid w:val="006C4B90"/>
    <w:rsid w:val="006D1016"/>
    <w:rsid w:val="006D17F2"/>
    <w:rsid w:val="006E3546"/>
    <w:rsid w:val="006E3FA9"/>
    <w:rsid w:val="006E7D82"/>
    <w:rsid w:val="006F038F"/>
    <w:rsid w:val="006F0F93"/>
    <w:rsid w:val="006F31F2"/>
    <w:rsid w:val="006F56E9"/>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55B60"/>
    <w:rsid w:val="007610AA"/>
    <w:rsid w:val="00762033"/>
    <w:rsid w:val="007709EF"/>
    <w:rsid w:val="00782701"/>
    <w:rsid w:val="00783559"/>
    <w:rsid w:val="0079551B"/>
    <w:rsid w:val="00797AA5"/>
    <w:rsid w:val="007A26BD"/>
    <w:rsid w:val="007A4105"/>
    <w:rsid w:val="007B3DEE"/>
    <w:rsid w:val="007B4503"/>
    <w:rsid w:val="007C3135"/>
    <w:rsid w:val="007C406E"/>
    <w:rsid w:val="007C5183"/>
    <w:rsid w:val="007C53DC"/>
    <w:rsid w:val="007C7573"/>
    <w:rsid w:val="007E2B20"/>
    <w:rsid w:val="007F1FE4"/>
    <w:rsid w:val="007F439C"/>
    <w:rsid w:val="007F5331"/>
    <w:rsid w:val="00800CCA"/>
    <w:rsid w:val="00806120"/>
    <w:rsid w:val="00806F63"/>
    <w:rsid w:val="00810C93"/>
    <w:rsid w:val="00812028"/>
    <w:rsid w:val="00812DD8"/>
    <w:rsid w:val="00813082"/>
    <w:rsid w:val="00814D03"/>
    <w:rsid w:val="00815FD5"/>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5EDE"/>
    <w:rsid w:val="0085683F"/>
    <w:rsid w:val="00857FEB"/>
    <w:rsid w:val="008601AF"/>
    <w:rsid w:val="00872271"/>
    <w:rsid w:val="00883137"/>
    <w:rsid w:val="00894A3B"/>
    <w:rsid w:val="008A1F5D"/>
    <w:rsid w:val="008A28F5"/>
    <w:rsid w:val="008A5950"/>
    <w:rsid w:val="008B1198"/>
    <w:rsid w:val="008B3471"/>
    <w:rsid w:val="008B3929"/>
    <w:rsid w:val="008B4125"/>
    <w:rsid w:val="008B4CB3"/>
    <w:rsid w:val="008B567B"/>
    <w:rsid w:val="008B6918"/>
    <w:rsid w:val="008B7B24"/>
    <w:rsid w:val="008C356D"/>
    <w:rsid w:val="008D1527"/>
    <w:rsid w:val="008D43B5"/>
    <w:rsid w:val="008D6EAC"/>
    <w:rsid w:val="008E0B3F"/>
    <w:rsid w:val="008E49AD"/>
    <w:rsid w:val="008E698E"/>
    <w:rsid w:val="008F2584"/>
    <w:rsid w:val="008F3246"/>
    <w:rsid w:val="008F3C1B"/>
    <w:rsid w:val="008F508C"/>
    <w:rsid w:val="00901BE9"/>
    <w:rsid w:val="0090271B"/>
    <w:rsid w:val="00910642"/>
    <w:rsid w:val="00910DDF"/>
    <w:rsid w:val="00912AD8"/>
    <w:rsid w:val="00922290"/>
    <w:rsid w:val="00926AE2"/>
    <w:rsid w:val="00930B13"/>
    <w:rsid w:val="009311C8"/>
    <w:rsid w:val="00932AF5"/>
    <w:rsid w:val="00933376"/>
    <w:rsid w:val="00933A2F"/>
    <w:rsid w:val="009476F6"/>
    <w:rsid w:val="009533E8"/>
    <w:rsid w:val="009716D8"/>
    <w:rsid w:val="009718F9"/>
    <w:rsid w:val="00971F42"/>
    <w:rsid w:val="00972FB9"/>
    <w:rsid w:val="00975112"/>
    <w:rsid w:val="00981768"/>
    <w:rsid w:val="00983E8F"/>
    <w:rsid w:val="009851C2"/>
    <w:rsid w:val="0098788A"/>
    <w:rsid w:val="0099236A"/>
    <w:rsid w:val="009936A2"/>
    <w:rsid w:val="00994FDA"/>
    <w:rsid w:val="009A31BF"/>
    <w:rsid w:val="009A3B71"/>
    <w:rsid w:val="009A61BC"/>
    <w:rsid w:val="009B0138"/>
    <w:rsid w:val="009B0FE9"/>
    <w:rsid w:val="009B173A"/>
    <w:rsid w:val="009C3F20"/>
    <w:rsid w:val="009C7CA1"/>
    <w:rsid w:val="009D043D"/>
    <w:rsid w:val="009E3B26"/>
    <w:rsid w:val="009E3C59"/>
    <w:rsid w:val="009E5D39"/>
    <w:rsid w:val="009F3259"/>
    <w:rsid w:val="009F75A9"/>
    <w:rsid w:val="00A037D5"/>
    <w:rsid w:val="00A056DE"/>
    <w:rsid w:val="00A0628D"/>
    <w:rsid w:val="00A128AD"/>
    <w:rsid w:val="00A15C65"/>
    <w:rsid w:val="00A15DA2"/>
    <w:rsid w:val="00A16D7E"/>
    <w:rsid w:val="00A21E76"/>
    <w:rsid w:val="00A23BC8"/>
    <w:rsid w:val="00A245F8"/>
    <w:rsid w:val="00A30E68"/>
    <w:rsid w:val="00A31933"/>
    <w:rsid w:val="00A329D2"/>
    <w:rsid w:val="00A34AA0"/>
    <w:rsid w:val="00A363EB"/>
    <w:rsid w:val="00A3715C"/>
    <w:rsid w:val="00A413B4"/>
    <w:rsid w:val="00A41FE2"/>
    <w:rsid w:val="00A43B71"/>
    <w:rsid w:val="00A46FEF"/>
    <w:rsid w:val="00A47948"/>
    <w:rsid w:val="00A50CF6"/>
    <w:rsid w:val="00A56946"/>
    <w:rsid w:val="00A577AE"/>
    <w:rsid w:val="00A6170E"/>
    <w:rsid w:val="00A625D6"/>
    <w:rsid w:val="00A63B8C"/>
    <w:rsid w:val="00A66A79"/>
    <w:rsid w:val="00A715F8"/>
    <w:rsid w:val="00A77F6F"/>
    <w:rsid w:val="00A82242"/>
    <w:rsid w:val="00A831FD"/>
    <w:rsid w:val="00A83352"/>
    <w:rsid w:val="00A850A2"/>
    <w:rsid w:val="00A91FA3"/>
    <w:rsid w:val="00A927D3"/>
    <w:rsid w:val="00A93F05"/>
    <w:rsid w:val="00AA7FC9"/>
    <w:rsid w:val="00AB237D"/>
    <w:rsid w:val="00AB4311"/>
    <w:rsid w:val="00AB5933"/>
    <w:rsid w:val="00AD0EA6"/>
    <w:rsid w:val="00AE013D"/>
    <w:rsid w:val="00AE11B7"/>
    <w:rsid w:val="00AE7181"/>
    <w:rsid w:val="00AE7F68"/>
    <w:rsid w:val="00AF2321"/>
    <w:rsid w:val="00AF52F6"/>
    <w:rsid w:val="00AF52FD"/>
    <w:rsid w:val="00AF54A8"/>
    <w:rsid w:val="00AF7237"/>
    <w:rsid w:val="00B0043A"/>
    <w:rsid w:val="00B00D75"/>
    <w:rsid w:val="00B06399"/>
    <w:rsid w:val="00B06597"/>
    <w:rsid w:val="00B070CB"/>
    <w:rsid w:val="00B12456"/>
    <w:rsid w:val="00B145F0"/>
    <w:rsid w:val="00B20E83"/>
    <w:rsid w:val="00B259C8"/>
    <w:rsid w:val="00B26CCF"/>
    <w:rsid w:val="00B30FC2"/>
    <w:rsid w:val="00B331A2"/>
    <w:rsid w:val="00B37679"/>
    <w:rsid w:val="00B41BCC"/>
    <w:rsid w:val="00B425F0"/>
    <w:rsid w:val="00B42DFA"/>
    <w:rsid w:val="00B531DD"/>
    <w:rsid w:val="00B55014"/>
    <w:rsid w:val="00B57842"/>
    <w:rsid w:val="00B62232"/>
    <w:rsid w:val="00B7057C"/>
    <w:rsid w:val="00B70BF3"/>
    <w:rsid w:val="00B71DC2"/>
    <w:rsid w:val="00B844EB"/>
    <w:rsid w:val="00B849F5"/>
    <w:rsid w:val="00B866DC"/>
    <w:rsid w:val="00B867A5"/>
    <w:rsid w:val="00B91CFC"/>
    <w:rsid w:val="00B93893"/>
    <w:rsid w:val="00B93BAD"/>
    <w:rsid w:val="00BA1397"/>
    <w:rsid w:val="00BA7E0A"/>
    <w:rsid w:val="00BB3DE3"/>
    <w:rsid w:val="00BC01BF"/>
    <w:rsid w:val="00BC0416"/>
    <w:rsid w:val="00BC222D"/>
    <w:rsid w:val="00BC2C00"/>
    <w:rsid w:val="00BC3A1B"/>
    <w:rsid w:val="00BC3B53"/>
    <w:rsid w:val="00BC3B96"/>
    <w:rsid w:val="00BC4AE3"/>
    <w:rsid w:val="00BC5B28"/>
    <w:rsid w:val="00BD2370"/>
    <w:rsid w:val="00BE1A1C"/>
    <w:rsid w:val="00BE3F88"/>
    <w:rsid w:val="00BE4756"/>
    <w:rsid w:val="00BE5ED9"/>
    <w:rsid w:val="00BE7A96"/>
    <w:rsid w:val="00BE7B41"/>
    <w:rsid w:val="00BF3947"/>
    <w:rsid w:val="00C01167"/>
    <w:rsid w:val="00C15A91"/>
    <w:rsid w:val="00C206F1"/>
    <w:rsid w:val="00C217E1"/>
    <w:rsid w:val="00C219B1"/>
    <w:rsid w:val="00C32BBC"/>
    <w:rsid w:val="00C4015B"/>
    <w:rsid w:val="00C40C60"/>
    <w:rsid w:val="00C43FE6"/>
    <w:rsid w:val="00C5258E"/>
    <w:rsid w:val="00C530C9"/>
    <w:rsid w:val="00C57611"/>
    <w:rsid w:val="00C612F7"/>
    <w:rsid w:val="00C619A7"/>
    <w:rsid w:val="00C65E59"/>
    <w:rsid w:val="00C73D5F"/>
    <w:rsid w:val="00C82AFE"/>
    <w:rsid w:val="00C83DBC"/>
    <w:rsid w:val="00C97C80"/>
    <w:rsid w:val="00CA47D3"/>
    <w:rsid w:val="00CA6533"/>
    <w:rsid w:val="00CA6A25"/>
    <w:rsid w:val="00CA6A3F"/>
    <w:rsid w:val="00CA7C99"/>
    <w:rsid w:val="00CB19D8"/>
    <w:rsid w:val="00CC6290"/>
    <w:rsid w:val="00CC6947"/>
    <w:rsid w:val="00CC7B6B"/>
    <w:rsid w:val="00CD0C66"/>
    <w:rsid w:val="00CD233D"/>
    <w:rsid w:val="00CD3499"/>
    <w:rsid w:val="00CD362D"/>
    <w:rsid w:val="00CD5C98"/>
    <w:rsid w:val="00CD6A21"/>
    <w:rsid w:val="00CE101D"/>
    <w:rsid w:val="00CE1814"/>
    <w:rsid w:val="00CE1A95"/>
    <w:rsid w:val="00CE1C84"/>
    <w:rsid w:val="00CE5055"/>
    <w:rsid w:val="00CF053F"/>
    <w:rsid w:val="00CF1A17"/>
    <w:rsid w:val="00D0375A"/>
    <w:rsid w:val="00D03EC2"/>
    <w:rsid w:val="00D05BA1"/>
    <w:rsid w:val="00D0609E"/>
    <w:rsid w:val="00D078E1"/>
    <w:rsid w:val="00D100E9"/>
    <w:rsid w:val="00D17942"/>
    <w:rsid w:val="00D21E4B"/>
    <w:rsid w:val="00D22441"/>
    <w:rsid w:val="00D23522"/>
    <w:rsid w:val="00D264D6"/>
    <w:rsid w:val="00D33BF0"/>
    <w:rsid w:val="00D33DE0"/>
    <w:rsid w:val="00D36447"/>
    <w:rsid w:val="00D40D32"/>
    <w:rsid w:val="00D50394"/>
    <w:rsid w:val="00D516BE"/>
    <w:rsid w:val="00D52120"/>
    <w:rsid w:val="00D5423B"/>
    <w:rsid w:val="00D54A9A"/>
    <w:rsid w:val="00D54E6A"/>
    <w:rsid w:val="00D54F4E"/>
    <w:rsid w:val="00D56E01"/>
    <w:rsid w:val="00D57A56"/>
    <w:rsid w:val="00D604B3"/>
    <w:rsid w:val="00D60BA4"/>
    <w:rsid w:val="00D62419"/>
    <w:rsid w:val="00D63058"/>
    <w:rsid w:val="00D718C9"/>
    <w:rsid w:val="00D77870"/>
    <w:rsid w:val="00D80977"/>
    <w:rsid w:val="00D80CCE"/>
    <w:rsid w:val="00D86EEA"/>
    <w:rsid w:val="00D87D03"/>
    <w:rsid w:val="00D9360B"/>
    <w:rsid w:val="00D95C88"/>
    <w:rsid w:val="00D97B2E"/>
    <w:rsid w:val="00DA241E"/>
    <w:rsid w:val="00DB36FE"/>
    <w:rsid w:val="00DB490C"/>
    <w:rsid w:val="00DB533A"/>
    <w:rsid w:val="00DB60AE"/>
    <w:rsid w:val="00DB6307"/>
    <w:rsid w:val="00DC2F5E"/>
    <w:rsid w:val="00DC4E16"/>
    <w:rsid w:val="00DD1DCD"/>
    <w:rsid w:val="00DD338F"/>
    <w:rsid w:val="00DD66F2"/>
    <w:rsid w:val="00DE308D"/>
    <w:rsid w:val="00DE3FE0"/>
    <w:rsid w:val="00DE578A"/>
    <w:rsid w:val="00DF2583"/>
    <w:rsid w:val="00DF2FB0"/>
    <w:rsid w:val="00DF54D9"/>
    <w:rsid w:val="00DF7283"/>
    <w:rsid w:val="00E01A59"/>
    <w:rsid w:val="00E03C3C"/>
    <w:rsid w:val="00E04E12"/>
    <w:rsid w:val="00E10DC6"/>
    <w:rsid w:val="00E11F8E"/>
    <w:rsid w:val="00E12F06"/>
    <w:rsid w:val="00E15881"/>
    <w:rsid w:val="00E16A8F"/>
    <w:rsid w:val="00E200D7"/>
    <w:rsid w:val="00E21DE3"/>
    <w:rsid w:val="00E273C5"/>
    <w:rsid w:val="00E307D1"/>
    <w:rsid w:val="00E3731D"/>
    <w:rsid w:val="00E4310E"/>
    <w:rsid w:val="00E51469"/>
    <w:rsid w:val="00E634E3"/>
    <w:rsid w:val="00E717C4"/>
    <w:rsid w:val="00E72E8C"/>
    <w:rsid w:val="00E77E18"/>
    <w:rsid w:val="00E77F89"/>
    <w:rsid w:val="00E80330"/>
    <w:rsid w:val="00E806C5"/>
    <w:rsid w:val="00E80E71"/>
    <w:rsid w:val="00E850D3"/>
    <w:rsid w:val="00E853D6"/>
    <w:rsid w:val="00E86657"/>
    <w:rsid w:val="00E876B9"/>
    <w:rsid w:val="00E9630D"/>
    <w:rsid w:val="00EC0DFF"/>
    <w:rsid w:val="00EC1B20"/>
    <w:rsid w:val="00EC237D"/>
    <w:rsid w:val="00EC2918"/>
    <w:rsid w:val="00EC4D0E"/>
    <w:rsid w:val="00EC4E2B"/>
    <w:rsid w:val="00ED072A"/>
    <w:rsid w:val="00ED539E"/>
    <w:rsid w:val="00ED7DA0"/>
    <w:rsid w:val="00EE12AD"/>
    <w:rsid w:val="00EE28F9"/>
    <w:rsid w:val="00EE4A1F"/>
    <w:rsid w:val="00EE4C2D"/>
    <w:rsid w:val="00EE4E53"/>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363F1"/>
    <w:rsid w:val="00F41A6F"/>
    <w:rsid w:val="00F45A25"/>
    <w:rsid w:val="00F50F86"/>
    <w:rsid w:val="00F53F91"/>
    <w:rsid w:val="00F61569"/>
    <w:rsid w:val="00F61A72"/>
    <w:rsid w:val="00F62B67"/>
    <w:rsid w:val="00F66F13"/>
    <w:rsid w:val="00F727AA"/>
    <w:rsid w:val="00F74073"/>
    <w:rsid w:val="00F74171"/>
    <w:rsid w:val="00F75603"/>
    <w:rsid w:val="00F84070"/>
    <w:rsid w:val="00F845B4"/>
    <w:rsid w:val="00F8713B"/>
    <w:rsid w:val="00F93F9E"/>
    <w:rsid w:val="00F94A81"/>
    <w:rsid w:val="00FA2CD7"/>
    <w:rsid w:val="00FB06ED"/>
    <w:rsid w:val="00FB6B5D"/>
    <w:rsid w:val="00FC1EEC"/>
    <w:rsid w:val="00FC2311"/>
    <w:rsid w:val="00FC3165"/>
    <w:rsid w:val="00FC36AB"/>
    <w:rsid w:val="00FC4300"/>
    <w:rsid w:val="00FC5D3A"/>
    <w:rsid w:val="00FC6A6D"/>
    <w:rsid w:val="00FC7F66"/>
    <w:rsid w:val="00FD5776"/>
    <w:rsid w:val="00FE1CB6"/>
    <w:rsid w:val="00FE486B"/>
    <w:rsid w:val="00FE4F08"/>
    <w:rsid w:val="00FF192E"/>
    <w:rsid w:val="00FF2F2D"/>
    <w:rsid w:val="0271AB31"/>
    <w:rsid w:val="03F6EFC4"/>
    <w:rsid w:val="1DBFA92F"/>
    <w:rsid w:val="2D275697"/>
    <w:rsid w:val="2DAC2EE8"/>
    <w:rsid w:val="38D4C64C"/>
    <w:rsid w:val="3CA6FBC4"/>
    <w:rsid w:val="4CDF5D21"/>
    <w:rsid w:val="5167F175"/>
    <w:rsid w:val="614C840C"/>
    <w:rsid w:val="6A7F0B9D"/>
    <w:rsid w:val="734D0041"/>
    <w:rsid w:val="73CBFD14"/>
    <w:rsid w:val="79D093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40A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B41BCC"/>
    <w:rPr>
      <w:rFonts w:ascii="Verdana" w:hAnsi="Verdana"/>
      <w:sz w:val="18"/>
      <w:szCs w:val="24"/>
      <w:lang w:val="nl-NL" w:eastAsia="nl-NL"/>
    </w:rPr>
  </w:style>
  <w:style w:type="character" w:styleId="Voetnootmarkering">
    <w:name w:val="footnote reference"/>
    <w:basedOn w:val="Standaardalinea-lettertype"/>
    <w:semiHidden/>
    <w:unhideWhenUsed/>
    <w:rsid w:val="003140FE"/>
    <w:rPr>
      <w:vertAlign w:val="superscript"/>
    </w:rPr>
  </w:style>
  <w:style w:type="paragraph" w:customStyle="1" w:styleId="Spreekpunten">
    <w:name w:val="Spreekpunten"/>
    <w:basedOn w:val="Standaard"/>
    <w:rsid w:val="008B6918"/>
    <w:pPr>
      <w:numPr>
        <w:numId w:val="16"/>
      </w:numPr>
      <w:spacing w:line="360" w:lineRule="auto"/>
    </w:pPr>
    <w:rPr>
      <w:rFonts w:ascii="Times New Roman" w:hAnsi="Times New Roman"/>
      <w:bCs/>
      <w:sz w:val="28"/>
      <w:szCs w:val="20"/>
      <w:lang w:val="en-GB"/>
    </w:rPr>
  </w:style>
  <w:style w:type="paragraph" w:styleId="Revisie">
    <w:name w:val="Revision"/>
    <w:hidden/>
    <w:uiPriority w:val="99"/>
    <w:semiHidden/>
    <w:rsid w:val="000E79C5"/>
    <w:rPr>
      <w:rFonts w:ascii="Verdana" w:hAnsi="Verdana"/>
      <w:sz w:val="18"/>
      <w:szCs w:val="24"/>
      <w:lang w:val="nl-NL" w:eastAsia="nl-NL"/>
    </w:rPr>
  </w:style>
  <w:style w:type="character" w:styleId="Verwijzingopmerking">
    <w:name w:val="annotation reference"/>
    <w:basedOn w:val="Standaardalinea-lettertype"/>
    <w:semiHidden/>
    <w:unhideWhenUsed/>
    <w:rsid w:val="000E79C5"/>
    <w:rPr>
      <w:sz w:val="16"/>
      <w:szCs w:val="16"/>
    </w:rPr>
  </w:style>
  <w:style w:type="paragraph" w:styleId="Tekstopmerking">
    <w:name w:val="annotation text"/>
    <w:basedOn w:val="Standaard"/>
    <w:link w:val="TekstopmerkingChar"/>
    <w:unhideWhenUsed/>
    <w:rsid w:val="000E79C5"/>
    <w:pPr>
      <w:spacing w:line="240" w:lineRule="auto"/>
    </w:pPr>
    <w:rPr>
      <w:sz w:val="20"/>
      <w:szCs w:val="20"/>
    </w:rPr>
  </w:style>
  <w:style w:type="character" w:customStyle="1" w:styleId="TekstopmerkingChar">
    <w:name w:val="Tekst opmerking Char"/>
    <w:basedOn w:val="Standaardalinea-lettertype"/>
    <w:link w:val="Tekstopmerking"/>
    <w:rsid w:val="000E79C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4310E"/>
    <w:rPr>
      <w:b/>
      <w:bCs/>
    </w:rPr>
  </w:style>
  <w:style w:type="character" w:customStyle="1" w:styleId="OnderwerpvanopmerkingChar">
    <w:name w:val="Onderwerp van opmerking Char"/>
    <w:basedOn w:val="TekstopmerkingChar"/>
    <w:link w:val="Onderwerpvanopmerking"/>
    <w:semiHidden/>
    <w:rsid w:val="00E4310E"/>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ap:Pages>
  <ap:Words>2040</ap:Words>
  <ap:Characters>11220</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2026-01-19T14:25:00.0000000Z</dcterms:created>
  <dcterms:modified xsi:type="dcterms:W3CDTF">2026-01-19T14:25:00.0000000Z</dcterms:modified>
  <dc:description>------------------------</dc:description>
  <version/>
  <category/>
</coreProperties>
</file>