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27"/>
        <w:gridCol w:w="3065"/>
        <w:gridCol w:w="3497"/>
        <w:gridCol w:w="1134"/>
        <w:gridCol w:w="4172"/>
      </w:tblGrid>
      <w:tr w:rsidRPr="00FB5E6B" w:rsidR="00FB5E6B" w:rsidTr="00F21699" w14:paraId="22869726" w14:textId="77777777">
        <w:trPr>
          <w:trHeight w:val="300"/>
        </w:trPr>
        <w:tc>
          <w:tcPr>
            <w:tcW w:w="2227" w:type="dxa"/>
            <w:hideMark/>
          </w:tcPr>
          <w:p w:rsidRPr="00FB5E6B" w:rsidR="00FB5E6B" w:rsidP="00F21699" w:rsidRDefault="00FB5E6B" w14:paraId="178CD0A4" w14:textId="0C5BED8F">
            <w:pPr>
              <w:spacing w:before="240"/>
              <w:rPr>
                <w:rFonts w:ascii="Times New Roman" w:hAnsi="Times New Roman" w:cs="Times New Roman"/>
                <w:b/>
                <w:bCs/>
              </w:rPr>
            </w:pPr>
            <w:r w:rsidRPr="00FB5E6B">
              <w:rPr>
                <w:rFonts w:ascii="Times New Roman" w:hAnsi="Times New Roman" w:cs="Times New Roman"/>
                <w:b/>
                <w:bCs/>
              </w:rPr>
              <w:t>Binnenlandse Zaken en Koninkrijk</w:t>
            </w:r>
            <w:r w:rsidR="006C36E1">
              <w:rPr>
                <w:rFonts w:ascii="Times New Roman" w:hAnsi="Times New Roman" w:cs="Times New Roman"/>
                <w:b/>
                <w:bCs/>
              </w:rPr>
              <w:t>sre</w:t>
            </w:r>
            <w:r w:rsidRPr="00FB5E6B">
              <w:rPr>
                <w:rFonts w:ascii="Times New Roman" w:hAnsi="Times New Roman" w:cs="Times New Roman"/>
                <w:b/>
                <w:bCs/>
              </w:rPr>
              <w:t>laties</w:t>
            </w:r>
          </w:p>
        </w:tc>
        <w:tc>
          <w:tcPr>
            <w:tcW w:w="3065" w:type="dxa"/>
            <w:hideMark/>
          </w:tcPr>
          <w:p w:rsidRPr="00FB5E6B" w:rsidR="00FB5E6B" w:rsidP="00F21699" w:rsidRDefault="00FB5E6B" w14:paraId="102CCFF0" w14:textId="77777777">
            <w:pPr>
              <w:spacing w:before="240"/>
              <w:rPr>
                <w:rFonts w:ascii="Times New Roman" w:hAnsi="Times New Roman" w:cs="Times New Roman"/>
              </w:rPr>
            </w:pPr>
            <w:r w:rsidRPr="00FB5E6B">
              <w:rPr>
                <w:rFonts w:ascii="Times New Roman" w:hAnsi="Times New Roman" w:cs="Times New Roman"/>
              </w:rPr>
              <w:t>EU verkiezing leden Europees Parlement; wijziging</w:t>
            </w:r>
          </w:p>
        </w:tc>
        <w:tc>
          <w:tcPr>
            <w:tcW w:w="3497" w:type="dxa"/>
            <w:hideMark/>
          </w:tcPr>
          <w:p w:rsidRPr="00FB5E6B" w:rsidR="00FB5E6B" w:rsidP="00F21699" w:rsidRDefault="00FB5E6B" w14:paraId="2231F20C" w14:textId="77777777">
            <w:pPr>
              <w:spacing w:before="240"/>
              <w:rPr>
                <w:rFonts w:ascii="Times New Roman" w:hAnsi="Times New Roman" w:cs="Times New Roman"/>
              </w:rPr>
            </w:pPr>
            <w:r w:rsidRPr="00FB5E6B">
              <w:rPr>
                <w:rFonts w:ascii="Times New Roman" w:hAnsi="Times New Roman" w:cs="Times New Roman"/>
              </w:rPr>
              <w:t>EU (Europese Unie)</w:t>
            </w:r>
          </w:p>
        </w:tc>
        <w:tc>
          <w:tcPr>
            <w:tcW w:w="1134" w:type="dxa"/>
            <w:hideMark/>
          </w:tcPr>
          <w:p w:rsidRPr="00FB5E6B" w:rsidR="00FB5E6B" w:rsidP="00F21699" w:rsidRDefault="00FB5E6B" w14:paraId="711F7140" w14:textId="77777777">
            <w:pPr>
              <w:spacing w:before="240"/>
              <w:rPr>
                <w:rFonts w:ascii="Times New Roman" w:hAnsi="Times New Roman" w:cs="Times New Roman"/>
              </w:rPr>
            </w:pPr>
            <w:r w:rsidRPr="00FB5E6B">
              <w:rPr>
                <w:rFonts w:ascii="Times New Roman" w:hAnsi="Times New Roman" w:cs="Times New Roman"/>
              </w:rPr>
              <w:t>014224</w:t>
            </w:r>
          </w:p>
        </w:tc>
        <w:tc>
          <w:tcPr>
            <w:tcW w:w="4172" w:type="dxa"/>
            <w:hideMark/>
          </w:tcPr>
          <w:p w:rsidRPr="00FB5E6B" w:rsidR="00FB5E6B" w:rsidP="00F21699" w:rsidRDefault="00FB5E6B" w14:paraId="5E489B9C" w14:textId="23C8E115">
            <w:pPr>
              <w:spacing w:before="240"/>
              <w:rPr>
                <w:rFonts w:ascii="Times New Roman" w:hAnsi="Times New Roman" w:cs="Times New Roman"/>
              </w:rPr>
            </w:pPr>
            <w:r w:rsidRPr="00803F0B">
              <w:rPr>
                <w:rFonts w:ascii="Times New Roman" w:hAnsi="Times New Roman" w:cs="Times New Roman"/>
              </w:rPr>
              <w:t>Het Europees Parlement wil EP-leden de mogelijkheid bieden om tijdens de late zwangerschap en het vroege moederschap de plenaire stem te delegeren aan een ander EP-lid, om gelijke deelname te bevorderen Op 13 november 2025 is het Europees Parlement gestart met de wetgevingsprocedure voor wijziging van de EU-Kiesakte. Volgens het voorstel van het Europees Parlement mag een EP-lid die zwanger is of onlangs bevallen is, haar plenaire stem delegeren aan een ander EP-lid gedurende ten hoogste drie maanden vóór de verwachte geboortedatum en zes maanden na de bevalling. Deze hervorming is gericht op het versterken van de zwangerschapsregels, zodat EP-leden hun mandaat volledig kunnen blijven uitoefenen en tegelijkertijd hun gezondheid en gezinsverantwoordelijkheden kunnen combineren met hun parlementaire taken.</w:t>
            </w:r>
          </w:p>
        </w:tc>
      </w:tr>
      <w:tr w:rsidRPr="00FB5E6B" w:rsidR="00FB5E6B" w:rsidTr="00F21699" w14:paraId="112C6D0F" w14:textId="77777777">
        <w:trPr>
          <w:trHeight w:val="300"/>
        </w:trPr>
        <w:tc>
          <w:tcPr>
            <w:tcW w:w="2227" w:type="dxa"/>
            <w:vMerge w:val="restart"/>
            <w:hideMark/>
          </w:tcPr>
          <w:p w:rsidRPr="00FB5E6B" w:rsidR="00FB5E6B" w:rsidP="00F21699" w:rsidRDefault="006C36E1" w14:paraId="3B543C0C" w14:textId="6AB4A4FD">
            <w:pPr>
              <w:spacing w:before="240"/>
              <w:rPr>
                <w:rFonts w:ascii="Times New Roman" w:hAnsi="Times New Roman" w:cs="Times New Roman"/>
              </w:rPr>
            </w:pPr>
            <w:r w:rsidRPr="006C36E1">
              <w:rPr>
                <w:rFonts w:ascii="Times New Roman" w:hAnsi="Times New Roman" w:cs="Times New Roman"/>
                <w:b/>
                <w:bCs/>
              </w:rPr>
              <w:t>Buitenlandse Zaken</w:t>
            </w:r>
          </w:p>
        </w:tc>
        <w:tc>
          <w:tcPr>
            <w:tcW w:w="3065" w:type="dxa"/>
            <w:hideMark/>
          </w:tcPr>
          <w:p w:rsidRPr="00FB5E6B" w:rsidR="00FB5E6B" w:rsidP="00F21699" w:rsidRDefault="00FB5E6B" w14:paraId="29907738" w14:textId="77777777">
            <w:pPr>
              <w:spacing w:before="240"/>
              <w:rPr>
                <w:rFonts w:ascii="Times New Roman" w:hAnsi="Times New Roman" w:cs="Times New Roman"/>
              </w:rPr>
            </w:pPr>
            <w:r w:rsidRPr="00FB5E6B">
              <w:rPr>
                <w:rFonts w:ascii="Times New Roman" w:hAnsi="Times New Roman" w:cs="Times New Roman"/>
              </w:rPr>
              <w:t>EU-VAE handelsakkoord</w:t>
            </w:r>
          </w:p>
        </w:tc>
        <w:tc>
          <w:tcPr>
            <w:tcW w:w="3497" w:type="dxa"/>
            <w:noWrap/>
            <w:hideMark/>
          </w:tcPr>
          <w:p w:rsidRPr="00FB5E6B" w:rsidR="00FB5E6B" w:rsidP="00F21699" w:rsidRDefault="00FB5E6B" w14:paraId="263A7789" w14:textId="77777777">
            <w:pPr>
              <w:spacing w:before="240"/>
              <w:rPr>
                <w:rFonts w:ascii="Times New Roman" w:hAnsi="Times New Roman" w:cs="Times New Roman"/>
              </w:rPr>
            </w:pPr>
            <w:r w:rsidRPr="00FB5E6B">
              <w:rPr>
                <w:rFonts w:ascii="Times New Roman" w:hAnsi="Times New Roman" w:cs="Times New Roman"/>
              </w:rPr>
              <w:t> </w:t>
            </w:r>
          </w:p>
        </w:tc>
        <w:tc>
          <w:tcPr>
            <w:tcW w:w="1134" w:type="dxa"/>
            <w:hideMark/>
          </w:tcPr>
          <w:p w:rsidRPr="00FB5E6B" w:rsidR="00FB5E6B" w:rsidP="00F21699" w:rsidRDefault="00FB5E6B" w14:paraId="2C089498" w14:textId="77777777">
            <w:pPr>
              <w:spacing w:before="240"/>
              <w:rPr>
                <w:rFonts w:ascii="Times New Roman" w:hAnsi="Times New Roman" w:cs="Times New Roman"/>
              </w:rPr>
            </w:pPr>
            <w:r w:rsidRPr="00FB5E6B">
              <w:rPr>
                <w:rFonts w:ascii="Times New Roman" w:hAnsi="Times New Roman" w:cs="Times New Roman"/>
              </w:rPr>
              <w:t>014234</w:t>
            </w:r>
          </w:p>
        </w:tc>
        <w:tc>
          <w:tcPr>
            <w:tcW w:w="4172" w:type="dxa"/>
            <w:hideMark/>
          </w:tcPr>
          <w:p w:rsidRPr="00FB5E6B" w:rsidR="00FB5E6B" w:rsidP="00F21699" w:rsidRDefault="00FB5E6B" w14:paraId="60394C2E" w14:textId="70D4EEC7">
            <w:pPr>
              <w:spacing w:before="240"/>
              <w:rPr>
                <w:rFonts w:ascii="Times New Roman" w:hAnsi="Times New Roman" w:cs="Times New Roman"/>
              </w:rPr>
            </w:pPr>
            <w:r w:rsidRPr="00FB5E6B">
              <w:rPr>
                <w:rFonts w:ascii="Times New Roman" w:hAnsi="Times New Roman" w:cs="Times New Roman"/>
              </w:rPr>
              <w:t xml:space="preserve">In april 2025 hebben de EU en de VAE besloten onderhandelingen te starten over een ambitieus vrijhandelsakkoord </w:t>
            </w:r>
            <w:r w:rsidRPr="00FB5E6B">
              <w:rPr>
                <w:rFonts w:ascii="Times New Roman" w:hAnsi="Times New Roman" w:cs="Times New Roman"/>
              </w:rPr>
              <w:lastRenderedPageBreak/>
              <w:t>(FTA) om handel en investeringen te bevorderen. Dit akkoord maakt deel uit van een bredere strategie van de EU om de banden met de Golfregio te versterken, met focus op strategische sectoren zoals hernieuwbare energie, groene waterstof en kritieke grondstoffen. De onderhandelingen, formeel gestart op 28 mei 2025, richten zich op het verminderen van handelsbelemmeringen, het vergemakkelijken van digitale handel en investeringsstromen, en dragen bij aan de groene en digitale transities.</w:t>
            </w:r>
          </w:p>
        </w:tc>
      </w:tr>
      <w:tr w:rsidRPr="00FB5E6B" w:rsidR="00FB5E6B" w:rsidTr="00F21699" w14:paraId="0B00D62B" w14:textId="77777777">
        <w:trPr>
          <w:trHeight w:val="300"/>
        </w:trPr>
        <w:tc>
          <w:tcPr>
            <w:tcW w:w="2227" w:type="dxa"/>
            <w:vMerge/>
            <w:hideMark/>
          </w:tcPr>
          <w:p w:rsidRPr="00FB5E6B" w:rsidR="00FB5E6B" w:rsidP="00F21699" w:rsidRDefault="00FB5E6B" w14:paraId="7060A4F3" w14:textId="77777777">
            <w:pPr>
              <w:spacing w:before="240"/>
              <w:rPr>
                <w:rFonts w:ascii="Times New Roman" w:hAnsi="Times New Roman" w:cs="Times New Roman"/>
              </w:rPr>
            </w:pPr>
          </w:p>
        </w:tc>
        <w:tc>
          <w:tcPr>
            <w:tcW w:w="3065" w:type="dxa"/>
            <w:hideMark/>
          </w:tcPr>
          <w:p w:rsidRPr="00FB5E6B" w:rsidR="00FB5E6B" w:rsidP="00F21699" w:rsidRDefault="00FB5E6B" w14:paraId="46A4E993" w14:textId="77777777">
            <w:pPr>
              <w:spacing w:before="240"/>
              <w:rPr>
                <w:rFonts w:ascii="Times New Roman" w:hAnsi="Times New Roman" w:cs="Times New Roman"/>
              </w:rPr>
            </w:pPr>
            <w:r w:rsidRPr="00FB5E6B">
              <w:rPr>
                <w:rFonts w:ascii="Times New Roman" w:hAnsi="Times New Roman" w:cs="Times New Roman"/>
              </w:rPr>
              <w:t>Geassocieerd lidmaatschap; Aruba</w:t>
            </w:r>
          </w:p>
        </w:tc>
        <w:tc>
          <w:tcPr>
            <w:tcW w:w="3497" w:type="dxa"/>
            <w:hideMark/>
          </w:tcPr>
          <w:p w:rsidRPr="00FB5E6B" w:rsidR="00FB5E6B" w:rsidP="00F21699" w:rsidRDefault="00FB5E6B" w14:paraId="3FA18A70" w14:textId="77777777">
            <w:pPr>
              <w:spacing w:before="240"/>
              <w:rPr>
                <w:rFonts w:ascii="Times New Roman" w:hAnsi="Times New Roman" w:cs="Times New Roman"/>
              </w:rPr>
            </w:pPr>
            <w:r w:rsidRPr="00FB5E6B">
              <w:rPr>
                <w:rFonts w:ascii="Times New Roman" w:hAnsi="Times New Roman" w:cs="Times New Roman"/>
              </w:rPr>
              <w:t>CARICOM (Caraïbische Gemeenschap)</w:t>
            </w:r>
          </w:p>
        </w:tc>
        <w:tc>
          <w:tcPr>
            <w:tcW w:w="1134" w:type="dxa"/>
            <w:hideMark/>
          </w:tcPr>
          <w:p w:rsidRPr="00FB5E6B" w:rsidR="00FB5E6B" w:rsidP="00F21699" w:rsidRDefault="00FB5E6B" w14:paraId="3348C2F4" w14:textId="77777777">
            <w:pPr>
              <w:spacing w:before="240"/>
              <w:rPr>
                <w:rFonts w:ascii="Times New Roman" w:hAnsi="Times New Roman" w:cs="Times New Roman"/>
              </w:rPr>
            </w:pPr>
            <w:r w:rsidRPr="00FB5E6B">
              <w:rPr>
                <w:rFonts w:ascii="Times New Roman" w:hAnsi="Times New Roman" w:cs="Times New Roman"/>
              </w:rPr>
              <w:t>014210</w:t>
            </w:r>
          </w:p>
        </w:tc>
        <w:tc>
          <w:tcPr>
            <w:tcW w:w="4172" w:type="dxa"/>
            <w:hideMark/>
          </w:tcPr>
          <w:p w:rsidRPr="00FB5E6B" w:rsidR="00FB5E6B" w:rsidP="00F21699" w:rsidRDefault="00FB5E6B" w14:paraId="096BE36F" w14:textId="5D94EE22">
            <w:pPr>
              <w:spacing w:before="240"/>
              <w:rPr>
                <w:rFonts w:ascii="Times New Roman" w:hAnsi="Times New Roman" w:cs="Times New Roman"/>
              </w:rPr>
            </w:pPr>
            <w:r w:rsidRPr="00FB5E6B">
              <w:rPr>
                <w:rFonts w:ascii="Times New Roman" w:hAnsi="Times New Roman" w:cs="Times New Roman"/>
              </w:rPr>
              <w:t>Dit verdrag met de Caribische Gemeenschap (CARICOM) wordt ten behoeve van Aruba gesloten. Met dit verdrag verkrijgt Aruba de status van geassocieerd lid van CARICOM.</w:t>
            </w:r>
          </w:p>
        </w:tc>
      </w:tr>
      <w:tr w:rsidRPr="00FB5E6B" w:rsidR="00FB5E6B" w:rsidTr="00F21699" w14:paraId="40F06B93" w14:textId="77777777">
        <w:trPr>
          <w:trHeight w:val="300"/>
        </w:trPr>
        <w:tc>
          <w:tcPr>
            <w:tcW w:w="2227" w:type="dxa"/>
            <w:vMerge/>
            <w:hideMark/>
          </w:tcPr>
          <w:p w:rsidRPr="00FB5E6B" w:rsidR="00FB5E6B" w:rsidP="00F21699" w:rsidRDefault="00FB5E6B" w14:paraId="3A24F5FB" w14:textId="77777777">
            <w:pPr>
              <w:spacing w:before="240"/>
              <w:rPr>
                <w:rFonts w:ascii="Times New Roman" w:hAnsi="Times New Roman" w:cs="Times New Roman"/>
              </w:rPr>
            </w:pPr>
          </w:p>
        </w:tc>
        <w:tc>
          <w:tcPr>
            <w:tcW w:w="3065" w:type="dxa"/>
            <w:hideMark/>
          </w:tcPr>
          <w:p w:rsidRPr="00FB5E6B" w:rsidR="00FB5E6B" w:rsidP="00F21699" w:rsidRDefault="00FB5E6B" w14:paraId="36FD672A" w14:textId="77777777">
            <w:pPr>
              <w:spacing w:before="240"/>
              <w:rPr>
                <w:rFonts w:ascii="Times New Roman" w:hAnsi="Times New Roman" w:cs="Times New Roman"/>
              </w:rPr>
            </w:pPr>
            <w:r w:rsidRPr="00FB5E6B">
              <w:rPr>
                <w:rFonts w:ascii="Times New Roman" w:hAnsi="Times New Roman" w:cs="Times New Roman"/>
              </w:rPr>
              <w:t>Luchtvaartverdrag (Curaçao)</w:t>
            </w:r>
          </w:p>
        </w:tc>
        <w:tc>
          <w:tcPr>
            <w:tcW w:w="3497" w:type="dxa"/>
            <w:hideMark/>
          </w:tcPr>
          <w:p w:rsidRPr="00FB5E6B" w:rsidR="00FB5E6B" w:rsidP="00F21699" w:rsidRDefault="00FB5E6B" w14:paraId="326B8CF3" w14:textId="77777777">
            <w:pPr>
              <w:spacing w:before="240"/>
              <w:rPr>
                <w:rFonts w:ascii="Times New Roman" w:hAnsi="Times New Roman" w:cs="Times New Roman"/>
              </w:rPr>
            </w:pPr>
            <w:r w:rsidRPr="00FB5E6B">
              <w:rPr>
                <w:rFonts w:ascii="Times New Roman" w:hAnsi="Times New Roman" w:cs="Times New Roman"/>
              </w:rPr>
              <w:t>Argentinië</w:t>
            </w:r>
          </w:p>
        </w:tc>
        <w:tc>
          <w:tcPr>
            <w:tcW w:w="1134" w:type="dxa"/>
            <w:hideMark/>
          </w:tcPr>
          <w:p w:rsidRPr="00FB5E6B" w:rsidR="00FB5E6B" w:rsidP="00F21699" w:rsidRDefault="00FB5E6B" w14:paraId="630B262F" w14:textId="77777777">
            <w:pPr>
              <w:spacing w:before="240"/>
              <w:rPr>
                <w:rFonts w:ascii="Times New Roman" w:hAnsi="Times New Roman" w:cs="Times New Roman"/>
              </w:rPr>
            </w:pPr>
            <w:r w:rsidRPr="00FB5E6B">
              <w:rPr>
                <w:rFonts w:ascii="Times New Roman" w:hAnsi="Times New Roman" w:cs="Times New Roman"/>
              </w:rPr>
              <w:t>014211</w:t>
            </w:r>
          </w:p>
        </w:tc>
        <w:tc>
          <w:tcPr>
            <w:tcW w:w="4172" w:type="dxa"/>
            <w:hideMark/>
          </w:tcPr>
          <w:p w:rsidRPr="00FB5E6B" w:rsidR="00FB5E6B" w:rsidP="00F21699" w:rsidRDefault="00FB5E6B" w14:paraId="3DC4C618" w14:textId="13A6C646">
            <w:pPr>
              <w:spacing w:before="240"/>
              <w:rPr>
                <w:rFonts w:ascii="Times New Roman" w:hAnsi="Times New Roman" w:cs="Times New Roman"/>
              </w:rPr>
            </w:pPr>
            <w:r w:rsidRPr="00803F0B">
              <w:rPr>
                <w:rFonts w:ascii="Times New Roman" w:hAnsi="Times New Roman" w:cs="Times New Roman"/>
              </w:rPr>
              <w:t xml:space="preserve">Het verdrag regelt de luchtvaartverbindingen tussen Curaçao en Argentinië en valt vanwege de liberale inhoud in de categorie “Open Skies”, waarin wordt voorzien in een zo groot mogelijke operationele en commerciële vrijheid voor de aangewezen luchtvaartmaatschappijen van de partijen. Het verdrag stelt geen </w:t>
            </w:r>
            <w:r w:rsidRPr="00803F0B">
              <w:rPr>
                <w:rFonts w:ascii="Times New Roman" w:hAnsi="Times New Roman" w:cs="Times New Roman"/>
              </w:rPr>
              <w:lastRenderedPageBreak/>
              <w:t>beperking ten aanzien van aanwijzing van luchtvaartmaatschappijen. Het verdrag</w:t>
            </w:r>
            <w:r>
              <w:rPr>
                <w:rFonts w:ascii="Times New Roman" w:hAnsi="Times New Roman" w:cs="Times New Roman"/>
              </w:rPr>
              <w:t xml:space="preserve"> </w:t>
            </w:r>
            <w:r w:rsidRPr="00803F0B">
              <w:rPr>
                <w:rFonts w:ascii="Times New Roman" w:hAnsi="Times New Roman" w:cs="Times New Roman"/>
              </w:rPr>
              <w:t xml:space="preserve">regelt de luchtvaartbetrekkingen tussen Curaçao en Argentinië, zoals het verlenen van het recht van </w:t>
            </w:r>
            <w:proofErr w:type="spellStart"/>
            <w:r w:rsidRPr="00803F0B">
              <w:rPr>
                <w:rFonts w:ascii="Times New Roman" w:hAnsi="Times New Roman" w:cs="Times New Roman"/>
              </w:rPr>
              <w:t>overvlucht</w:t>
            </w:r>
            <w:proofErr w:type="spellEnd"/>
            <w:r w:rsidRPr="00803F0B">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0B3C66F6" w14:textId="77777777">
        <w:trPr>
          <w:trHeight w:val="300"/>
        </w:trPr>
        <w:tc>
          <w:tcPr>
            <w:tcW w:w="2227" w:type="dxa"/>
            <w:vMerge/>
            <w:hideMark/>
          </w:tcPr>
          <w:p w:rsidRPr="00FB5E6B" w:rsidR="00FB5E6B" w:rsidP="00F21699" w:rsidRDefault="00FB5E6B" w14:paraId="625BAC9C" w14:textId="77777777">
            <w:pPr>
              <w:spacing w:before="240"/>
              <w:rPr>
                <w:rFonts w:ascii="Times New Roman" w:hAnsi="Times New Roman" w:cs="Times New Roman"/>
              </w:rPr>
            </w:pPr>
          </w:p>
        </w:tc>
        <w:tc>
          <w:tcPr>
            <w:tcW w:w="3065" w:type="dxa"/>
            <w:hideMark/>
          </w:tcPr>
          <w:p w:rsidRPr="00FB5E6B" w:rsidR="00FB5E6B" w:rsidP="00F21699" w:rsidRDefault="00FB5E6B" w14:paraId="71F9BE13" w14:textId="77777777">
            <w:pPr>
              <w:spacing w:before="240"/>
              <w:rPr>
                <w:rFonts w:ascii="Times New Roman" w:hAnsi="Times New Roman" w:cs="Times New Roman"/>
              </w:rPr>
            </w:pPr>
            <w:r w:rsidRPr="00FB5E6B">
              <w:rPr>
                <w:rFonts w:ascii="Times New Roman" w:hAnsi="Times New Roman" w:cs="Times New Roman"/>
              </w:rPr>
              <w:t>Luchtvaartverdrag (Curaçao)</w:t>
            </w:r>
          </w:p>
        </w:tc>
        <w:tc>
          <w:tcPr>
            <w:tcW w:w="3497" w:type="dxa"/>
            <w:hideMark/>
          </w:tcPr>
          <w:p w:rsidRPr="00FB5E6B" w:rsidR="00FB5E6B" w:rsidP="00F21699" w:rsidRDefault="00FB5E6B" w14:paraId="14FDE434" w14:textId="77777777">
            <w:pPr>
              <w:spacing w:before="240"/>
              <w:rPr>
                <w:rFonts w:ascii="Times New Roman" w:hAnsi="Times New Roman" w:cs="Times New Roman"/>
              </w:rPr>
            </w:pPr>
            <w:r w:rsidRPr="00FB5E6B">
              <w:rPr>
                <w:rFonts w:ascii="Times New Roman" w:hAnsi="Times New Roman" w:cs="Times New Roman"/>
              </w:rPr>
              <w:t>Marokko</w:t>
            </w:r>
          </w:p>
        </w:tc>
        <w:tc>
          <w:tcPr>
            <w:tcW w:w="1134" w:type="dxa"/>
            <w:hideMark/>
          </w:tcPr>
          <w:p w:rsidRPr="00FB5E6B" w:rsidR="00FB5E6B" w:rsidP="00F21699" w:rsidRDefault="00FB5E6B" w14:paraId="6B2857C2" w14:textId="77777777">
            <w:pPr>
              <w:spacing w:before="240"/>
              <w:rPr>
                <w:rFonts w:ascii="Times New Roman" w:hAnsi="Times New Roman" w:cs="Times New Roman"/>
              </w:rPr>
            </w:pPr>
            <w:r w:rsidRPr="00FB5E6B">
              <w:rPr>
                <w:rFonts w:ascii="Times New Roman" w:hAnsi="Times New Roman" w:cs="Times New Roman"/>
              </w:rPr>
              <w:t>014221</w:t>
            </w:r>
          </w:p>
        </w:tc>
        <w:tc>
          <w:tcPr>
            <w:tcW w:w="4172" w:type="dxa"/>
            <w:hideMark/>
          </w:tcPr>
          <w:p w:rsidRPr="00FB5E6B" w:rsidR="00FB5E6B" w:rsidP="00F21699" w:rsidRDefault="00FB5E6B" w14:paraId="05BBA883" w14:textId="08CA5516">
            <w:pPr>
              <w:spacing w:before="240"/>
              <w:rPr>
                <w:rFonts w:ascii="Times New Roman" w:hAnsi="Times New Roman" w:cs="Times New Roman"/>
              </w:rPr>
            </w:pPr>
            <w:r w:rsidRPr="00FB5E6B">
              <w:rPr>
                <w:rFonts w:ascii="Times New Roman" w:hAnsi="Times New Roman" w:cs="Times New Roman"/>
              </w:rPr>
              <w:t xml:space="preserve">Het verdrag regelt de luchtvaartverbindingen tussen Curaçao en Marokko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Curaçao en Marokko, zoals het verlenen van het recht van </w:t>
            </w:r>
            <w:proofErr w:type="spellStart"/>
            <w:r w:rsidRPr="00FB5E6B">
              <w:rPr>
                <w:rFonts w:ascii="Times New Roman" w:hAnsi="Times New Roman" w:cs="Times New Roman"/>
              </w:rPr>
              <w:t>overvlucht</w:t>
            </w:r>
            <w:proofErr w:type="spellEnd"/>
            <w:r w:rsidRPr="00FB5E6B">
              <w:rPr>
                <w:rFonts w:ascii="Times New Roman" w:hAnsi="Times New Roman" w:cs="Times New Roman"/>
              </w:rPr>
              <w:t xml:space="preserve"> en landing alsmede het recht om in overeenstemming met de routetabel in de bijlage bij het verdrag geregelde </w:t>
            </w:r>
            <w:r w:rsidRPr="00FB5E6B">
              <w:rPr>
                <w:rFonts w:ascii="Times New Roman" w:hAnsi="Times New Roman" w:cs="Times New Roman"/>
              </w:rPr>
              <w:lastRenderedPageBreak/>
              <w:t>luchtdiensten te onderhouden. Verder bevat het verdrag de gebruikelijke bepalingen over veiligheid, beveiliging, tarieven en heffingen.</w:t>
            </w:r>
            <w:r w:rsidRPr="00FB5E6B">
              <w:rPr>
                <w:rFonts w:ascii="Times New Roman" w:hAnsi="Times New Roman" w:cs="Times New Roman"/>
              </w:rPr>
              <w:tab/>
            </w:r>
          </w:p>
        </w:tc>
      </w:tr>
      <w:tr w:rsidRPr="00FB5E6B" w:rsidR="00FB5E6B" w:rsidTr="00F21699" w14:paraId="2CE0E32B" w14:textId="77777777">
        <w:trPr>
          <w:trHeight w:val="300"/>
        </w:trPr>
        <w:tc>
          <w:tcPr>
            <w:tcW w:w="2227" w:type="dxa"/>
            <w:vMerge/>
            <w:hideMark/>
          </w:tcPr>
          <w:p w:rsidRPr="00FB5E6B" w:rsidR="00FB5E6B" w:rsidP="00F21699" w:rsidRDefault="00FB5E6B" w14:paraId="274695C7" w14:textId="77777777">
            <w:pPr>
              <w:spacing w:before="240"/>
              <w:rPr>
                <w:rFonts w:ascii="Times New Roman" w:hAnsi="Times New Roman" w:cs="Times New Roman"/>
              </w:rPr>
            </w:pPr>
          </w:p>
        </w:tc>
        <w:tc>
          <w:tcPr>
            <w:tcW w:w="3065" w:type="dxa"/>
            <w:hideMark/>
          </w:tcPr>
          <w:p w:rsidRPr="00FB5E6B" w:rsidR="00FB5E6B" w:rsidP="00F21699" w:rsidRDefault="00FB5E6B" w14:paraId="59ECC5CA" w14:textId="77777777">
            <w:pPr>
              <w:spacing w:before="240"/>
              <w:rPr>
                <w:rFonts w:ascii="Times New Roman" w:hAnsi="Times New Roman" w:cs="Times New Roman"/>
              </w:rPr>
            </w:pPr>
            <w:r w:rsidRPr="00FB5E6B">
              <w:rPr>
                <w:rFonts w:ascii="Times New Roman" w:hAnsi="Times New Roman" w:cs="Times New Roman"/>
              </w:rPr>
              <w:t>Luchtvaartverdrag (Curaçao)</w:t>
            </w:r>
          </w:p>
        </w:tc>
        <w:tc>
          <w:tcPr>
            <w:tcW w:w="3497" w:type="dxa"/>
            <w:hideMark/>
          </w:tcPr>
          <w:p w:rsidRPr="00FB5E6B" w:rsidR="00FB5E6B" w:rsidP="00F21699" w:rsidRDefault="00FB5E6B" w14:paraId="6B6CAFB2" w14:textId="77777777">
            <w:pPr>
              <w:spacing w:before="240"/>
              <w:rPr>
                <w:rFonts w:ascii="Times New Roman" w:hAnsi="Times New Roman" w:cs="Times New Roman"/>
              </w:rPr>
            </w:pPr>
            <w:r w:rsidRPr="00FB5E6B">
              <w:rPr>
                <w:rFonts w:ascii="Times New Roman" w:hAnsi="Times New Roman" w:cs="Times New Roman"/>
              </w:rPr>
              <w:t>Rwanda</w:t>
            </w:r>
          </w:p>
        </w:tc>
        <w:tc>
          <w:tcPr>
            <w:tcW w:w="1134" w:type="dxa"/>
            <w:hideMark/>
          </w:tcPr>
          <w:p w:rsidRPr="00FB5E6B" w:rsidR="00FB5E6B" w:rsidP="00F21699" w:rsidRDefault="00FB5E6B" w14:paraId="439D2D49" w14:textId="77777777">
            <w:pPr>
              <w:spacing w:before="240"/>
              <w:rPr>
                <w:rFonts w:ascii="Times New Roman" w:hAnsi="Times New Roman" w:cs="Times New Roman"/>
              </w:rPr>
            </w:pPr>
            <w:r w:rsidRPr="00FB5E6B">
              <w:rPr>
                <w:rFonts w:ascii="Times New Roman" w:hAnsi="Times New Roman" w:cs="Times New Roman"/>
              </w:rPr>
              <w:t>014222</w:t>
            </w:r>
          </w:p>
        </w:tc>
        <w:tc>
          <w:tcPr>
            <w:tcW w:w="4172" w:type="dxa"/>
            <w:hideMark/>
          </w:tcPr>
          <w:p w:rsidRPr="00FB5E6B" w:rsidR="00FB5E6B" w:rsidP="00F21699" w:rsidRDefault="00FB5E6B" w14:paraId="7FDF1977" w14:textId="0DDF81AD">
            <w:pPr>
              <w:spacing w:before="240"/>
              <w:rPr>
                <w:rFonts w:ascii="Times New Roman" w:hAnsi="Times New Roman" w:cs="Times New Roman"/>
              </w:rPr>
            </w:pPr>
            <w:r w:rsidRPr="00FB5E6B">
              <w:rPr>
                <w:rFonts w:ascii="Times New Roman" w:hAnsi="Times New Roman" w:cs="Times New Roman"/>
              </w:rPr>
              <w:t xml:space="preserve">Het verdrag regelt de luchtvaartverbindingen tussen Curaçao en Rwanda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Curaçao en Rwanda, zoals het verlenen van het recht van </w:t>
            </w:r>
            <w:proofErr w:type="spellStart"/>
            <w:r w:rsidRPr="00FB5E6B">
              <w:rPr>
                <w:rFonts w:ascii="Times New Roman" w:hAnsi="Times New Roman" w:cs="Times New Roman"/>
              </w:rPr>
              <w:t>overvlucht</w:t>
            </w:r>
            <w:proofErr w:type="spellEnd"/>
            <w:r w:rsidRPr="00FB5E6B">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79DED3EA" w14:textId="77777777">
        <w:trPr>
          <w:trHeight w:val="300"/>
        </w:trPr>
        <w:tc>
          <w:tcPr>
            <w:tcW w:w="2227" w:type="dxa"/>
            <w:vMerge/>
            <w:hideMark/>
          </w:tcPr>
          <w:p w:rsidRPr="00FB5E6B" w:rsidR="00FB5E6B" w:rsidP="00F21699" w:rsidRDefault="00FB5E6B" w14:paraId="4A77A2B1" w14:textId="77777777">
            <w:pPr>
              <w:spacing w:before="240"/>
              <w:rPr>
                <w:rFonts w:ascii="Times New Roman" w:hAnsi="Times New Roman" w:cs="Times New Roman"/>
              </w:rPr>
            </w:pPr>
          </w:p>
        </w:tc>
        <w:tc>
          <w:tcPr>
            <w:tcW w:w="3065" w:type="dxa"/>
            <w:hideMark/>
          </w:tcPr>
          <w:p w:rsidRPr="00FB5E6B" w:rsidR="00FB5E6B" w:rsidP="00F21699" w:rsidRDefault="00FB5E6B" w14:paraId="6AA9315F" w14:textId="6BD7A8C6">
            <w:pPr>
              <w:spacing w:before="240"/>
              <w:rPr>
                <w:rFonts w:ascii="Times New Roman" w:hAnsi="Times New Roman" w:cs="Times New Roman"/>
              </w:rPr>
            </w:pPr>
            <w:r w:rsidRPr="00FB5E6B">
              <w:rPr>
                <w:rFonts w:ascii="Times New Roman" w:hAnsi="Times New Roman" w:cs="Times New Roman"/>
              </w:rPr>
              <w:t>Luchtvaartverdrag (Sint</w:t>
            </w:r>
            <w:r w:rsidR="00765F42">
              <w:rPr>
                <w:rFonts w:ascii="Times New Roman" w:hAnsi="Times New Roman" w:cs="Times New Roman"/>
              </w:rPr>
              <w:t xml:space="preserve"> </w:t>
            </w:r>
            <w:r w:rsidRPr="00FB5E6B">
              <w:rPr>
                <w:rFonts w:ascii="Times New Roman" w:hAnsi="Times New Roman" w:cs="Times New Roman"/>
              </w:rPr>
              <w:t>Maarten)</w:t>
            </w:r>
          </w:p>
        </w:tc>
        <w:tc>
          <w:tcPr>
            <w:tcW w:w="3497" w:type="dxa"/>
            <w:hideMark/>
          </w:tcPr>
          <w:p w:rsidRPr="00FB5E6B" w:rsidR="00FB5E6B" w:rsidP="00F21699" w:rsidRDefault="00FB5E6B" w14:paraId="77D7F7E1" w14:textId="77777777">
            <w:pPr>
              <w:spacing w:before="240"/>
              <w:rPr>
                <w:rFonts w:ascii="Times New Roman" w:hAnsi="Times New Roman" w:cs="Times New Roman"/>
              </w:rPr>
            </w:pPr>
            <w:r w:rsidRPr="00FB5E6B">
              <w:rPr>
                <w:rFonts w:ascii="Times New Roman" w:hAnsi="Times New Roman" w:cs="Times New Roman"/>
              </w:rPr>
              <w:t>Argentinië</w:t>
            </w:r>
          </w:p>
        </w:tc>
        <w:tc>
          <w:tcPr>
            <w:tcW w:w="1134" w:type="dxa"/>
            <w:hideMark/>
          </w:tcPr>
          <w:p w:rsidRPr="00FB5E6B" w:rsidR="00FB5E6B" w:rsidP="00F21699" w:rsidRDefault="00FB5E6B" w14:paraId="334D61EF" w14:textId="77777777">
            <w:pPr>
              <w:spacing w:before="240"/>
              <w:rPr>
                <w:rFonts w:ascii="Times New Roman" w:hAnsi="Times New Roman" w:cs="Times New Roman"/>
              </w:rPr>
            </w:pPr>
            <w:r w:rsidRPr="00FB5E6B">
              <w:rPr>
                <w:rFonts w:ascii="Times New Roman" w:hAnsi="Times New Roman" w:cs="Times New Roman"/>
              </w:rPr>
              <w:t>014230</w:t>
            </w:r>
          </w:p>
        </w:tc>
        <w:tc>
          <w:tcPr>
            <w:tcW w:w="4172" w:type="dxa"/>
            <w:hideMark/>
          </w:tcPr>
          <w:p w:rsidRPr="00FB5E6B" w:rsidR="00FB5E6B" w:rsidP="00F21699" w:rsidRDefault="00F21699" w14:paraId="3AB2D695" w14:textId="7E1BB13F">
            <w:pPr>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Argentinië en valt vanwege </w:t>
            </w:r>
            <w:r w:rsidRPr="00F21699">
              <w:rPr>
                <w:rFonts w:ascii="Times New Roman" w:hAnsi="Times New Roman" w:cs="Times New Roman"/>
              </w:rPr>
              <w:lastRenderedPageBreak/>
              <w:t xml:space="preserve">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Sint Maarten en Argentinië,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1F11C975" w14:textId="77777777">
        <w:trPr>
          <w:trHeight w:val="300"/>
        </w:trPr>
        <w:tc>
          <w:tcPr>
            <w:tcW w:w="2227" w:type="dxa"/>
            <w:vMerge/>
            <w:hideMark/>
          </w:tcPr>
          <w:p w:rsidRPr="00FB5E6B" w:rsidR="00FB5E6B" w:rsidP="00F21699" w:rsidRDefault="00FB5E6B" w14:paraId="7474A447" w14:textId="77777777">
            <w:pPr>
              <w:spacing w:before="240"/>
              <w:rPr>
                <w:rFonts w:ascii="Times New Roman" w:hAnsi="Times New Roman" w:cs="Times New Roman"/>
              </w:rPr>
            </w:pPr>
          </w:p>
        </w:tc>
        <w:tc>
          <w:tcPr>
            <w:tcW w:w="3065" w:type="dxa"/>
            <w:hideMark/>
          </w:tcPr>
          <w:p w:rsidRPr="00FB5E6B" w:rsidR="00FB5E6B" w:rsidP="00F21699" w:rsidRDefault="00FB5E6B" w14:paraId="39CF23C4" w14:textId="05FCE273">
            <w:pPr>
              <w:spacing w:before="240"/>
              <w:rPr>
                <w:rFonts w:ascii="Times New Roman" w:hAnsi="Times New Roman" w:cs="Times New Roman"/>
              </w:rPr>
            </w:pPr>
            <w:r w:rsidRPr="00FB5E6B">
              <w:rPr>
                <w:rFonts w:ascii="Times New Roman" w:hAnsi="Times New Roman" w:cs="Times New Roman"/>
              </w:rPr>
              <w:t>Luchtvaartverdrag (Sint</w:t>
            </w:r>
            <w:r w:rsidR="00765F42">
              <w:rPr>
                <w:rFonts w:ascii="Times New Roman" w:hAnsi="Times New Roman" w:cs="Times New Roman"/>
              </w:rPr>
              <w:t xml:space="preserve"> </w:t>
            </w:r>
            <w:r w:rsidRPr="00FB5E6B">
              <w:rPr>
                <w:rFonts w:ascii="Times New Roman" w:hAnsi="Times New Roman" w:cs="Times New Roman"/>
              </w:rPr>
              <w:t>Maarten)</w:t>
            </w:r>
          </w:p>
        </w:tc>
        <w:tc>
          <w:tcPr>
            <w:tcW w:w="3497" w:type="dxa"/>
            <w:hideMark/>
          </w:tcPr>
          <w:p w:rsidRPr="00FB5E6B" w:rsidR="00FB5E6B" w:rsidP="00F21699" w:rsidRDefault="00FB5E6B" w14:paraId="5A9BE64D" w14:textId="77777777">
            <w:pPr>
              <w:spacing w:before="240"/>
              <w:rPr>
                <w:rFonts w:ascii="Times New Roman" w:hAnsi="Times New Roman" w:cs="Times New Roman"/>
              </w:rPr>
            </w:pPr>
            <w:r w:rsidRPr="00FB5E6B">
              <w:rPr>
                <w:rFonts w:ascii="Times New Roman" w:hAnsi="Times New Roman" w:cs="Times New Roman"/>
              </w:rPr>
              <w:t>Bahama's</w:t>
            </w:r>
          </w:p>
        </w:tc>
        <w:tc>
          <w:tcPr>
            <w:tcW w:w="1134" w:type="dxa"/>
            <w:hideMark/>
          </w:tcPr>
          <w:p w:rsidRPr="00FB5E6B" w:rsidR="00FB5E6B" w:rsidP="00F21699" w:rsidRDefault="00FB5E6B" w14:paraId="29DEF87B" w14:textId="77777777">
            <w:pPr>
              <w:spacing w:before="240"/>
              <w:rPr>
                <w:rFonts w:ascii="Times New Roman" w:hAnsi="Times New Roman" w:cs="Times New Roman"/>
              </w:rPr>
            </w:pPr>
            <w:r w:rsidRPr="00FB5E6B">
              <w:rPr>
                <w:rFonts w:ascii="Times New Roman" w:hAnsi="Times New Roman" w:cs="Times New Roman"/>
              </w:rPr>
              <w:t>014231</w:t>
            </w:r>
          </w:p>
        </w:tc>
        <w:tc>
          <w:tcPr>
            <w:tcW w:w="4172" w:type="dxa"/>
            <w:hideMark/>
          </w:tcPr>
          <w:p w:rsidRPr="00FB5E6B" w:rsidR="00FB5E6B" w:rsidP="00F21699" w:rsidRDefault="00F21699" w14:paraId="69EF5EB9" w14:textId="2373F037">
            <w:pPr>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de Bahama's en valt vanwege de liberale inhoud in de categorie “Open Skies”, waarin wordt voorzien in een zo groot mogelijke operationele en commerciële vrijheid voor de aangewezen luchtvaartmaatschappijen van de partijen. Het verdrag stelt geen beperking ten aanzien van aanwijzing </w:t>
            </w:r>
            <w:r w:rsidRPr="00F21699">
              <w:rPr>
                <w:rFonts w:ascii="Times New Roman" w:hAnsi="Times New Roman" w:cs="Times New Roman"/>
              </w:rPr>
              <w:lastRenderedPageBreak/>
              <w:t xml:space="preserve">van luchtvaartmaatschappijen. Het verdrag regelt de luchtvaartbetrekkingen tussen Sint Maarten en de Bahama's,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072AA623" w14:textId="77777777">
        <w:trPr>
          <w:trHeight w:val="300"/>
        </w:trPr>
        <w:tc>
          <w:tcPr>
            <w:tcW w:w="2227" w:type="dxa"/>
            <w:vMerge/>
            <w:hideMark/>
          </w:tcPr>
          <w:p w:rsidRPr="00FB5E6B" w:rsidR="00FB5E6B" w:rsidP="00F21699" w:rsidRDefault="00FB5E6B" w14:paraId="086A56B6" w14:textId="77777777">
            <w:pPr>
              <w:spacing w:before="240"/>
              <w:rPr>
                <w:rFonts w:ascii="Times New Roman" w:hAnsi="Times New Roman" w:cs="Times New Roman"/>
              </w:rPr>
            </w:pPr>
          </w:p>
        </w:tc>
        <w:tc>
          <w:tcPr>
            <w:tcW w:w="3065" w:type="dxa"/>
            <w:hideMark/>
          </w:tcPr>
          <w:p w:rsidRPr="00FB5E6B" w:rsidR="00FB5E6B" w:rsidP="00F21699" w:rsidRDefault="00FB5E6B" w14:paraId="728D4959" w14:textId="04878FF2">
            <w:pPr>
              <w:spacing w:before="240"/>
              <w:rPr>
                <w:rFonts w:ascii="Times New Roman" w:hAnsi="Times New Roman" w:cs="Times New Roman"/>
              </w:rPr>
            </w:pPr>
            <w:r w:rsidRPr="00FB5E6B">
              <w:rPr>
                <w:rFonts w:ascii="Times New Roman" w:hAnsi="Times New Roman" w:cs="Times New Roman"/>
              </w:rPr>
              <w:t>Luchtvaartverdrag (Sint</w:t>
            </w:r>
            <w:r w:rsidR="00765F42">
              <w:rPr>
                <w:rFonts w:ascii="Times New Roman" w:hAnsi="Times New Roman" w:cs="Times New Roman"/>
              </w:rPr>
              <w:t xml:space="preserve"> </w:t>
            </w:r>
            <w:r w:rsidRPr="00FB5E6B">
              <w:rPr>
                <w:rFonts w:ascii="Times New Roman" w:hAnsi="Times New Roman" w:cs="Times New Roman"/>
              </w:rPr>
              <w:t>Maarten)</w:t>
            </w:r>
          </w:p>
        </w:tc>
        <w:tc>
          <w:tcPr>
            <w:tcW w:w="3497" w:type="dxa"/>
            <w:hideMark/>
          </w:tcPr>
          <w:p w:rsidRPr="00FB5E6B" w:rsidR="00FB5E6B" w:rsidP="00F21699" w:rsidRDefault="00FB5E6B" w14:paraId="3143D53E" w14:textId="77777777">
            <w:pPr>
              <w:spacing w:before="240"/>
              <w:rPr>
                <w:rFonts w:ascii="Times New Roman" w:hAnsi="Times New Roman" w:cs="Times New Roman"/>
              </w:rPr>
            </w:pPr>
            <w:r w:rsidRPr="00FB5E6B">
              <w:rPr>
                <w:rFonts w:ascii="Times New Roman" w:hAnsi="Times New Roman" w:cs="Times New Roman"/>
              </w:rPr>
              <w:t>Guyana</w:t>
            </w:r>
          </w:p>
        </w:tc>
        <w:tc>
          <w:tcPr>
            <w:tcW w:w="1134" w:type="dxa"/>
            <w:hideMark/>
          </w:tcPr>
          <w:p w:rsidRPr="00FB5E6B" w:rsidR="00FB5E6B" w:rsidP="00F21699" w:rsidRDefault="00FB5E6B" w14:paraId="12587362" w14:textId="77777777">
            <w:pPr>
              <w:spacing w:before="240"/>
              <w:rPr>
                <w:rFonts w:ascii="Times New Roman" w:hAnsi="Times New Roman" w:cs="Times New Roman"/>
              </w:rPr>
            </w:pPr>
            <w:r w:rsidRPr="00FB5E6B">
              <w:rPr>
                <w:rFonts w:ascii="Times New Roman" w:hAnsi="Times New Roman" w:cs="Times New Roman"/>
              </w:rPr>
              <w:t>014229</w:t>
            </w:r>
          </w:p>
        </w:tc>
        <w:tc>
          <w:tcPr>
            <w:tcW w:w="4172" w:type="dxa"/>
            <w:hideMark/>
          </w:tcPr>
          <w:p w:rsidRPr="00FB5E6B" w:rsidR="00FB5E6B" w:rsidP="00F21699" w:rsidRDefault="00F21699" w14:paraId="664F317E" w14:textId="003D8B37">
            <w:pPr>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Guyana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Sint Maarten en Guyana,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w:t>
            </w:r>
            <w:r w:rsidRPr="00F21699">
              <w:rPr>
                <w:rFonts w:ascii="Times New Roman" w:hAnsi="Times New Roman" w:cs="Times New Roman"/>
              </w:rPr>
              <w:lastRenderedPageBreak/>
              <w:t>Verder bevat het verdrag de gebruikelijke bepalingen over veiligheid, beveiliging, tarieven en heffingen.</w:t>
            </w:r>
          </w:p>
        </w:tc>
      </w:tr>
      <w:tr w:rsidRPr="00FB5E6B" w:rsidR="00FB5E6B" w:rsidTr="00F21699" w14:paraId="717AAC6E" w14:textId="77777777">
        <w:trPr>
          <w:trHeight w:val="300"/>
        </w:trPr>
        <w:tc>
          <w:tcPr>
            <w:tcW w:w="2227" w:type="dxa"/>
            <w:vMerge/>
            <w:hideMark/>
          </w:tcPr>
          <w:p w:rsidRPr="00FB5E6B" w:rsidR="00FB5E6B" w:rsidP="00F21699" w:rsidRDefault="00FB5E6B" w14:paraId="0A344DC2" w14:textId="77777777">
            <w:pPr>
              <w:spacing w:before="240"/>
              <w:rPr>
                <w:rFonts w:ascii="Times New Roman" w:hAnsi="Times New Roman" w:cs="Times New Roman"/>
              </w:rPr>
            </w:pPr>
          </w:p>
        </w:tc>
        <w:tc>
          <w:tcPr>
            <w:tcW w:w="3065" w:type="dxa"/>
            <w:hideMark/>
          </w:tcPr>
          <w:p w:rsidRPr="00FB5E6B" w:rsidR="00FB5E6B" w:rsidP="00F21699" w:rsidRDefault="00FB5E6B" w14:paraId="1397B211" w14:textId="32C341F8">
            <w:pPr>
              <w:spacing w:before="240"/>
              <w:rPr>
                <w:rFonts w:ascii="Times New Roman" w:hAnsi="Times New Roman" w:cs="Times New Roman"/>
              </w:rPr>
            </w:pPr>
            <w:r w:rsidRPr="00FB5E6B">
              <w:rPr>
                <w:rFonts w:ascii="Times New Roman" w:hAnsi="Times New Roman" w:cs="Times New Roman"/>
              </w:rPr>
              <w:t>Luchtvaartverdrag (Sint</w:t>
            </w:r>
            <w:r w:rsidR="00765F42">
              <w:rPr>
                <w:rFonts w:ascii="Times New Roman" w:hAnsi="Times New Roman" w:cs="Times New Roman"/>
              </w:rPr>
              <w:t xml:space="preserve"> </w:t>
            </w:r>
            <w:r w:rsidRPr="00FB5E6B">
              <w:rPr>
                <w:rFonts w:ascii="Times New Roman" w:hAnsi="Times New Roman" w:cs="Times New Roman"/>
              </w:rPr>
              <w:t>Maarten)</w:t>
            </w:r>
          </w:p>
        </w:tc>
        <w:tc>
          <w:tcPr>
            <w:tcW w:w="3497" w:type="dxa"/>
            <w:hideMark/>
          </w:tcPr>
          <w:p w:rsidRPr="00FB5E6B" w:rsidR="00FB5E6B" w:rsidP="00F21699" w:rsidRDefault="00FB5E6B" w14:paraId="3D96FE8F" w14:textId="77777777">
            <w:pPr>
              <w:spacing w:before="240"/>
              <w:rPr>
                <w:rFonts w:ascii="Times New Roman" w:hAnsi="Times New Roman" w:cs="Times New Roman"/>
              </w:rPr>
            </w:pPr>
            <w:r w:rsidRPr="00FB5E6B">
              <w:rPr>
                <w:rFonts w:ascii="Times New Roman" w:hAnsi="Times New Roman" w:cs="Times New Roman"/>
              </w:rPr>
              <w:t>Panama</w:t>
            </w:r>
          </w:p>
        </w:tc>
        <w:tc>
          <w:tcPr>
            <w:tcW w:w="1134" w:type="dxa"/>
            <w:hideMark/>
          </w:tcPr>
          <w:p w:rsidRPr="00FB5E6B" w:rsidR="00FB5E6B" w:rsidP="00F21699" w:rsidRDefault="00FB5E6B" w14:paraId="64B07942" w14:textId="77777777">
            <w:pPr>
              <w:spacing w:before="240"/>
              <w:rPr>
                <w:rFonts w:ascii="Times New Roman" w:hAnsi="Times New Roman" w:cs="Times New Roman"/>
              </w:rPr>
            </w:pPr>
            <w:r w:rsidRPr="00FB5E6B">
              <w:rPr>
                <w:rFonts w:ascii="Times New Roman" w:hAnsi="Times New Roman" w:cs="Times New Roman"/>
              </w:rPr>
              <w:t>014225</w:t>
            </w:r>
          </w:p>
        </w:tc>
        <w:tc>
          <w:tcPr>
            <w:tcW w:w="4172" w:type="dxa"/>
            <w:hideMark/>
          </w:tcPr>
          <w:p w:rsidRPr="00FB5E6B" w:rsidR="00FB5E6B" w:rsidP="00F21699" w:rsidRDefault="00F21699" w14:paraId="6128B37D" w14:textId="791A8D7F">
            <w:pPr>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Panama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Sint Maarten en Panama,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73C41A98" w14:textId="77777777">
        <w:trPr>
          <w:trHeight w:val="300"/>
        </w:trPr>
        <w:tc>
          <w:tcPr>
            <w:tcW w:w="2227" w:type="dxa"/>
            <w:vMerge/>
            <w:hideMark/>
          </w:tcPr>
          <w:p w:rsidRPr="00FB5E6B" w:rsidR="00FB5E6B" w:rsidP="00F21699" w:rsidRDefault="00FB5E6B" w14:paraId="0A35F8FE" w14:textId="77777777">
            <w:pPr>
              <w:spacing w:before="240"/>
              <w:rPr>
                <w:rFonts w:ascii="Times New Roman" w:hAnsi="Times New Roman" w:cs="Times New Roman"/>
              </w:rPr>
            </w:pPr>
          </w:p>
        </w:tc>
        <w:tc>
          <w:tcPr>
            <w:tcW w:w="3065" w:type="dxa"/>
            <w:hideMark/>
          </w:tcPr>
          <w:p w:rsidRPr="00FB5E6B" w:rsidR="00FB5E6B" w:rsidP="00F21699" w:rsidRDefault="00FB5E6B" w14:paraId="539DD3A8" w14:textId="15352DC0">
            <w:pPr>
              <w:spacing w:before="240"/>
              <w:rPr>
                <w:rFonts w:ascii="Times New Roman" w:hAnsi="Times New Roman" w:cs="Times New Roman"/>
              </w:rPr>
            </w:pPr>
            <w:r w:rsidRPr="00FB5E6B">
              <w:rPr>
                <w:rFonts w:ascii="Times New Roman" w:hAnsi="Times New Roman" w:cs="Times New Roman"/>
              </w:rPr>
              <w:t>Luchtvaartverdrag (Sint</w:t>
            </w:r>
            <w:r w:rsidR="00765F42">
              <w:rPr>
                <w:rFonts w:ascii="Times New Roman" w:hAnsi="Times New Roman" w:cs="Times New Roman"/>
              </w:rPr>
              <w:t xml:space="preserve"> </w:t>
            </w:r>
            <w:r w:rsidRPr="00FB5E6B">
              <w:rPr>
                <w:rFonts w:ascii="Times New Roman" w:hAnsi="Times New Roman" w:cs="Times New Roman"/>
              </w:rPr>
              <w:t xml:space="preserve"> Maarten)</w:t>
            </w:r>
          </w:p>
        </w:tc>
        <w:tc>
          <w:tcPr>
            <w:tcW w:w="3497" w:type="dxa"/>
            <w:hideMark/>
          </w:tcPr>
          <w:p w:rsidRPr="00FB5E6B" w:rsidR="00FB5E6B" w:rsidP="00F21699" w:rsidRDefault="00FB5E6B" w14:paraId="68CDB463" w14:textId="77777777">
            <w:pPr>
              <w:spacing w:before="240"/>
              <w:rPr>
                <w:rFonts w:ascii="Times New Roman" w:hAnsi="Times New Roman" w:cs="Times New Roman"/>
              </w:rPr>
            </w:pPr>
            <w:r w:rsidRPr="00FB5E6B">
              <w:rPr>
                <w:rFonts w:ascii="Times New Roman" w:hAnsi="Times New Roman" w:cs="Times New Roman"/>
              </w:rPr>
              <w:t>Rwanda</w:t>
            </w:r>
          </w:p>
        </w:tc>
        <w:tc>
          <w:tcPr>
            <w:tcW w:w="1134" w:type="dxa"/>
            <w:hideMark/>
          </w:tcPr>
          <w:p w:rsidRPr="00FB5E6B" w:rsidR="00FB5E6B" w:rsidP="00F21699" w:rsidRDefault="00FB5E6B" w14:paraId="368E2A6F" w14:textId="77777777">
            <w:pPr>
              <w:spacing w:before="240"/>
              <w:rPr>
                <w:rFonts w:ascii="Times New Roman" w:hAnsi="Times New Roman" w:cs="Times New Roman"/>
              </w:rPr>
            </w:pPr>
            <w:r w:rsidRPr="00FB5E6B">
              <w:rPr>
                <w:rFonts w:ascii="Times New Roman" w:hAnsi="Times New Roman" w:cs="Times New Roman"/>
              </w:rPr>
              <w:t>014226</w:t>
            </w:r>
          </w:p>
        </w:tc>
        <w:tc>
          <w:tcPr>
            <w:tcW w:w="4172" w:type="dxa"/>
            <w:hideMark/>
          </w:tcPr>
          <w:p w:rsidRPr="00FB5E6B" w:rsidR="00FB5E6B" w:rsidP="00F21699" w:rsidRDefault="00F21699" w14:paraId="06FEB075" w14:textId="77B1ABD3">
            <w:pPr>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Rwanda en valt vanwege de liberale inhoud in de categorie “Open </w:t>
            </w:r>
            <w:r w:rsidRPr="00F21699">
              <w:rPr>
                <w:rFonts w:ascii="Times New Roman" w:hAnsi="Times New Roman" w:cs="Times New Roman"/>
              </w:rPr>
              <w:lastRenderedPageBreak/>
              <w:t xml:space="preserve">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tussen Sint Maarten en Rwanda,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3D91CEA9" w14:textId="77777777">
        <w:trPr>
          <w:trHeight w:val="300"/>
        </w:trPr>
        <w:tc>
          <w:tcPr>
            <w:tcW w:w="2227" w:type="dxa"/>
            <w:vMerge/>
            <w:hideMark/>
          </w:tcPr>
          <w:p w:rsidRPr="00FB5E6B" w:rsidR="00FB5E6B" w:rsidP="00F21699" w:rsidRDefault="00FB5E6B" w14:paraId="453D2BDC" w14:textId="77777777">
            <w:pPr>
              <w:spacing w:before="240"/>
              <w:rPr>
                <w:rFonts w:ascii="Times New Roman" w:hAnsi="Times New Roman" w:cs="Times New Roman"/>
              </w:rPr>
            </w:pPr>
          </w:p>
        </w:tc>
        <w:tc>
          <w:tcPr>
            <w:tcW w:w="3065" w:type="dxa"/>
            <w:hideMark/>
          </w:tcPr>
          <w:p w:rsidRPr="00FB5E6B" w:rsidR="00FB5E6B" w:rsidP="00F21699" w:rsidRDefault="00FB5E6B" w14:paraId="56C86D77" w14:textId="1AADA359">
            <w:pPr>
              <w:spacing w:before="240"/>
              <w:rPr>
                <w:rFonts w:ascii="Times New Roman" w:hAnsi="Times New Roman" w:cs="Times New Roman"/>
              </w:rPr>
            </w:pPr>
            <w:r w:rsidRPr="00FB5E6B">
              <w:rPr>
                <w:rFonts w:ascii="Times New Roman" w:hAnsi="Times New Roman" w:cs="Times New Roman"/>
              </w:rPr>
              <w:t>Luchtvaartverdrag (Sint Maarten)</w:t>
            </w:r>
          </w:p>
        </w:tc>
        <w:tc>
          <w:tcPr>
            <w:tcW w:w="3497" w:type="dxa"/>
            <w:hideMark/>
          </w:tcPr>
          <w:p w:rsidRPr="00FB5E6B" w:rsidR="00FB5E6B" w:rsidP="00F21699" w:rsidRDefault="00FB5E6B" w14:paraId="621C4033" w14:textId="77777777">
            <w:pPr>
              <w:spacing w:before="240"/>
              <w:rPr>
                <w:rFonts w:ascii="Times New Roman" w:hAnsi="Times New Roman" w:cs="Times New Roman"/>
              </w:rPr>
            </w:pPr>
            <w:r w:rsidRPr="00FB5E6B">
              <w:rPr>
                <w:rFonts w:ascii="Times New Roman" w:hAnsi="Times New Roman" w:cs="Times New Roman"/>
              </w:rPr>
              <w:t>Seychellen</w:t>
            </w:r>
          </w:p>
        </w:tc>
        <w:tc>
          <w:tcPr>
            <w:tcW w:w="1134" w:type="dxa"/>
            <w:hideMark/>
          </w:tcPr>
          <w:p w:rsidRPr="00FB5E6B" w:rsidR="00FB5E6B" w:rsidP="00F21699" w:rsidRDefault="00FB5E6B" w14:paraId="70D7D9CA" w14:textId="77777777">
            <w:pPr>
              <w:spacing w:before="240"/>
              <w:rPr>
                <w:rFonts w:ascii="Times New Roman" w:hAnsi="Times New Roman" w:cs="Times New Roman"/>
              </w:rPr>
            </w:pPr>
            <w:r w:rsidRPr="00FB5E6B">
              <w:rPr>
                <w:rFonts w:ascii="Times New Roman" w:hAnsi="Times New Roman" w:cs="Times New Roman"/>
              </w:rPr>
              <w:t>014227</w:t>
            </w:r>
          </w:p>
        </w:tc>
        <w:tc>
          <w:tcPr>
            <w:tcW w:w="4172" w:type="dxa"/>
            <w:hideMark/>
          </w:tcPr>
          <w:p w:rsidRPr="00FB5E6B" w:rsidR="00FB5E6B" w:rsidP="00F21699" w:rsidRDefault="00F21699" w14:paraId="23CAFE7D" w14:textId="77DCCE3E">
            <w:pPr>
              <w:tabs>
                <w:tab w:val="left" w:pos="851"/>
              </w:tabs>
              <w:spacing w:before="240"/>
              <w:rPr>
                <w:rFonts w:ascii="Times New Roman" w:hAnsi="Times New Roman" w:cs="Times New Roman"/>
              </w:rPr>
            </w:pPr>
            <w:r w:rsidRPr="00F21699">
              <w:rPr>
                <w:rFonts w:ascii="Times New Roman" w:hAnsi="Times New Roman" w:cs="Times New Roman"/>
              </w:rPr>
              <w:t xml:space="preserve">Het verdrag regelt de luchtvaartverbindingen tussen Sint Maarten en Seychellen en valt vanwege de liberale inhoud in de categorie “Open Skies”, waarin wordt voorzien in een zo groot mogelijke operationele en commerciële vrijheid voor de aangewezen luchtvaartmaatschappijen van de partijen. Het verdrag stelt geen beperking ten aanzien van aanwijzing van luchtvaartmaatschappijen. Het verdrag regelt de luchtvaartbetrekkingen </w:t>
            </w:r>
            <w:r w:rsidRPr="00F21699">
              <w:rPr>
                <w:rFonts w:ascii="Times New Roman" w:hAnsi="Times New Roman" w:cs="Times New Roman"/>
              </w:rPr>
              <w:lastRenderedPageBreak/>
              <w:t xml:space="preserve">tussen Sint Maarten en Seychellen, zoals het verlenen van het recht van </w:t>
            </w:r>
            <w:proofErr w:type="spellStart"/>
            <w:r w:rsidRPr="00F21699">
              <w:rPr>
                <w:rFonts w:ascii="Times New Roman" w:hAnsi="Times New Roman" w:cs="Times New Roman"/>
              </w:rPr>
              <w:t>overvlucht</w:t>
            </w:r>
            <w:proofErr w:type="spellEnd"/>
            <w:r w:rsidRPr="00F21699">
              <w:rPr>
                <w:rFonts w:ascii="Times New Roman" w:hAnsi="Times New Roman" w:cs="Times New Roman"/>
              </w:rPr>
              <w:t xml:space="preserve"> en landing alsmede het recht om in overeenstemming met de routetabel in de bijlage bij het verdrag geregelde luchtdiensten te onderhouden. Verder bevat het verdrag de gebruikelijke bepalingen over veiligheid, beveiliging, tarieven en heffingen.</w:t>
            </w:r>
          </w:p>
        </w:tc>
      </w:tr>
      <w:tr w:rsidRPr="00FB5E6B" w:rsidR="00FB5E6B" w:rsidTr="00F21699" w14:paraId="53D7578C" w14:textId="77777777">
        <w:trPr>
          <w:trHeight w:val="300"/>
        </w:trPr>
        <w:tc>
          <w:tcPr>
            <w:tcW w:w="2227" w:type="dxa"/>
            <w:vMerge/>
            <w:hideMark/>
          </w:tcPr>
          <w:p w:rsidRPr="00FB5E6B" w:rsidR="00FB5E6B" w:rsidP="00F21699" w:rsidRDefault="00FB5E6B" w14:paraId="1DB20DA7" w14:textId="77777777">
            <w:pPr>
              <w:spacing w:before="240"/>
              <w:rPr>
                <w:rFonts w:ascii="Times New Roman" w:hAnsi="Times New Roman" w:cs="Times New Roman"/>
              </w:rPr>
            </w:pPr>
          </w:p>
        </w:tc>
        <w:tc>
          <w:tcPr>
            <w:tcW w:w="3065" w:type="dxa"/>
            <w:hideMark/>
          </w:tcPr>
          <w:p w:rsidRPr="00FB5E6B" w:rsidR="00FB5E6B" w:rsidP="00F21699" w:rsidRDefault="00FB5E6B" w14:paraId="52C2747E" w14:textId="77777777">
            <w:pPr>
              <w:spacing w:before="240"/>
              <w:rPr>
                <w:rFonts w:ascii="Times New Roman" w:hAnsi="Times New Roman" w:cs="Times New Roman"/>
              </w:rPr>
            </w:pPr>
            <w:r w:rsidRPr="00FB5E6B">
              <w:rPr>
                <w:rFonts w:ascii="Times New Roman" w:hAnsi="Times New Roman" w:cs="Times New Roman"/>
              </w:rPr>
              <w:t>Zetelverdrag internationale schadevergoedingscommissie voor Oekraïne</w:t>
            </w:r>
          </w:p>
        </w:tc>
        <w:tc>
          <w:tcPr>
            <w:tcW w:w="3497" w:type="dxa"/>
            <w:noWrap/>
            <w:hideMark/>
          </w:tcPr>
          <w:p w:rsidRPr="00FB5E6B" w:rsidR="00FB5E6B" w:rsidP="00F21699" w:rsidRDefault="00A879C3" w14:paraId="08FBE1CA" w14:textId="0680BF81">
            <w:pPr>
              <w:spacing w:before="240"/>
              <w:rPr>
                <w:rFonts w:ascii="Times New Roman" w:hAnsi="Times New Roman" w:cs="Times New Roman"/>
              </w:rPr>
            </w:pPr>
            <w:r>
              <w:rPr>
                <w:rFonts w:ascii="Times New Roman" w:hAnsi="Times New Roman" w:cs="Times New Roman"/>
              </w:rPr>
              <w:t xml:space="preserve">Schadevergoedingscommissie voor Oekraïne </w:t>
            </w:r>
          </w:p>
        </w:tc>
        <w:tc>
          <w:tcPr>
            <w:tcW w:w="1134" w:type="dxa"/>
            <w:hideMark/>
          </w:tcPr>
          <w:p w:rsidRPr="00FB5E6B" w:rsidR="00FB5E6B" w:rsidP="00F21699" w:rsidRDefault="00FB5E6B" w14:paraId="4211B7F5" w14:textId="77777777">
            <w:pPr>
              <w:spacing w:before="240"/>
              <w:rPr>
                <w:rFonts w:ascii="Times New Roman" w:hAnsi="Times New Roman" w:cs="Times New Roman"/>
              </w:rPr>
            </w:pPr>
            <w:r w:rsidRPr="00FB5E6B">
              <w:rPr>
                <w:rFonts w:ascii="Times New Roman" w:hAnsi="Times New Roman" w:cs="Times New Roman"/>
              </w:rPr>
              <w:t>014228</w:t>
            </w:r>
          </w:p>
        </w:tc>
        <w:tc>
          <w:tcPr>
            <w:tcW w:w="4172" w:type="dxa"/>
            <w:hideMark/>
          </w:tcPr>
          <w:p w:rsidR="00F21699" w:rsidP="00F21699" w:rsidRDefault="00F21699" w14:paraId="104C1B32" w14:textId="56642C45">
            <w:pPr>
              <w:spacing w:before="240"/>
              <w:rPr>
                <w:rFonts w:ascii="Times New Roman" w:hAnsi="Times New Roman" w:cs="Times New Roman"/>
              </w:rPr>
            </w:pPr>
            <w:r w:rsidRPr="00F21699">
              <w:rPr>
                <w:rFonts w:ascii="Times New Roman" w:hAnsi="Times New Roman" w:cs="Times New Roman"/>
              </w:rPr>
              <w:t>Het zetelverdrag regelt, ten behoeve van een goede uitoefening van de werkzaamheden, onder meer de status en de privileges en immuniteiten van de schadevergoedingscommissie en het personeel. Ook bevat het verdrag een uiteenzetting van wederzijdse verantwoordelijkheden en verplichtingen van het gastland en de schadevergoedingscommissie. De opgenomen bepalingen komen overeen met eerder door Nederland gesloten gastlandverdragen met andere internationale organisaties. Het is de bedoeling dat het bij Resolutie CM/</w:t>
            </w:r>
            <w:proofErr w:type="spellStart"/>
            <w:r w:rsidRPr="00F21699">
              <w:rPr>
                <w:rFonts w:ascii="Times New Roman" w:hAnsi="Times New Roman" w:cs="Times New Roman"/>
              </w:rPr>
              <w:t>Res</w:t>
            </w:r>
            <w:proofErr w:type="spellEnd"/>
            <w:r w:rsidRPr="00F21699">
              <w:rPr>
                <w:rFonts w:ascii="Times New Roman" w:hAnsi="Times New Roman" w:cs="Times New Roman"/>
              </w:rPr>
              <w:t xml:space="preserve"> (2023)3 van het Comité van Ministers van de Raad van Europa opgerichte schaderegister kort na de oprichting van de commissie in deze commissie zal worden opgenomen en dus zal ophouden </w:t>
            </w:r>
            <w:r w:rsidRPr="00F21699">
              <w:rPr>
                <w:rFonts w:ascii="Times New Roman" w:hAnsi="Times New Roman" w:cs="Times New Roman"/>
              </w:rPr>
              <w:lastRenderedPageBreak/>
              <w:t>zelfstandig te bestaan. De schadevergoedingscommissie zal als mandaat hebben de in het schaderegister opgenomen schade te beoordelen en besluiten te nemen over de toekenning van schadeclaims.</w:t>
            </w:r>
          </w:p>
          <w:p w:rsidRPr="00F21699" w:rsidR="00F21699" w:rsidP="00F21699" w:rsidRDefault="00F21699" w14:paraId="3CCB06F9" w14:textId="77777777">
            <w:pPr>
              <w:spacing w:before="240"/>
              <w:rPr>
                <w:rFonts w:ascii="Times New Roman" w:hAnsi="Times New Roman" w:cs="Times New Roman"/>
              </w:rPr>
            </w:pPr>
          </w:p>
        </w:tc>
      </w:tr>
      <w:tr w:rsidRPr="00FB5E6B" w:rsidR="00FB5E6B" w:rsidTr="00F21699" w14:paraId="7447C5FE" w14:textId="77777777">
        <w:trPr>
          <w:trHeight w:val="300"/>
        </w:trPr>
        <w:tc>
          <w:tcPr>
            <w:tcW w:w="2227" w:type="dxa"/>
            <w:hideMark/>
          </w:tcPr>
          <w:p w:rsidRPr="00FB5E6B" w:rsidR="00FB5E6B" w:rsidP="00F21699" w:rsidRDefault="00FB5E6B" w14:paraId="07466E94" w14:textId="77777777">
            <w:pPr>
              <w:spacing w:before="240"/>
              <w:rPr>
                <w:rFonts w:ascii="Times New Roman" w:hAnsi="Times New Roman" w:cs="Times New Roman"/>
                <w:b/>
                <w:bCs/>
              </w:rPr>
            </w:pPr>
            <w:r w:rsidRPr="00FB5E6B">
              <w:rPr>
                <w:rFonts w:ascii="Times New Roman" w:hAnsi="Times New Roman" w:cs="Times New Roman"/>
                <w:b/>
                <w:bCs/>
              </w:rPr>
              <w:lastRenderedPageBreak/>
              <w:t>Infrastructuur en Waterstaat</w:t>
            </w:r>
          </w:p>
        </w:tc>
        <w:tc>
          <w:tcPr>
            <w:tcW w:w="3065" w:type="dxa"/>
            <w:hideMark/>
          </w:tcPr>
          <w:p w:rsidRPr="00FB5E6B" w:rsidR="00FB5E6B" w:rsidP="00F21699" w:rsidRDefault="00FB5E6B" w14:paraId="340CD9A4" w14:textId="77777777">
            <w:pPr>
              <w:spacing w:before="240"/>
              <w:rPr>
                <w:rFonts w:ascii="Times New Roman" w:hAnsi="Times New Roman" w:cs="Times New Roman"/>
              </w:rPr>
            </w:pPr>
            <w:r w:rsidRPr="00FB5E6B">
              <w:rPr>
                <w:rFonts w:ascii="Times New Roman" w:hAnsi="Times New Roman" w:cs="Times New Roman"/>
              </w:rPr>
              <w:t>Luchtvaartverdrag</w:t>
            </w:r>
          </w:p>
        </w:tc>
        <w:tc>
          <w:tcPr>
            <w:tcW w:w="3497" w:type="dxa"/>
            <w:hideMark/>
          </w:tcPr>
          <w:p w:rsidRPr="00FB5E6B" w:rsidR="00FB5E6B" w:rsidP="00F21699" w:rsidRDefault="00FB5E6B" w14:paraId="6C06330E" w14:textId="77777777">
            <w:pPr>
              <w:spacing w:before="240"/>
              <w:rPr>
                <w:rFonts w:ascii="Times New Roman" w:hAnsi="Times New Roman" w:cs="Times New Roman"/>
              </w:rPr>
            </w:pPr>
            <w:r w:rsidRPr="00FB5E6B">
              <w:rPr>
                <w:rFonts w:ascii="Times New Roman" w:hAnsi="Times New Roman" w:cs="Times New Roman"/>
              </w:rPr>
              <w:t>Eswatini</w:t>
            </w:r>
          </w:p>
        </w:tc>
        <w:tc>
          <w:tcPr>
            <w:tcW w:w="1134" w:type="dxa"/>
            <w:hideMark/>
          </w:tcPr>
          <w:p w:rsidRPr="00FB5E6B" w:rsidR="00FB5E6B" w:rsidP="00F21699" w:rsidRDefault="00FB5E6B" w14:paraId="44E18F0E" w14:textId="77777777">
            <w:pPr>
              <w:spacing w:before="240"/>
              <w:rPr>
                <w:rFonts w:ascii="Times New Roman" w:hAnsi="Times New Roman" w:cs="Times New Roman"/>
              </w:rPr>
            </w:pPr>
            <w:r w:rsidRPr="00FB5E6B">
              <w:rPr>
                <w:rFonts w:ascii="Times New Roman" w:hAnsi="Times New Roman" w:cs="Times New Roman"/>
              </w:rPr>
              <w:t>014223</w:t>
            </w:r>
          </w:p>
        </w:tc>
        <w:tc>
          <w:tcPr>
            <w:tcW w:w="4172" w:type="dxa"/>
            <w:hideMark/>
          </w:tcPr>
          <w:p w:rsidRPr="00FB5E6B" w:rsidR="00FB5E6B" w:rsidP="00F21699" w:rsidRDefault="00FB5E6B" w14:paraId="1C39E661" w14:textId="234ED08E">
            <w:pPr>
              <w:spacing w:before="240"/>
              <w:rPr>
                <w:rFonts w:ascii="Times New Roman" w:hAnsi="Times New Roman" w:cs="Times New Roman"/>
              </w:rPr>
            </w:pPr>
            <w:r w:rsidRPr="00FB5E6B">
              <w:rPr>
                <w:rFonts w:ascii="Times New Roman" w:hAnsi="Times New Roman" w:cs="Times New Roman"/>
              </w:rPr>
              <w:t>Het Verdrag komt tegemoet aan de ontwikkelingen in de luchtvaart en aan de commerciële en operationele wensen van de door beide partijen aan te wijzen luchtvaartmaatschappijen. Het Verdrag geeft de mogelijkheid tot meervoudige</w:t>
            </w:r>
            <w:r>
              <w:rPr>
                <w:rFonts w:ascii="Times New Roman" w:hAnsi="Times New Roman" w:cs="Times New Roman"/>
              </w:rPr>
              <w:t xml:space="preserve"> </w:t>
            </w:r>
            <w:r w:rsidRPr="00FB5E6B">
              <w:rPr>
                <w:rFonts w:ascii="Times New Roman" w:hAnsi="Times New Roman" w:cs="Times New Roman"/>
              </w:rPr>
              <w:t>aanwijzing van luchtvaartmaatschappijen en geeft de voorwaarden aan waaraan de luchtvaartmaatschappijen van beide partijen moeten voldoen om voor aanwijzing in aanmerking te komen. Tevens zijn de standaardbepalingen ten aanzien van veiligheid en beveiliging van de luchtvaart opgenomen teneinde te voldoen aan de internationale verplichtingen ter zake. Het verdrag zal voor het Europese deel van Nederland gelden.</w:t>
            </w:r>
          </w:p>
        </w:tc>
      </w:tr>
      <w:tr w:rsidRPr="00FB5E6B" w:rsidR="00FB5E6B" w:rsidTr="00F21699" w14:paraId="25385B07" w14:textId="77777777">
        <w:trPr>
          <w:trHeight w:val="600"/>
        </w:trPr>
        <w:tc>
          <w:tcPr>
            <w:tcW w:w="2227" w:type="dxa"/>
            <w:hideMark/>
          </w:tcPr>
          <w:p w:rsidRPr="00FB5E6B" w:rsidR="00FB5E6B" w:rsidP="00F21699" w:rsidRDefault="00FB5E6B" w14:paraId="0083884E" w14:textId="77777777">
            <w:pPr>
              <w:spacing w:before="240"/>
              <w:rPr>
                <w:rFonts w:ascii="Times New Roman" w:hAnsi="Times New Roman" w:cs="Times New Roman"/>
                <w:b/>
                <w:bCs/>
              </w:rPr>
            </w:pPr>
            <w:r w:rsidRPr="00FB5E6B">
              <w:rPr>
                <w:rFonts w:ascii="Times New Roman" w:hAnsi="Times New Roman" w:cs="Times New Roman"/>
                <w:b/>
                <w:bCs/>
              </w:rPr>
              <w:t>Sociale Zaken en Werkgelegenheid</w:t>
            </w:r>
          </w:p>
        </w:tc>
        <w:tc>
          <w:tcPr>
            <w:tcW w:w="3065" w:type="dxa"/>
            <w:hideMark/>
          </w:tcPr>
          <w:p w:rsidRPr="00FB5E6B" w:rsidR="00FB5E6B" w:rsidP="00F21699" w:rsidRDefault="00FB5E6B" w14:paraId="5110C285" w14:textId="77777777">
            <w:pPr>
              <w:spacing w:before="240"/>
              <w:rPr>
                <w:rFonts w:ascii="Times New Roman" w:hAnsi="Times New Roman" w:cs="Times New Roman"/>
              </w:rPr>
            </w:pPr>
            <w:r w:rsidRPr="00FB5E6B">
              <w:rPr>
                <w:rFonts w:ascii="Times New Roman" w:hAnsi="Times New Roman" w:cs="Times New Roman"/>
              </w:rPr>
              <w:t xml:space="preserve">Administratieve Schikking ter uitvoering van artikel 13 </w:t>
            </w:r>
            <w:r w:rsidRPr="00FB5E6B">
              <w:rPr>
                <w:rFonts w:ascii="Times New Roman" w:hAnsi="Times New Roman" w:cs="Times New Roman"/>
              </w:rPr>
              <w:lastRenderedPageBreak/>
              <w:t>BNL-verdrag bestrijding sociale fraude</w:t>
            </w:r>
          </w:p>
        </w:tc>
        <w:tc>
          <w:tcPr>
            <w:tcW w:w="3497" w:type="dxa"/>
            <w:hideMark/>
          </w:tcPr>
          <w:p w:rsidRPr="00FB5E6B" w:rsidR="00FB5E6B" w:rsidP="00F21699" w:rsidRDefault="00FB5E6B" w14:paraId="0B034C47" w14:textId="77777777">
            <w:pPr>
              <w:spacing w:before="240"/>
              <w:rPr>
                <w:rFonts w:ascii="Times New Roman" w:hAnsi="Times New Roman" w:cs="Times New Roman"/>
              </w:rPr>
            </w:pPr>
            <w:r w:rsidRPr="00FB5E6B">
              <w:rPr>
                <w:rFonts w:ascii="Times New Roman" w:hAnsi="Times New Roman" w:cs="Times New Roman"/>
              </w:rPr>
              <w:lastRenderedPageBreak/>
              <w:t>Benelux</w:t>
            </w:r>
          </w:p>
        </w:tc>
        <w:tc>
          <w:tcPr>
            <w:tcW w:w="1134" w:type="dxa"/>
            <w:hideMark/>
          </w:tcPr>
          <w:p w:rsidRPr="00FB5E6B" w:rsidR="00FB5E6B" w:rsidP="00F21699" w:rsidRDefault="00FB5E6B" w14:paraId="1891E436" w14:textId="77777777">
            <w:pPr>
              <w:spacing w:before="240"/>
              <w:rPr>
                <w:rFonts w:ascii="Times New Roman" w:hAnsi="Times New Roman" w:cs="Times New Roman"/>
              </w:rPr>
            </w:pPr>
            <w:r w:rsidRPr="00FB5E6B">
              <w:rPr>
                <w:rFonts w:ascii="Times New Roman" w:hAnsi="Times New Roman" w:cs="Times New Roman"/>
              </w:rPr>
              <w:t>014207</w:t>
            </w:r>
          </w:p>
        </w:tc>
        <w:tc>
          <w:tcPr>
            <w:tcW w:w="4172" w:type="dxa"/>
            <w:hideMark/>
          </w:tcPr>
          <w:p w:rsidRPr="00FB5E6B" w:rsidR="00FB5E6B" w:rsidP="00F21699" w:rsidRDefault="00FB5E6B" w14:paraId="2FECA9BC" w14:textId="32C5BDEB">
            <w:pPr>
              <w:spacing w:before="240"/>
              <w:rPr>
                <w:rFonts w:ascii="Times New Roman" w:hAnsi="Times New Roman" w:cs="Times New Roman"/>
              </w:rPr>
            </w:pPr>
            <w:r w:rsidRPr="00FB5E6B">
              <w:rPr>
                <w:rFonts w:ascii="Times New Roman" w:hAnsi="Times New Roman" w:cs="Times New Roman"/>
              </w:rPr>
              <w:t xml:space="preserve">De Administratieve Schikking tussen het Koninkrijk België en het Koninkrijk der Nederlanden geeft praktische invulling </w:t>
            </w:r>
            <w:r w:rsidRPr="00FB5E6B">
              <w:rPr>
                <w:rFonts w:ascii="Times New Roman" w:hAnsi="Times New Roman" w:cs="Times New Roman"/>
              </w:rPr>
              <w:lastRenderedPageBreak/>
              <w:t>aan artikel 13 van het nog te sluiten Benelux-Verdrag ter verbetering en versterking van de grensoverschrijdende samenwerking op het gebied van de bestrijding van sociale fraude en onjuistheden in de sociale zekerheid, de bescherming van de gezondheid en de veiligheid op het werk en van fatsoenlijke arbeidsvoorwaarden. De Administratieve Schikking zorgt ervoor dat het orgaan dat bevoegd is voor de toekenning of voortzetting van een uitkering of socialezekerheidsrecht administratieve controles kan verrichten door het afnemen van interviews met de</w:t>
            </w:r>
            <w:r>
              <w:rPr>
                <w:rFonts w:ascii="Times New Roman" w:hAnsi="Times New Roman" w:cs="Times New Roman"/>
              </w:rPr>
              <w:t xml:space="preserve"> </w:t>
            </w:r>
            <w:r w:rsidRPr="004A46F2">
              <w:rPr>
                <w:rFonts w:ascii="Times New Roman" w:hAnsi="Times New Roman" w:cs="Times New Roman"/>
              </w:rPr>
              <w:t>aanvrager of rechthebbende in het woon- of verblijfland.</w:t>
            </w:r>
          </w:p>
        </w:tc>
      </w:tr>
    </w:tbl>
    <w:p w:rsidR="006C5EDC" w:rsidP="00F21699" w:rsidRDefault="006C5EDC" w14:paraId="0132B577" w14:textId="77777777">
      <w:pPr>
        <w:spacing w:before="240"/>
        <w:rPr>
          <w:rFonts w:ascii="Times New Roman" w:hAnsi="Times New Roman" w:cs="Times New Roman"/>
        </w:rPr>
      </w:pPr>
    </w:p>
    <w:p w:rsidRPr="00FB5E6B" w:rsidR="00FB5E6B" w:rsidP="00F21699" w:rsidRDefault="00FB5E6B" w14:paraId="3EC63BCC" w14:textId="1F7E3F60">
      <w:pPr>
        <w:spacing w:before="240"/>
        <w:rPr>
          <w:rFonts w:ascii="Times New Roman" w:hAnsi="Times New Roman" w:cs="Times New Roman"/>
        </w:rPr>
      </w:pPr>
      <w:r>
        <w:rPr>
          <w:rFonts w:ascii="Times New Roman" w:hAnsi="Times New Roman" w:cs="Times New Roman"/>
        </w:rPr>
        <w:t xml:space="preserve">Totaal: </w:t>
      </w:r>
      <w:r w:rsidR="00A879C3">
        <w:rPr>
          <w:rFonts w:ascii="Times New Roman" w:hAnsi="Times New Roman" w:cs="Times New Roman"/>
        </w:rPr>
        <w:t>1</w:t>
      </w:r>
      <w:r w:rsidR="006C36E1">
        <w:rPr>
          <w:rFonts w:ascii="Times New Roman" w:hAnsi="Times New Roman" w:cs="Times New Roman"/>
        </w:rPr>
        <w:t>5</w:t>
      </w:r>
    </w:p>
    <w:sectPr w:rsidRPr="00FB5E6B" w:rsidR="00FB5E6B" w:rsidSect="00FB5E6B">
      <w:headerReference w:type="default" r:id="rId6"/>
      <w:footerReference w:type="default" r:id="rId7"/>
      <w:pgSz w:w="16838" w:h="11906" w:orient="landscape"/>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2CE51" w14:textId="77777777" w:rsidR="00AE51AD" w:rsidRDefault="00AE51AD" w:rsidP="00FB5E6B">
      <w:pPr>
        <w:spacing w:after="0" w:line="240" w:lineRule="auto"/>
      </w:pPr>
      <w:r>
        <w:separator/>
      </w:r>
    </w:p>
  </w:endnote>
  <w:endnote w:type="continuationSeparator" w:id="0">
    <w:p w14:paraId="10B826FB" w14:textId="77777777" w:rsidR="00AE51AD" w:rsidRDefault="00AE51AD" w:rsidP="00FB5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99025"/>
      <w:docPartObj>
        <w:docPartGallery w:val="Page Numbers (Bottom of Page)"/>
        <w:docPartUnique/>
      </w:docPartObj>
    </w:sdtPr>
    <w:sdtEndPr>
      <w:rPr>
        <w:rFonts w:ascii="Times New Roman" w:hAnsi="Times New Roman" w:cs="Times New Roman"/>
      </w:rPr>
    </w:sdtEndPr>
    <w:sdtContent>
      <w:p w14:paraId="083A3130" w14:textId="5DBDCB18" w:rsidR="00FB5E6B" w:rsidRPr="00FB5E6B" w:rsidRDefault="00FB5E6B">
        <w:pPr>
          <w:pStyle w:val="Footer"/>
          <w:jc w:val="center"/>
          <w:rPr>
            <w:rFonts w:ascii="Times New Roman" w:hAnsi="Times New Roman" w:cs="Times New Roman"/>
          </w:rPr>
        </w:pPr>
        <w:r w:rsidRPr="00FB5E6B">
          <w:rPr>
            <w:rFonts w:ascii="Times New Roman" w:hAnsi="Times New Roman" w:cs="Times New Roman"/>
          </w:rPr>
          <w:fldChar w:fldCharType="begin"/>
        </w:r>
        <w:r w:rsidRPr="00FB5E6B">
          <w:rPr>
            <w:rFonts w:ascii="Times New Roman" w:hAnsi="Times New Roman" w:cs="Times New Roman"/>
          </w:rPr>
          <w:instrText>PAGE   \* MERGEFORMAT</w:instrText>
        </w:r>
        <w:r w:rsidRPr="00FB5E6B">
          <w:rPr>
            <w:rFonts w:ascii="Times New Roman" w:hAnsi="Times New Roman" w:cs="Times New Roman"/>
          </w:rPr>
          <w:fldChar w:fldCharType="separate"/>
        </w:r>
        <w:r w:rsidRPr="00FB5E6B">
          <w:rPr>
            <w:rFonts w:ascii="Times New Roman" w:hAnsi="Times New Roman" w:cs="Times New Roman"/>
          </w:rPr>
          <w:t>2</w:t>
        </w:r>
        <w:r w:rsidRPr="00FB5E6B">
          <w:rPr>
            <w:rFonts w:ascii="Times New Roman" w:hAnsi="Times New Roman" w:cs="Times New Roman"/>
          </w:rPr>
          <w:fldChar w:fldCharType="end"/>
        </w:r>
      </w:p>
    </w:sdtContent>
  </w:sdt>
  <w:p w14:paraId="4AEECA67" w14:textId="77777777" w:rsidR="00FB5E6B" w:rsidRDefault="00FB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7297" w14:textId="77777777" w:rsidR="00AE51AD" w:rsidRDefault="00AE51AD" w:rsidP="00FB5E6B">
      <w:pPr>
        <w:spacing w:after="0" w:line="240" w:lineRule="auto"/>
      </w:pPr>
      <w:r>
        <w:separator/>
      </w:r>
    </w:p>
  </w:footnote>
  <w:footnote w:type="continuationSeparator" w:id="0">
    <w:p w14:paraId="15C3C866" w14:textId="77777777" w:rsidR="00AE51AD" w:rsidRDefault="00AE51AD" w:rsidP="00FB5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0488" w14:textId="77777777" w:rsidR="00FB5E6B" w:rsidRDefault="00FB5E6B" w:rsidP="00FB5E6B">
    <w:pPr>
      <w:spacing w:line="256" w:lineRule="auto"/>
      <w:jc w:val="right"/>
      <w:rPr>
        <w:rFonts w:ascii="Times New Roman" w:eastAsia="Times New Roman" w:hAnsi="Times New Roman" w:cs="Times New Roman"/>
        <w:b/>
        <w:kern w:val="0"/>
        <w:sz w:val="20"/>
        <w:szCs w:val="22"/>
        <w14:ligatures w14:val="none"/>
      </w:rPr>
    </w:pPr>
    <w:r>
      <w:rPr>
        <w:rFonts w:ascii="Times New Roman" w:eastAsia="Times New Roman" w:hAnsi="Times New Roman" w:cs="Times New Roman"/>
        <w:b/>
        <w:kern w:val="0"/>
        <w:sz w:val="20"/>
        <w:szCs w:val="22"/>
        <w14:ligatures w14:val="none"/>
      </w:rPr>
      <w:t>Bijlage 1</w:t>
    </w:r>
  </w:p>
  <w:p w14:paraId="6561B011" w14:textId="77777777" w:rsidR="00FB5E6B" w:rsidRDefault="00FB5E6B" w:rsidP="00FB5E6B">
    <w:pPr>
      <w:spacing w:line="256" w:lineRule="auto"/>
      <w:rPr>
        <w:rFonts w:ascii="Times New Roman" w:eastAsia="Times New Roman" w:hAnsi="Times New Roman" w:cs="Times New Roman"/>
        <w:b/>
        <w:kern w:val="0"/>
        <w:sz w:val="20"/>
        <w:szCs w:val="22"/>
        <w14:ligatures w14:val="none"/>
      </w:rPr>
    </w:pPr>
    <w:r w:rsidRPr="00A33860">
      <w:rPr>
        <w:rFonts w:ascii="Times New Roman" w:eastAsia="Times New Roman" w:hAnsi="Times New Roman" w:cs="Times New Roman"/>
        <w:b/>
        <w:kern w:val="0"/>
        <w:sz w:val="20"/>
        <w:szCs w:val="22"/>
        <w14:ligatures w14:val="none"/>
      </w:rPr>
      <w:t xml:space="preserve">Overzicht van </w:t>
    </w:r>
    <w:proofErr w:type="spellStart"/>
    <w:r w:rsidRPr="00A33860">
      <w:rPr>
        <w:rFonts w:ascii="Times New Roman" w:eastAsia="Times New Roman" w:hAnsi="Times New Roman" w:cs="Times New Roman"/>
        <w:b/>
        <w:kern w:val="0"/>
        <w:sz w:val="20"/>
        <w:szCs w:val="22"/>
        <w14:ligatures w14:val="none"/>
      </w:rPr>
      <w:t>ontwerp-verdragen</w:t>
    </w:r>
    <w:proofErr w:type="spellEnd"/>
    <w:r w:rsidRPr="00A33860">
      <w:rPr>
        <w:rFonts w:ascii="Times New Roman" w:eastAsia="Times New Roman" w:hAnsi="Times New Roman" w:cs="Times New Roman"/>
        <w:b/>
        <w:kern w:val="0"/>
        <w:sz w:val="20"/>
        <w:szCs w:val="22"/>
        <w14:ligatures w14:val="none"/>
      </w:rPr>
      <w:t xml:space="preserve"> per 1 </w:t>
    </w:r>
    <w:r>
      <w:rPr>
        <w:rFonts w:ascii="Times New Roman" w:eastAsia="Times New Roman" w:hAnsi="Times New Roman" w:cs="Times New Roman"/>
        <w:b/>
        <w:kern w:val="0"/>
        <w:sz w:val="20"/>
        <w:szCs w:val="22"/>
        <w14:ligatures w14:val="none"/>
      </w:rPr>
      <w:t>januari</w:t>
    </w:r>
    <w:r w:rsidRPr="00A33860">
      <w:rPr>
        <w:rFonts w:ascii="Times New Roman" w:eastAsia="Times New Roman" w:hAnsi="Times New Roman" w:cs="Times New Roman"/>
        <w:b/>
        <w:kern w:val="0"/>
        <w:sz w:val="20"/>
        <w:szCs w:val="22"/>
        <w14:ligatures w14:val="none"/>
      </w:rPr>
      <w:t xml:space="preserve"> 202</w:t>
    </w:r>
    <w:r>
      <w:rPr>
        <w:rFonts w:ascii="Times New Roman" w:eastAsia="Times New Roman" w:hAnsi="Times New Roman" w:cs="Times New Roman"/>
        <w:b/>
        <w:kern w:val="0"/>
        <w:sz w:val="20"/>
        <w:szCs w:val="22"/>
        <w14:ligatures w14:val="none"/>
      </w:rPr>
      <w:t>6</w:t>
    </w:r>
    <w:r w:rsidRPr="00A33860">
      <w:rPr>
        <w:rFonts w:ascii="Times New Roman" w:eastAsia="Times New Roman" w:hAnsi="Times New Roman" w:cs="Times New Roman"/>
        <w:b/>
        <w:kern w:val="0"/>
        <w:sz w:val="20"/>
        <w:szCs w:val="22"/>
        <w14:ligatures w14:val="none"/>
      </w:rPr>
      <w:t xml:space="preserve"> die vergeleken met de lijst van 1 </w:t>
    </w:r>
    <w:r>
      <w:rPr>
        <w:rFonts w:ascii="Times New Roman" w:eastAsia="Times New Roman" w:hAnsi="Times New Roman" w:cs="Times New Roman"/>
        <w:b/>
        <w:kern w:val="0"/>
        <w:sz w:val="20"/>
        <w:szCs w:val="22"/>
        <w14:ligatures w14:val="none"/>
      </w:rPr>
      <w:t>oktober</w:t>
    </w:r>
    <w:r w:rsidRPr="00A33860">
      <w:rPr>
        <w:rFonts w:ascii="Times New Roman" w:eastAsia="Times New Roman" w:hAnsi="Times New Roman" w:cs="Times New Roman"/>
        <w:b/>
        <w:kern w:val="0"/>
        <w:sz w:val="20"/>
        <w:szCs w:val="22"/>
        <w14:ligatures w14:val="none"/>
      </w:rPr>
      <w:t xml:space="preserve"> 2025 (</w:t>
    </w:r>
    <w:r w:rsidRPr="000505D6">
      <w:rPr>
        <w:rFonts w:ascii="Times New Roman" w:eastAsia="Times New Roman" w:hAnsi="Times New Roman" w:cs="Times New Roman"/>
        <w:b/>
        <w:bCs/>
        <w:kern w:val="0"/>
        <w:sz w:val="20"/>
        <w:szCs w:val="22"/>
        <w14:ligatures w14:val="none"/>
      </w:rPr>
      <w:t>Kamerstukken II 2025/2026, 23530, 152</w:t>
    </w:r>
    <w:r w:rsidRPr="00A33860">
      <w:rPr>
        <w:rFonts w:ascii="Times New Roman" w:eastAsia="Times New Roman" w:hAnsi="Times New Roman" w:cs="Times New Roman"/>
        <w:b/>
        <w:kern w:val="0"/>
        <w:sz w:val="20"/>
        <w:szCs w:val="22"/>
        <w14:ligatures w14:val="none"/>
      </w:rPr>
      <w:t>) NIEUW zijn op de lijst; *= politiek belangrijk</w:t>
    </w:r>
  </w:p>
  <w:p w14:paraId="52CB2EC9" w14:textId="4E999C98" w:rsidR="00FB5E6B" w:rsidRPr="00FB5E6B" w:rsidRDefault="00FB5E6B" w:rsidP="00FB5E6B">
    <w:pPr>
      <w:spacing w:line="256" w:lineRule="auto"/>
      <w:rPr>
        <w:rFonts w:ascii="Times New Roman" w:eastAsia="Times New Roman" w:hAnsi="Times New Roman" w:cs="Times New Roman"/>
        <w:b/>
        <w:kern w:val="0"/>
        <w:sz w:val="20"/>
        <w:szCs w:val="22"/>
        <w14:ligatures w14:val="none"/>
      </w:rPr>
    </w:pPr>
    <w:r>
      <w:rPr>
        <w:rFonts w:ascii="Times New Roman" w:eastAsia="Times New Roman" w:hAnsi="Times New Roman" w:cs="Times New Roman"/>
        <w:b/>
        <w:kern w:val="0"/>
        <w:sz w:val="20"/>
        <w:szCs w:val="22"/>
        <w14:ligatures w14:val="none"/>
      </w:rPr>
      <w:t xml:space="preserve">Ministerie </w:t>
    </w:r>
    <w:r>
      <w:rPr>
        <w:rFonts w:ascii="Times New Roman" w:eastAsia="Times New Roman" w:hAnsi="Times New Roman" w:cs="Times New Roman"/>
        <w:b/>
        <w:kern w:val="0"/>
        <w:sz w:val="20"/>
        <w:szCs w:val="22"/>
        <w14:ligatures w14:val="none"/>
      </w:rPr>
      <w:tab/>
    </w:r>
    <w:r>
      <w:rPr>
        <w:rFonts w:ascii="Times New Roman" w:eastAsia="Times New Roman" w:hAnsi="Times New Roman" w:cs="Times New Roman"/>
        <w:b/>
        <w:kern w:val="0"/>
        <w:sz w:val="20"/>
        <w:szCs w:val="22"/>
        <w14:ligatures w14:val="none"/>
      </w:rPr>
      <w:tab/>
      <w:t xml:space="preserve">  Onderwerp verdrag </w:t>
    </w:r>
    <w:r>
      <w:rPr>
        <w:rFonts w:ascii="Times New Roman" w:eastAsia="Times New Roman" w:hAnsi="Times New Roman" w:cs="Times New Roman"/>
        <w:b/>
        <w:kern w:val="0"/>
        <w:sz w:val="20"/>
        <w:szCs w:val="22"/>
        <w14:ligatures w14:val="none"/>
      </w:rPr>
      <w:tab/>
    </w:r>
    <w:r>
      <w:rPr>
        <w:rFonts w:ascii="Times New Roman" w:eastAsia="Times New Roman" w:hAnsi="Times New Roman" w:cs="Times New Roman"/>
        <w:b/>
        <w:kern w:val="0"/>
        <w:sz w:val="20"/>
        <w:szCs w:val="22"/>
        <w14:ligatures w14:val="none"/>
      </w:rPr>
      <w:tab/>
      <w:t xml:space="preserve">   </w:t>
    </w:r>
    <w:r w:rsidR="00A879C3">
      <w:rPr>
        <w:rFonts w:ascii="Times New Roman" w:eastAsia="Times New Roman" w:hAnsi="Times New Roman" w:cs="Times New Roman"/>
        <w:b/>
        <w:kern w:val="0"/>
        <w:sz w:val="20"/>
        <w:szCs w:val="22"/>
        <w14:ligatures w14:val="none"/>
      </w:rPr>
      <w:t xml:space="preserve">  </w:t>
    </w:r>
    <w:r>
      <w:rPr>
        <w:rFonts w:ascii="Times New Roman" w:eastAsia="Times New Roman" w:hAnsi="Times New Roman" w:cs="Times New Roman"/>
        <w:b/>
        <w:kern w:val="0"/>
        <w:sz w:val="20"/>
        <w:szCs w:val="22"/>
        <w14:ligatures w14:val="none"/>
      </w:rPr>
      <w:t xml:space="preserve"> Land/ organisatie </w:t>
    </w:r>
    <w:r>
      <w:rPr>
        <w:rFonts w:ascii="Times New Roman" w:eastAsia="Times New Roman" w:hAnsi="Times New Roman" w:cs="Times New Roman"/>
        <w:b/>
        <w:kern w:val="0"/>
        <w:sz w:val="20"/>
        <w:szCs w:val="22"/>
        <w14:ligatures w14:val="none"/>
      </w:rPr>
      <w:tab/>
      <w:t xml:space="preserve">                                Ref. nr.          Doel/ inhoud/ strekking verdrag (samenvatting)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6B"/>
    <w:rsid w:val="00121C3B"/>
    <w:rsid w:val="003024A1"/>
    <w:rsid w:val="00325BCD"/>
    <w:rsid w:val="004573EC"/>
    <w:rsid w:val="006C1204"/>
    <w:rsid w:val="006C36E1"/>
    <w:rsid w:val="006C5EDC"/>
    <w:rsid w:val="00765F42"/>
    <w:rsid w:val="007A30EA"/>
    <w:rsid w:val="00A4644F"/>
    <w:rsid w:val="00A879C3"/>
    <w:rsid w:val="00AE51AD"/>
    <w:rsid w:val="00F21699"/>
    <w:rsid w:val="00FB5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53D2"/>
  <w15:chartTrackingRefBased/>
  <w15:docId w15:val="{648C887D-6588-4C24-9773-8F50AB29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5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5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5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5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5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5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5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5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5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5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5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E6B"/>
    <w:rPr>
      <w:rFonts w:eastAsiaTheme="majorEastAsia" w:cstheme="majorBidi"/>
      <w:color w:val="272727" w:themeColor="text1" w:themeTint="D8"/>
    </w:rPr>
  </w:style>
  <w:style w:type="paragraph" w:styleId="Title">
    <w:name w:val="Title"/>
    <w:basedOn w:val="Normal"/>
    <w:next w:val="Normal"/>
    <w:link w:val="TitleChar"/>
    <w:uiPriority w:val="10"/>
    <w:qFormat/>
    <w:rsid w:val="00FB5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E6B"/>
    <w:pPr>
      <w:spacing w:before="160"/>
      <w:jc w:val="center"/>
    </w:pPr>
    <w:rPr>
      <w:i/>
      <w:iCs/>
      <w:color w:val="404040" w:themeColor="text1" w:themeTint="BF"/>
    </w:rPr>
  </w:style>
  <w:style w:type="character" w:customStyle="1" w:styleId="QuoteChar">
    <w:name w:val="Quote Char"/>
    <w:basedOn w:val="DefaultParagraphFont"/>
    <w:link w:val="Quote"/>
    <w:uiPriority w:val="29"/>
    <w:rsid w:val="00FB5E6B"/>
    <w:rPr>
      <w:i/>
      <w:iCs/>
      <w:color w:val="404040" w:themeColor="text1" w:themeTint="BF"/>
    </w:rPr>
  </w:style>
  <w:style w:type="paragraph" w:styleId="ListParagraph">
    <w:name w:val="List Paragraph"/>
    <w:basedOn w:val="Normal"/>
    <w:uiPriority w:val="34"/>
    <w:qFormat/>
    <w:rsid w:val="00FB5E6B"/>
    <w:pPr>
      <w:ind w:left="720"/>
      <w:contextualSpacing/>
    </w:pPr>
  </w:style>
  <w:style w:type="character" w:styleId="IntenseEmphasis">
    <w:name w:val="Intense Emphasis"/>
    <w:basedOn w:val="DefaultParagraphFont"/>
    <w:uiPriority w:val="21"/>
    <w:qFormat/>
    <w:rsid w:val="00FB5E6B"/>
    <w:rPr>
      <w:i/>
      <w:iCs/>
      <w:color w:val="0F4761" w:themeColor="accent1" w:themeShade="BF"/>
    </w:rPr>
  </w:style>
  <w:style w:type="paragraph" w:styleId="IntenseQuote">
    <w:name w:val="Intense Quote"/>
    <w:basedOn w:val="Normal"/>
    <w:next w:val="Normal"/>
    <w:link w:val="IntenseQuoteChar"/>
    <w:uiPriority w:val="30"/>
    <w:qFormat/>
    <w:rsid w:val="00FB5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5E6B"/>
    <w:rPr>
      <w:i/>
      <w:iCs/>
      <w:color w:val="0F4761" w:themeColor="accent1" w:themeShade="BF"/>
    </w:rPr>
  </w:style>
  <w:style w:type="character" w:styleId="IntenseReference">
    <w:name w:val="Intense Reference"/>
    <w:basedOn w:val="DefaultParagraphFont"/>
    <w:uiPriority w:val="32"/>
    <w:qFormat/>
    <w:rsid w:val="00FB5E6B"/>
    <w:rPr>
      <w:b/>
      <w:bCs/>
      <w:smallCaps/>
      <w:color w:val="0F4761" w:themeColor="accent1" w:themeShade="BF"/>
      <w:spacing w:val="5"/>
    </w:rPr>
  </w:style>
  <w:style w:type="table" w:styleId="TableGrid">
    <w:name w:val="Table Grid"/>
    <w:basedOn w:val="TableNormal"/>
    <w:uiPriority w:val="39"/>
    <w:rsid w:val="00FB5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E6B"/>
  </w:style>
  <w:style w:type="paragraph" w:styleId="Footer">
    <w:name w:val="footer"/>
    <w:basedOn w:val="Normal"/>
    <w:link w:val="FooterChar"/>
    <w:uiPriority w:val="99"/>
    <w:unhideWhenUsed/>
    <w:rsid w:val="00FB5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1782</ap:Words>
  <ap:Characters>9806</ap:Characters>
  <ap:DocSecurity>4</ap:DocSecurity>
  <ap:Lines>81</ap:Lines>
  <ap:Paragraphs>23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2026-01-08T09:11:00.0000000Z</dcterms:created>
  <dcterms:modified xsi:type="dcterms:W3CDTF">2026-01-08T09:11:00.0000000Z</dcterms:modified>
  <version/>
  <category/>
</coreProperties>
</file>