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1168" w:rsidR="009B2413" w:rsidP="00366298" w:rsidRDefault="009B2413" w14:paraId="7FE51383" w14:textId="77777777">
      <w:pPr>
        <w:rPr>
          <w:color w:val="auto"/>
        </w:rPr>
      </w:pPr>
    </w:p>
    <w:p w:rsidRPr="00BD1168" w:rsidR="009B2413" w:rsidP="00366298" w:rsidRDefault="001D6F6A" w14:paraId="122A9828" w14:textId="404C70B9">
      <w:pPr>
        <w:rPr>
          <w:color w:val="auto"/>
        </w:rPr>
      </w:pPr>
      <w:r w:rsidRPr="00BD1168">
        <w:rPr>
          <w:color w:val="auto"/>
        </w:rPr>
        <w:t xml:space="preserve">In een brief van 27 november 2025 heeft de griffier van de vaste commissie voor Justitie en Veiligheid mij verzocht enkele vragen te beantwoorden over de opzet van de </w:t>
      </w:r>
      <w:r w:rsidR="00922BF0">
        <w:rPr>
          <w:color w:val="auto"/>
        </w:rPr>
        <w:t>P</w:t>
      </w:r>
      <w:r w:rsidRPr="00BD1168">
        <w:rPr>
          <w:color w:val="auto"/>
        </w:rPr>
        <w:t xml:space="preserve">eriodieke rapportage </w:t>
      </w:r>
      <w:r w:rsidR="00922BF0">
        <w:rPr>
          <w:color w:val="auto"/>
        </w:rPr>
        <w:t>kansspelen</w:t>
      </w:r>
      <w:r w:rsidRPr="00BD1168">
        <w:rPr>
          <w:color w:val="auto"/>
        </w:rPr>
        <w:t>, zoals ik deze per brief van 1</w:t>
      </w:r>
      <w:r w:rsidR="00922BF0">
        <w:rPr>
          <w:color w:val="auto"/>
        </w:rPr>
        <w:t>5</w:t>
      </w:r>
      <w:r w:rsidRPr="00BD1168">
        <w:rPr>
          <w:color w:val="auto"/>
        </w:rPr>
        <w:t xml:space="preserve"> september 2025 heb aangekondigd.</w:t>
      </w:r>
      <w:r w:rsidRPr="00BD1168">
        <w:rPr>
          <w:rStyle w:val="Voetnootmarkering"/>
          <w:color w:val="auto"/>
        </w:rPr>
        <w:footnoteReference w:id="1"/>
      </w:r>
      <w:r w:rsidRPr="00BD1168">
        <w:rPr>
          <w:color w:val="auto"/>
        </w:rPr>
        <w:t xml:space="preserve"> Hieronder geef ik per gestelde vraag mijn antwoord.</w:t>
      </w:r>
      <w:r w:rsidR="000A02FD">
        <w:rPr>
          <w:rStyle w:val="Voetnootmarkering"/>
          <w:b/>
          <w:bCs/>
        </w:rPr>
        <w:footnoteReference w:id="2"/>
      </w:r>
      <w:r w:rsidRPr="00BD1168">
        <w:rPr>
          <w:color w:val="auto"/>
        </w:rPr>
        <w:t xml:space="preserve"> </w:t>
      </w:r>
    </w:p>
    <w:p w:rsidRPr="00BD1168" w:rsidR="001D6F6A" w:rsidP="00366298" w:rsidRDefault="001D6F6A" w14:paraId="483F7A4E" w14:textId="77777777">
      <w:pPr>
        <w:rPr>
          <w:color w:val="auto"/>
        </w:rPr>
      </w:pPr>
    </w:p>
    <w:p w:rsidR="001D6F6A" w:rsidP="00366298" w:rsidRDefault="00E8711A" w14:paraId="7F00B8C1" w14:textId="454A0841">
      <w:bookmarkStart w:name="_Hlk216163583" w:id="0"/>
      <w:r>
        <w:rPr>
          <w:b/>
          <w:bCs/>
        </w:rPr>
        <w:t>Vraag</w:t>
      </w:r>
      <w:r w:rsidR="000A00E6">
        <w:rPr>
          <w:b/>
          <w:bCs/>
        </w:rPr>
        <w:t xml:space="preserve"> 1</w:t>
      </w:r>
      <w:r>
        <w:rPr>
          <w:b/>
          <w:bCs/>
        </w:rPr>
        <w:br/>
      </w:r>
      <w:r w:rsidRPr="001D6F6A" w:rsidR="001D6F6A">
        <w:t xml:space="preserve">Wanneer kan de Kamer de </w:t>
      </w:r>
      <w:r w:rsidR="00D075B5">
        <w:t>P</w:t>
      </w:r>
      <w:r w:rsidRPr="001D6F6A" w:rsidR="001D6F6A">
        <w:t xml:space="preserve">eriodieke rapportages over de </w:t>
      </w:r>
      <w:proofErr w:type="spellStart"/>
      <w:r w:rsidRPr="001D6F6A" w:rsidR="001D6F6A">
        <w:t>subthema’s</w:t>
      </w:r>
      <w:proofErr w:type="spellEnd"/>
      <w:r w:rsidRPr="001D6F6A" w:rsidR="001D6F6A">
        <w:t xml:space="preserve"> screenen,</w:t>
      </w:r>
      <w:r w:rsidR="001D6F6A">
        <w:t xml:space="preserve"> </w:t>
      </w:r>
      <w:r w:rsidRPr="001D6F6A" w:rsidR="001D6F6A">
        <w:t>jeugdcriminaliteit en aanpak criminaliteitsfenomenen verwachten?</w:t>
      </w:r>
    </w:p>
    <w:p w:rsidR="00FF6259" w:rsidP="00366298" w:rsidRDefault="00FF6259" w14:paraId="6CEF7886" w14:textId="77777777"/>
    <w:p w:rsidRPr="00E8711A" w:rsidR="00E8711A" w:rsidP="00366298" w:rsidRDefault="00E8711A" w14:paraId="062A3477" w14:textId="6114D49B">
      <w:pPr>
        <w:rPr>
          <w:b/>
          <w:bCs/>
        </w:rPr>
      </w:pPr>
      <w:r>
        <w:rPr>
          <w:b/>
          <w:bCs/>
        </w:rPr>
        <w:t>Antwoord</w:t>
      </w:r>
      <w:r w:rsidR="000A00E6">
        <w:rPr>
          <w:b/>
          <w:bCs/>
        </w:rPr>
        <w:t xml:space="preserve"> op vraag 1</w:t>
      </w:r>
    </w:p>
    <w:p w:rsidR="00FF6259" w:rsidP="00366298" w:rsidRDefault="00180C61" w14:paraId="2C34069A" w14:textId="3407C84D">
      <w:r>
        <w:t xml:space="preserve">Elke vier tot zeven jaar wordt een </w:t>
      </w:r>
      <w:r w:rsidR="00D075B5">
        <w:t>P</w:t>
      </w:r>
      <w:r>
        <w:t xml:space="preserve">eriodieke rapportage </w:t>
      </w:r>
      <w:r w:rsidR="00490FDC">
        <w:t>uitgevoerd</w:t>
      </w:r>
      <w:r w:rsidR="00D075B5">
        <w:t>. D</w:t>
      </w:r>
      <w:r>
        <w:t xml:space="preserve">e volgende </w:t>
      </w:r>
      <w:r w:rsidR="00D075B5">
        <w:t>P</w:t>
      </w:r>
      <w:r>
        <w:t xml:space="preserve">eriodieke rapportage staat nog niet gepland, maar zal binnen deze tijdspanne </w:t>
      </w:r>
      <w:r w:rsidR="00490FDC">
        <w:t>worden uitgevoerd</w:t>
      </w:r>
      <w:r>
        <w:t xml:space="preserve">. </w:t>
      </w:r>
    </w:p>
    <w:p w:rsidR="00490FDC" w:rsidP="00366298" w:rsidRDefault="00490FDC" w14:paraId="3E60C72F" w14:textId="77777777"/>
    <w:p w:rsidR="00490FDC" w:rsidP="00366298" w:rsidRDefault="00490FDC" w14:paraId="4BAA4FDC" w14:textId="161486C8">
      <w:r w:rsidRPr="00FF6259">
        <w:t xml:space="preserve">Gezien de ongelijksoortigheid van de </w:t>
      </w:r>
      <w:proofErr w:type="spellStart"/>
      <w:r w:rsidRPr="00FF6259">
        <w:t>subthema’s</w:t>
      </w:r>
      <w:proofErr w:type="spellEnd"/>
      <w:r w:rsidRPr="00FF6259">
        <w:t xml:space="preserve"> </w:t>
      </w:r>
      <w:r>
        <w:t>binnen</w:t>
      </w:r>
      <w:r w:rsidRPr="00FF6259">
        <w:t xml:space="preserve"> het hoofdthema </w:t>
      </w:r>
      <w:r>
        <w:t>‘V</w:t>
      </w:r>
      <w:r w:rsidRPr="00FF6259">
        <w:t>oorkomen van (herhaald) crimineel gedrag</w:t>
      </w:r>
      <w:r>
        <w:t>’</w:t>
      </w:r>
      <w:r w:rsidRPr="00FF6259">
        <w:t xml:space="preserve"> </w:t>
      </w:r>
      <w:r w:rsidR="00D075B5">
        <w:t>is het niet mogelijk</w:t>
      </w:r>
      <w:r>
        <w:t xml:space="preserve"> </w:t>
      </w:r>
      <w:r w:rsidR="00D7112C">
        <w:t xml:space="preserve">noch wenselijk </w:t>
      </w:r>
      <w:r>
        <w:t xml:space="preserve">één beleidstheorie te formuleren voor alle </w:t>
      </w:r>
      <w:proofErr w:type="spellStart"/>
      <w:r>
        <w:t>subthema’s</w:t>
      </w:r>
      <w:proofErr w:type="spellEnd"/>
      <w:r>
        <w:t xml:space="preserve"> gezamenlijk. </w:t>
      </w:r>
      <w:r w:rsidRPr="00C05E68" w:rsidR="00C05E68">
        <w:t xml:space="preserve">Per </w:t>
      </w:r>
      <w:proofErr w:type="spellStart"/>
      <w:r w:rsidRPr="00C05E68" w:rsidR="00C05E68">
        <w:t>subthema</w:t>
      </w:r>
      <w:proofErr w:type="spellEnd"/>
      <w:r w:rsidRPr="00C05E68" w:rsidR="00C05E68">
        <w:t xml:space="preserve"> dient derhalve een beleidstheorie te worden ontwikkeld</w:t>
      </w:r>
      <w:r w:rsidR="00C05E68">
        <w:t xml:space="preserve">. </w:t>
      </w:r>
      <w:r>
        <w:t>Om die reden</w:t>
      </w:r>
      <w:r w:rsidRPr="00FF6259">
        <w:t xml:space="preserve"> </w:t>
      </w:r>
      <w:r w:rsidR="00BD1168">
        <w:t xml:space="preserve">volgen nu twee </w:t>
      </w:r>
      <w:r>
        <w:t>P</w:t>
      </w:r>
      <w:r w:rsidRPr="00FF6259">
        <w:t>eriodieke rapportage</w:t>
      </w:r>
      <w:r w:rsidR="00BD1168">
        <w:t>s</w:t>
      </w:r>
      <w:r w:rsidRPr="00FF6259">
        <w:t xml:space="preserve"> op de </w:t>
      </w:r>
      <w:proofErr w:type="spellStart"/>
      <w:r w:rsidRPr="00FF6259">
        <w:t>subthema’s</w:t>
      </w:r>
      <w:proofErr w:type="spellEnd"/>
      <w:r w:rsidRPr="00FF6259">
        <w:t xml:space="preserve"> waar</w:t>
      </w:r>
      <w:r w:rsidRPr="00FF6259" w:rsidR="00797441">
        <w:t xml:space="preserve">voor </w:t>
      </w:r>
      <w:r w:rsidRPr="00FF6259">
        <w:t>al w</w:t>
      </w:r>
      <w:r>
        <w:t>é</w:t>
      </w:r>
      <w:r w:rsidRPr="00FF6259">
        <w:t xml:space="preserve">l een beleidstheorie en inzichtbehoefte is </w:t>
      </w:r>
      <w:r w:rsidR="00797441">
        <w:t>opgesteld</w:t>
      </w:r>
      <w:r w:rsidR="00BD1168">
        <w:t>: kansspelen en forensische zorg</w:t>
      </w:r>
      <w:r w:rsidRPr="00FF6259">
        <w:t xml:space="preserve">. </w:t>
      </w:r>
      <w:r w:rsidRPr="00D6150F" w:rsidR="00D6150F">
        <w:t xml:space="preserve">Bovendien is er op basis van de Regeling Periodiek </w:t>
      </w:r>
      <w:r w:rsidRPr="00D6150F" w:rsidR="000F3454">
        <w:t>Evaluatieonderzoek</w:t>
      </w:r>
      <w:r w:rsidRPr="00D6150F" w:rsidR="00D6150F">
        <w:t xml:space="preserve"> (RPE) 2022 ruimte om binnen de </w:t>
      </w:r>
      <w:r w:rsidR="001303C0">
        <w:t>(</w:t>
      </w:r>
      <w:proofErr w:type="spellStart"/>
      <w:r w:rsidR="001303C0">
        <w:t>beleids</w:t>
      </w:r>
      <w:proofErr w:type="spellEnd"/>
      <w:r w:rsidR="001303C0">
        <w:t>)</w:t>
      </w:r>
      <w:r w:rsidRPr="00D6150F" w:rsidR="00D6150F">
        <w:t>thema’s onderbouwd keuzes te maken voor wat betreft de focus in de agendering voor de komende periode.</w:t>
      </w:r>
      <w:r w:rsidRPr="00D6150F" w:rsidR="00D6150F">
        <w:rPr>
          <w:vertAlign w:val="superscript"/>
        </w:rPr>
        <w:footnoteReference w:id="3"/>
      </w:r>
      <w:r w:rsidRPr="00D6150F" w:rsidR="00D6150F">
        <w:t xml:space="preserve"> </w:t>
      </w:r>
      <w:r w:rsidRPr="00FF6259">
        <w:t xml:space="preserve">De overige </w:t>
      </w:r>
      <w:proofErr w:type="spellStart"/>
      <w:r w:rsidRPr="00FF6259">
        <w:t>subthema’s</w:t>
      </w:r>
      <w:proofErr w:type="spellEnd"/>
      <w:r w:rsidRPr="00FF6259">
        <w:t xml:space="preserve"> zullen in de volgende </w:t>
      </w:r>
      <w:r>
        <w:t>P</w:t>
      </w:r>
      <w:r w:rsidRPr="00FF6259">
        <w:t>eriodieke rapportage</w:t>
      </w:r>
      <w:r w:rsidR="00BD1168">
        <w:t>(s)</w:t>
      </w:r>
      <w:r w:rsidRPr="00FF6259">
        <w:t xml:space="preserve"> worden meegenomen.</w:t>
      </w:r>
      <w:r>
        <w:t xml:space="preserve"> </w:t>
      </w:r>
      <w:r w:rsidR="00E85CEE">
        <w:t>Voor</w:t>
      </w:r>
      <w:r w:rsidRPr="00FF6259">
        <w:t xml:space="preserve"> deze </w:t>
      </w:r>
      <w:proofErr w:type="spellStart"/>
      <w:r w:rsidRPr="00FF6259">
        <w:t>subthema’s</w:t>
      </w:r>
      <w:proofErr w:type="spellEnd"/>
      <w:r w:rsidRPr="00FF6259">
        <w:t xml:space="preserve"> </w:t>
      </w:r>
      <w:r w:rsidR="00E85CEE">
        <w:t>wordt</w:t>
      </w:r>
      <w:r w:rsidRPr="00FF6259">
        <w:t xml:space="preserve"> </w:t>
      </w:r>
      <w:r w:rsidR="001303C0">
        <w:t xml:space="preserve">op dit moment </w:t>
      </w:r>
      <w:r w:rsidRPr="00FF6259">
        <w:t>een beleidstheorie ontwikkeld.</w:t>
      </w:r>
      <w:r>
        <w:t xml:space="preserve"> </w:t>
      </w:r>
    </w:p>
    <w:p w:rsidR="00FF6259" w:rsidP="00366298" w:rsidRDefault="00FF6259" w14:paraId="3CC6E8D2" w14:textId="77777777"/>
    <w:p w:rsidR="001D6F6A" w:rsidP="00366298" w:rsidRDefault="00E8711A" w14:paraId="571D66CA" w14:textId="1965CB92">
      <w:r w:rsidRPr="00E8711A">
        <w:rPr>
          <w:b/>
          <w:bCs/>
        </w:rPr>
        <w:t>Vraag</w:t>
      </w:r>
      <w:r w:rsidR="000A00E6">
        <w:rPr>
          <w:b/>
          <w:bCs/>
        </w:rPr>
        <w:t xml:space="preserve"> 2</w:t>
      </w:r>
      <w:r>
        <w:br/>
      </w:r>
      <w:r w:rsidRPr="001D6F6A" w:rsidR="001D6F6A">
        <w:t>Kan de minister toelichten of, en zo ja hoe het beleidsthema Voorkomen van (herhaald)</w:t>
      </w:r>
      <w:r w:rsidR="001D6F6A">
        <w:t xml:space="preserve"> </w:t>
      </w:r>
      <w:r w:rsidRPr="001D6F6A" w:rsidR="001D6F6A">
        <w:t xml:space="preserve">crimineel gedrag volledig wordt gecoverd door de </w:t>
      </w:r>
      <w:proofErr w:type="spellStart"/>
      <w:r w:rsidRPr="001D6F6A" w:rsidR="001D6F6A">
        <w:t>subthema’s</w:t>
      </w:r>
      <w:proofErr w:type="spellEnd"/>
      <w:r w:rsidRPr="001D6F6A" w:rsidR="001D6F6A">
        <w:t xml:space="preserve"> forensische zorg, kansspelen,</w:t>
      </w:r>
      <w:r w:rsidR="001D6F6A">
        <w:t xml:space="preserve"> </w:t>
      </w:r>
      <w:r w:rsidRPr="001D6F6A" w:rsidR="001D6F6A">
        <w:t>screenen, jeugdcriminaliteit en aanpak criminaliteitsfenomenen?</w:t>
      </w:r>
    </w:p>
    <w:p w:rsidR="00FF6259" w:rsidP="00366298" w:rsidRDefault="00FF6259" w14:paraId="0B6A105C" w14:textId="77777777"/>
    <w:p w:rsidRPr="00A55CBD" w:rsidR="00A55CBD" w:rsidP="00366298" w:rsidRDefault="00E8711A" w14:paraId="734CBEDF" w14:textId="72CD6E90">
      <w:r>
        <w:rPr>
          <w:b/>
          <w:bCs/>
        </w:rPr>
        <w:t>Antwoord</w:t>
      </w:r>
      <w:r w:rsidR="000A00E6">
        <w:rPr>
          <w:b/>
          <w:bCs/>
        </w:rPr>
        <w:t xml:space="preserve"> op vraag 2</w:t>
      </w:r>
      <w:r>
        <w:br/>
      </w:r>
      <w:r w:rsidR="00FD547F">
        <w:t xml:space="preserve">Uit de artikel 2a </w:t>
      </w:r>
      <w:r w:rsidR="00E63EFA">
        <w:t xml:space="preserve">Regeling </w:t>
      </w:r>
      <w:r w:rsidR="00D075B5">
        <w:t>P</w:t>
      </w:r>
      <w:r w:rsidR="00E63EFA">
        <w:t xml:space="preserve">eriodiek </w:t>
      </w:r>
      <w:r w:rsidR="00D075B5">
        <w:t>E</w:t>
      </w:r>
      <w:r w:rsidR="00E63EFA">
        <w:t>valuatieonderzoek</w:t>
      </w:r>
      <w:r w:rsidR="00490FDC">
        <w:t xml:space="preserve"> (RPE 2022)</w:t>
      </w:r>
      <w:r w:rsidR="00E63EFA">
        <w:t xml:space="preserve"> </w:t>
      </w:r>
      <w:r w:rsidR="00FD547F">
        <w:t>volgt de eis dat</w:t>
      </w:r>
      <w:r w:rsidR="00E63EFA">
        <w:t xml:space="preserve"> “alle belangrijke (</w:t>
      </w:r>
      <w:proofErr w:type="spellStart"/>
      <w:r w:rsidR="00E63EFA">
        <w:t>beleids</w:t>
      </w:r>
      <w:proofErr w:type="spellEnd"/>
      <w:r w:rsidR="00E63EFA">
        <w:t xml:space="preserve">)thema’s zijn vertegenwoordigd in termen van budgettaire en maatschappelijke relevantie”. </w:t>
      </w:r>
      <w:r w:rsidR="00131C8A">
        <w:t>Deze eis houdt niet in dat de thema’s volledig dekkend moeten zijn</w:t>
      </w:r>
      <w:r w:rsidR="007F608F">
        <w:t xml:space="preserve">, hetgeen ook niet het geval is bij het </w:t>
      </w:r>
      <w:r w:rsidRPr="007F608F" w:rsidR="007F608F">
        <w:t>beleidsthema Voorkomen van (herhaald) crimineel gedrag</w:t>
      </w:r>
      <w:r w:rsidR="007F608F">
        <w:t xml:space="preserve">. </w:t>
      </w:r>
    </w:p>
    <w:p w:rsidR="00366298" w:rsidP="00366298" w:rsidRDefault="00366298" w14:paraId="7DAAA1F7" w14:textId="77777777"/>
    <w:p w:rsidRPr="001F11DE" w:rsidR="001D6F6A" w:rsidP="00366298" w:rsidRDefault="009C518E" w14:paraId="66E7D21F" w14:textId="5E690326">
      <w:r>
        <w:t xml:space="preserve">Bij </w:t>
      </w:r>
      <w:r w:rsidR="00A55CBD">
        <w:t xml:space="preserve">de </w:t>
      </w:r>
      <w:proofErr w:type="spellStart"/>
      <w:r w:rsidR="00FD547F">
        <w:t>subthema’s</w:t>
      </w:r>
      <w:proofErr w:type="spellEnd"/>
      <w:r w:rsidRPr="00A55CBD" w:rsidR="00A55CBD">
        <w:t xml:space="preserve"> forensische zorg, kansspelen, screenen, jeugdcriminaliteit en aanpak criminaliteitsfenomenen</w:t>
      </w:r>
      <w:r w:rsidRPr="009C518E">
        <w:t xml:space="preserve"> </w:t>
      </w:r>
      <w:r>
        <w:t>is</w:t>
      </w:r>
      <w:r w:rsidRPr="009C518E">
        <w:t xml:space="preserve"> </w:t>
      </w:r>
      <w:r>
        <w:t>het voorkomen van (herhaald) crimineel gedrag</w:t>
      </w:r>
      <w:r w:rsidRPr="009C518E">
        <w:t xml:space="preserve"> </w:t>
      </w:r>
      <w:r>
        <w:t>een zwaarwegend doel voor beleid</w:t>
      </w:r>
      <w:r w:rsidR="00FD547F">
        <w:t>.</w:t>
      </w:r>
      <w:r w:rsidRPr="007F608F" w:rsidR="007F608F">
        <w:t xml:space="preserve"> </w:t>
      </w:r>
      <w:r w:rsidR="007F608F">
        <w:t>Binnen elk beleidsthema</w:t>
      </w:r>
      <w:r w:rsidR="00083719">
        <w:t xml:space="preserve"> bestaat</w:t>
      </w:r>
      <w:r w:rsidR="007F608F">
        <w:t xml:space="preserve"> </w:t>
      </w:r>
      <w:r w:rsidRPr="00D6150F" w:rsidR="007F608F">
        <w:t>ruimte om onderbouwd keuzes te maken voor wat betreft de focus in de agendering voor de komende periode</w:t>
      </w:r>
      <w:r w:rsidR="007F608F">
        <w:t>.</w:t>
      </w:r>
      <w:bookmarkEnd w:id="0"/>
    </w:p>
    <w:p w:rsidR="001F11DE" w:rsidP="00366298" w:rsidRDefault="001F11DE" w14:paraId="2478B3C0" w14:textId="77777777"/>
    <w:p w:rsidRPr="000A00E6" w:rsidR="000A00E6" w:rsidP="00366298" w:rsidRDefault="000A00E6" w14:paraId="7C5DB287" w14:textId="765250E8">
      <w:pPr>
        <w:rPr>
          <w:b/>
          <w:bCs/>
        </w:rPr>
      </w:pPr>
      <w:r w:rsidRPr="000A00E6">
        <w:rPr>
          <w:b/>
          <w:bCs/>
        </w:rPr>
        <w:t xml:space="preserve">Vraag </w:t>
      </w:r>
      <w:r>
        <w:rPr>
          <w:b/>
          <w:bCs/>
        </w:rPr>
        <w:t>3</w:t>
      </w:r>
    </w:p>
    <w:p w:rsidR="001F11DE" w:rsidP="00366298" w:rsidRDefault="000A00E6" w14:paraId="25071E63" w14:textId="32EDDAF9">
      <w:r w:rsidRPr="000A00E6">
        <w:t>Hoe wordt de beleidstheorie van de oude visie (2011-2025) in kaart gebracht, en hoe wordt deze vergeleken met de onderliggende aannames van de nieuwe</w:t>
      </w:r>
      <w:r>
        <w:t xml:space="preserve"> </w:t>
      </w:r>
      <w:r w:rsidRPr="000A00E6">
        <w:t xml:space="preserve">visie (2025 en verder)? </w:t>
      </w:r>
    </w:p>
    <w:p w:rsidR="00366298" w:rsidP="00366298" w:rsidRDefault="00366298" w14:paraId="17512ACA" w14:textId="77777777">
      <w:pPr>
        <w:rPr>
          <w:b/>
          <w:bCs/>
        </w:rPr>
      </w:pPr>
    </w:p>
    <w:p w:rsidRPr="003147B7" w:rsidR="001F11DE" w:rsidP="00366298" w:rsidRDefault="001F11DE" w14:paraId="3796408E" w14:textId="24EF9C70">
      <w:pPr>
        <w:rPr>
          <w:b/>
          <w:bCs/>
        </w:rPr>
      </w:pPr>
      <w:r>
        <w:rPr>
          <w:b/>
          <w:bCs/>
        </w:rPr>
        <w:t>Vraag 4</w:t>
      </w:r>
    </w:p>
    <w:p w:rsidR="001F11DE" w:rsidP="00366298" w:rsidRDefault="001F11DE" w14:paraId="1A37554A" w14:textId="77777777">
      <w:r w:rsidRPr="000A00E6">
        <w:t xml:space="preserve">In hoeverre wil de periodieke evaluatie de visies vergelijken? </w:t>
      </w:r>
    </w:p>
    <w:p w:rsidR="000A00E6" w:rsidP="00366298" w:rsidRDefault="000A00E6" w14:paraId="53A7F34B" w14:textId="77777777"/>
    <w:p w:rsidRPr="000A00E6" w:rsidR="000A00E6" w:rsidP="00366298" w:rsidRDefault="000A00E6" w14:paraId="26606198" w14:textId="179CD485">
      <w:pPr>
        <w:rPr>
          <w:b/>
          <w:bCs/>
        </w:rPr>
      </w:pPr>
      <w:r w:rsidRPr="000A00E6">
        <w:rPr>
          <w:b/>
          <w:bCs/>
        </w:rPr>
        <w:t>Antwoord op vraag 3</w:t>
      </w:r>
      <w:r w:rsidR="001F11DE">
        <w:rPr>
          <w:b/>
          <w:bCs/>
        </w:rPr>
        <w:t xml:space="preserve"> en 4</w:t>
      </w:r>
    </w:p>
    <w:p w:rsidR="00FD114F" w:rsidP="00366298" w:rsidRDefault="00EC2907" w14:paraId="766FA262" w14:textId="31C6211F">
      <w:r w:rsidRPr="00EC2907">
        <w:t>In de vorige beleidsdoorlichting (2012–2018), waar het kansspelbeleid onderdeel van uitmaakte, is ten aanzien van kansspelen de beleidstheorie van het toen geldende beleid</w:t>
      </w:r>
      <w:r w:rsidR="00FD114F">
        <w:t xml:space="preserve"> uiteengezet</w:t>
      </w:r>
      <w:r>
        <w:t xml:space="preserve">. </w:t>
      </w:r>
      <w:r w:rsidR="003147B7">
        <w:t xml:space="preserve">Op basis van deze beleidstheorie, aangevuld met informatie uit nadien gepubliceerde beleidsdocumenten, kan de beleidstheorie tot februari 2025 worden aangevuld en gereconstrueerd. </w:t>
      </w:r>
    </w:p>
    <w:p w:rsidR="00366298" w:rsidP="00366298" w:rsidRDefault="00366298" w14:paraId="6C2A9205" w14:textId="77777777"/>
    <w:p w:rsidR="000A00E6" w:rsidP="00366298" w:rsidRDefault="003147B7" w14:paraId="1E42EFDB" w14:textId="32F455C1">
      <w:r>
        <w:t>De beleidstheorie voor de periode na februari 2025 volgt uit de brief van 14 februari 2025 aan uw Kamer en is in hoofdlijnen weergegeven in de Harbersbrief.</w:t>
      </w:r>
      <w:r w:rsidR="00366298">
        <w:rPr>
          <w:rStyle w:val="Voetnootmarkering"/>
        </w:rPr>
        <w:footnoteReference w:id="4"/>
      </w:r>
      <w:r>
        <w:t xml:space="preserve"> Deze twee beleidstheorieën </w:t>
      </w:r>
      <w:r w:rsidR="00FD114F">
        <w:t>en de daaronder liggende aannames zullen in de Periodieke rapportage</w:t>
      </w:r>
      <w:r>
        <w:t xml:space="preserve"> naast elkaar worden gelegd</w:t>
      </w:r>
      <w:r w:rsidR="008C159B">
        <w:t>. Het is aan de onderzoekers om daar een vorm voor te vinden.</w:t>
      </w:r>
    </w:p>
    <w:p w:rsidR="003147B7" w:rsidP="00366298" w:rsidRDefault="003147B7" w14:paraId="77978DF2" w14:textId="77777777">
      <w:pPr>
        <w:rPr>
          <w:b/>
          <w:bCs/>
        </w:rPr>
      </w:pPr>
    </w:p>
    <w:p w:rsidRPr="003147B7" w:rsidR="003147B7" w:rsidP="00366298" w:rsidRDefault="003147B7" w14:paraId="06396EFE" w14:textId="55127167">
      <w:pPr>
        <w:rPr>
          <w:b/>
          <w:bCs/>
        </w:rPr>
      </w:pPr>
      <w:r>
        <w:rPr>
          <w:b/>
          <w:bCs/>
        </w:rPr>
        <w:t>Vraag 5</w:t>
      </w:r>
    </w:p>
    <w:p w:rsidR="00922BF0" w:rsidP="00366298" w:rsidRDefault="000A00E6" w14:paraId="266F6AA7" w14:textId="5B66FC10">
      <w:r w:rsidRPr="000A00E6">
        <w:t>Wordt er een expliciete brug gemaakt tussen beide beleidskaders — bijvoorbeeld via een overgangsmatrix van oude naar nieuwe doelstellingen?</w:t>
      </w:r>
    </w:p>
    <w:p w:rsidR="003147B7" w:rsidP="00366298" w:rsidRDefault="003147B7" w14:paraId="06DCCA35" w14:textId="77777777"/>
    <w:p w:rsidRPr="003147B7" w:rsidR="003147B7" w:rsidP="00366298" w:rsidRDefault="003147B7" w14:paraId="1F5A04A1" w14:textId="1A5B5415">
      <w:pPr>
        <w:rPr>
          <w:b/>
          <w:bCs/>
        </w:rPr>
      </w:pPr>
      <w:r w:rsidRPr="003147B7">
        <w:rPr>
          <w:b/>
          <w:bCs/>
        </w:rPr>
        <w:t>Antwoord op vraag 5</w:t>
      </w:r>
    </w:p>
    <w:p w:rsidRPr="00AD614C" w:rsidR="00922BF0" w:rsidP="00366298" w:rsidRDefault="0075597D" w14:paraId="1A357A0B" w14:textId="61DD0070">
      <w:r>
        <w:t xml:space="preserve">Indien </w:t>
      </w:r>
      <w:r w:rsidR="00AD614C">
        <w:t xml:space="preserve">een tabel of matrix bijdraagt aan het inzichtelijk maken van de doelmatigheid en doeltreffendheid van het beleid over de te evalueren periode, zal daar gebruik van worden gemaakt. </w:t>
      </w:r>
    </w:p>
    <w:p w:rsidR="001F11DE" w:rsidP="00366298" w:rsidRDefault="001F11DE" w14:paraId="094A5D4E" w14:textId="77777777"/>
    <w:p w:rsidRPr="00AD614C" w:rsidR="00AD614C" w:rsidP="00366298" w:rsidRDefault="00AD614C" w14:paraId="7C3332C4" w14:textId="63143EF5">
      <w:pPr>
        <w:rPr>
          <w:b/>
          <w:bCs/>
        </w:rPr>
      </w:pPr>
      <w:r>
        <w:rPr>
          <w:b/>
          <w:bCs/>
        </w:rPr>
        <w:t>Vraag 6</w:t>
      </w:r>
    </w:p>
    <w:p w:rsidR="001F11DE" w:rsidP="00366298" w:rsidRDefault="00AD614C" w14:paraId="69729AC5" w14:textId="69F6479D">
      <w:r w:rsidRPr="00AD614C">
        <w:t xml:space="preserve">Op welke wijze wordt omgegaan met het feit dat de beschikbare data en monitoring zich vooral op verslaving richten, terwijl de nieuwe visie gokschade in bredere zin omvat (zoals financiële, sociale en psychische schade)? </w:t>
      </w:r>
    </w:p>
    <w:p w:rsidR="000A4C32" w:rsidP="00366298" w:rsidRDefault="000A4C32" w14:paraId="49C405A0" w14:textId="77777777">
      <w:pPr>
        <w:rPr>
          <w:b/>
          <w:bCs/>
        </w:rPr>
      </w:pPr>
    </w:p>
    <w:p w:rsidR="00201EBF" w:rsidP="00366298" w:rsidRDefault="00201EBF" w14:paraId="5722F443" w14:textId="77777777">
      <w:pPr>
        <w:rPr>
          <w:b/>
          <w:bCs/>
        </w:rPr>
      </w:pPr>
    </w:p>
    <w:p w:rsidR="00201EBF" w:rsidP="00366298" w:rsidRDefault="00201EBF" w14:paraId="1F787FDD" w14:textId="77777777">
      <w:pPr>
        <w:rPr>
          <w:b/>
          <w:bCs/>
        </w:rPr>
      </w:pPr>
    </w:p>
    <w:p w:rsidR="00201EBF" w:rsidP="00366298" w:rsidRDefault="00201EBF" w14:paraId="37E28418" w14:textId="77777777">
      <w:pPr>
        <w:rPr>
          <w:b/>
          <w:bCs/>
        </w:rPr>
      </w:pPr>
    </w:p>
    <w:p w:rsidRPr="009A655E" w:rsidR="001F11DE" w:rsidP="00366298" w:rsidRDefault="001F11DE" w14:paraId="532E8423" w14:textId="3C093F09">
      <w:pPr>
        <w:rPr>
          <w:b/>
          <w:bCs/>
        </w:rPr>
      </w:pPr>
      <w:r>
        <w:rPr>
          <w:b/>
          <w:bCs/>
        </w:rPr>
        <w:t>Vraag 7</w:t>
      </w:r>
    </w:p>
    <w:p w:rsidRPr="00AD614C" w:rsidR="001F11DE" w:rsidP="00366298" w:rsidRDefault="001F11DE" w14:paraId="3A9025A8" w14:textId="77777777">
      <w:r w:rsidRPr="00AD614C">
        <w:t>Hoe wordt transparant gemaakt welke onderdelen van de nieuwe doelstellingen op</w:t>
      </w:r>
      <w:r>
        <w:t xml:space="preserve"> </w:t>
      </w:r>
      <w:r w:rsidRPr="00AD614C">
        <w:t>dit moment niet toetsbaar zijn, en wat dit betekent voor de betrouwbaarheid van de conclusies?</w:t>
      </w:r>
    </w:p>
    <w:p w:rsidR="00AD614C" w:rsidP="00366298" w:rsidRDefault="00AD614C" w14:paraId="20F9D5F4" w14:textId="77777777"/>
    <w:p w:rsidR="00AD614C" w:rsidP="00366298" w:rsidRDefault="00AD614C" w14:paraId="1282E782" w14:textId="042060F5">
      <w:pPr>
        <w:rPr>
          <w:b/>
          <w:bCs/>
        </w:rPr>
      </w:pPr>
      <w:r>
        <w:rPr>
          <w:b/>
          <w:bCs/>
        </w:rPr>
        <w:t>Antwoord op vraag 6</w:t>
      </w:r>
      <w:r w:rsidR="001F11DE">
        <w:rPr>
          <w:b/>
          <w:bCs/>
        </w:rPr>
        <w:t xml:space="preserve"> en 7</w:t>
      </w:r>
    </w:p>
    <w:p w:rsidRPr="009A655E" w:rsidR="009A655E" w:rsidP="00366298" w:rsidRDefault="008C159B" w14:paraId="17F66045" w14:textId="58693655">
      <w:r>
        <w:t>De verwachting is dat op veel onderdelen van het beleid voldoende informatie beschikbaar is om richtinggevende uitspraken over het gevoerde beleid te kunnen doen. Tegelijkertijd</w:t>
      </w:r>
      <w:r w:rsidRPr="00AD614C" w:rsidR="00AD614C">
        <w:t xml:space="preserve"> </w:t>
      </w:r>
      <w:r w:rsidR="00AD614C">
        <w:t xml:space="preserve">zal nog </w:t>
      </w:r>
      <w:r w:rsidRPr="00AD614C" w:rsidR="00AD614C">
        <w:t>niet alle</w:t>
      </w:r>
      <w:r w:rsidR="00AD614C">
        <w:t xml:space="preserve"> </w:t>
      </w:r>
      <w:r w:rsidRPr="00AD614C" w:rsidR="00AD614C">
        <w:t>gewenste informatie voor deze P</w:t>
      </w:r>
      <w:r w:rsidR="00AD614C">
        <w:t xml:space="preserve">eriodieke rapportage </w:t>
      </w:r>
      <w:r w:rsidRPr="00AD614C" w:rsidR="00AD614C">
        <w:t xml:space="preserve">beschikbaar zijn tijdens de uitvoering van het onderzoek. </w:t>
      </w:r>
      <w:r w:rsidR="009A655E">
        <w:t>Zo zijn indicatoren, bijvoorbeeld op het gebied van gokschade, naar verwachting niet tijdig beschikbaar. Daarom is aan de onder</w:t>
      </w:r>
      <w:r w:rsidR="001F11DE">
        <w:t>zoekers</w:t>
      </w:r>
      <w:r w:rsidR="009A655E">
        <w:t xml:space="preserve"> van de Periodieke rapportage verzocht om in beeld te brengen op welke onderdelen nog nadere indicatoren nodig zijn om de doeltreffendheid en doelmatigheid volledig in beeld te kunnen brengen. </w:t>
      </w:r>
    </w:p>
    <w:p w:rsidR="008A1CF3" w:rsidP="00366298" w:rsidRDefault="008A1CF3" w14:paraId="74F7F980" w14:textId="77777777">
      <w:pPr>
        <w:rPr>
          <w:b/>
          <w:bCs/>
        </w:rPr>
      </w:pPr>
    </w:p>
    <w:p w:rsidR="008A1CF3" w:rsidP="00366298" w:rsidRDefault="008A1CF3" w14:paraId="69C749A8" w14:textId="08A22A24">
      <w:pPr>
        <w:rPr>
          <w:b/>
          <w:bCs/>
        </w:rPr>
      </w:pPr>
      <w:r>
        <w:rPr>
          <w:b/>
          <w:bCs/>
        </w:rPr>
        <w:t>Vraag 8</w:t>
      </w:r>
    </w:p>
    <w:p w:rsidR="00DE0D77" w:rsidP="00366298" w:rsidRDefault="008A1CF3" w14:paraId="4768C942" w14:textId="282644FA">
      <w:r w:rsidRPr="008A1CF3">
        <w:t>Worden de oude indicatoren (bijv. kanalisatiegraad, verslavingsprevalentie,</w:t>
      </w:r>
      <w:r>
        <w:t xml:space="preserve"> </w:t>
      </w:r>
      <w:r w:rsidRPr="008A1CF3">
        <w:t>naleving) doorontwikkeld of volledig herzien onder de nieuwe visie?</w:t>
      </w:r>
    </w:p>
    <w:p w:rsidR="00366298" w:rsidP="00366298" w:rsidRDefault="00366298" w14:paraId="42FC70FA" w14:textId="77777777">
      <w:pPr>
        <w:rPr>
          <w:b/>
          <w:bCs/>
        </w:rPr>
      </w:pPr>
    </w:p>
    <w:p w:rsidRPr="008A1CF3" w:rsidR="00DE0D77" w:rsidP="00366298" w:rsidRDefault="00DE0D77" w14:paraId="27BF6F73" w14:textId="3830CB85">
      <w:pPr>
        <w:rPr>
          <w:b/>
          <w:bCs/>
        </w:rPr>
      </w:pPr>
      <w:r>
        <w:rPr>
          <w:b/>
          <w:bCs/>
        </w:rPr>
        <w:t>Vraag 9</w:t>
      </w:r>
    </w:p>
    <w:p w:rsidR="00DE0D77" w:rsidP="00366298" w:rsidRDefault="00DE0D77" w14:paraId="7623526F" w14:textId="77777777">
      <w:r w:rsidRPr="008A1CF3">
        <w:t xml:space="preserve">Indien herzien: op welke wijze wordt de trendmatige ontwikkeling over de jaren nog inzichtelijk gemaakt? </w:t>
      </w:r>
    </w:p>
    <w:p w:rsidR="008A1CF3" w:rsidP="00366298" w:rsidRDefault="008A1CF3" w14:paraId="232836D6" w14:textId="77777777"/>
    <w:p w:rsidRPr="008A1CF3" w:rsidR="008A1CF3" w:rsidP="00366298" w:rsidRDefault="008A1CF3" w14:paraId="38319D09" w14:textId="46B71B61">
      <w:pPr>
        <w:rPr>
          <w:b/>
          <w:bCs/>
        </w:rPr>
      </w:pPr>
      <w:r>
        <w:rPr>
          <w:b/>
          <w:bCs/>
        </w:rPr>
        <w:t>Antwoord op vraag 8</w:t>
      </w:r>
      <w:r w:rsidR="00DE0D77">
        <w:rPr>
          <w:b/>
          <w:bCs/>
        </w:rPr>
        <w:t xml:space="preserve"> en 9</w:t>
      </w:r>
    </w:p>
    <w:p w:rsidRPr="00DE0D77" w:rsidR="00DE0D77" w:rsidP="00366298" w:rsidRDefault="00DE0D77" w14:paraId="693E96E6" w14:textId="273A91E9">
      <w:r>
        <w:t xml:space="preserve">Zoals is aangegeven in de visiebrief kansspelen van 14 februari 2025 vraagt de nieuwe visie nog om </w:t>
      </w:r>
      <w:r w:rsidRPr="00401157">
        <w:t>verdere operationalisering in beleid naar concrete subdoelstellingen, zoals op kansspelgerelateerde schade, kansspelverslaving en het tegengaan van illegaal aanbod en de wijze waarop deze subdoelstellingen kunnen worden bereikt.</w:t>
      </w:r>
      <w:r>
        <w:rPr>
          <w:rStyle w:val="Voetnootmarkering"/>
        </w:rPr>
        <w:footnoteReference w:id="5"/>
      </w:r>
      <w:r w:rsidRPr="00401157">
        <w:t xml:space="preserve"> Ook is het van belang om indicatoren op te stellen en een nulmeting te doen om vervolgens de effecten van de beleidswijzigingen en de realisatie van de doelstellingen te kunnen meten. </w:t>
      </w:r>
      <w:r w:rsidR="008A1CF3">
        <w:t xml:space="preserve">Indicatoren, zoals de kanalisatiegraad en </w:t>
      </w:r>
      <w:r w:rsidR="00CD2F63">
        <w:t>cijfers uit de verslavingszorg</w:t>
      </w:r>
      <w:r w:rsidR="008A1CF3">
        <w:t xml:space="preserve">, </w:t>
      </w:r>
      <w:r w:rsidR="00CD2F63">
        <w:t>blijven</w:t>
      </w:r>
      <w:r w:rsidR="008A1CF3">
        <w:t xml:space="preserve"> relevant om de ontwikkelingen binnen het kansspelbeleid te meten. Daarnaast zijn aanvullende indicatoren nodig om bijvoorbeeld gokschade meetbaar te maken. Dit </w:t>
      </w:r>
      <w:r w:rsidRPr="00DE0D77">
        <w:t>wordt momenteel ontwikkeld door het Expertisecentrum gokken en is naar verwachting eind 2026 gereed. Daarna worden tijdgebonden doelen gesteld met betrekking tot de daling van gokschade. In de tussentijd wordt gekeken naar, en gestuurd op de indicatoren die middels verschillende monitoringsrapportages worden gemeten, zoals het aantal en percentage laag-, gemiddeld en hoog-risicospelers.</w:t>
      </w:r>
      <w:r>
        <w:t xml:space="preserve"> </w:t>
      </w:r>
    </w:p>
    <w:p w:rsidR="00DE0D77" w:rsidP="00366298" w:rsidRDefault="00DE0D77" w14:paraId="5BCD18F1" w14:textId="77777777"/>
    <w:p w:rsidR="008A1CF3" w:rsidP="00366298" w:rsidRDefault="008A1CF3" w14:paraId="368AE131" w14:textId="77777777">
      <w:pPr>
        <w:rPr>
          <w:b/>
          <w:bCs/>
        </w:rPr>
      </w:pPr>
      <w:r>
        <w:rPr>
          <w:b/>
          <w:bCs/>
        </w:rPr>
        <w:t>Vraag 10</w:t>
      </w:r>
    </w:p>
    <w:p w:rsidRPr="008A1CF3" w:rsidR="009A655E" w:rsidP="00366298" w:rsidRDefault="008A1CF3" w14:paraId="2F6D2668" w14:textId="4027162F">
      <w:pPr>
        <w:rPr>
          <w:b/>
          <w:bCs/>
        </w:rPr>
      </w:pPr>
      <w:r w:rsidRPr="008A1CF3">
        <w:t>Welke criteria worden gebruikt om te bepalen of een indicator uit de oude visie behouden blijft, aangepast wordt, of vervalt?</w:t>
      </w:r>
    </w:p>
    <w:p w:rsidR="009A655E" w:rsidP="00366298" w:rsidRDefault="009A655E" w14:paraId="5521B78F" w14:textId="77777777">
      <w:pPr>
        <w:rPr>
          <w:b/>
          <w:bCs/>
        </w:rPr>
      </w:pPr>
    </w:p>
    <w:p w:rsidR="008A1CF3" w:rsidP="00366298" w:rsidRDefault="008A1CF3" w14:paraId="32D05C40" w14:textId="0057AE11">
      <w:pPr>
        <w:rPr>
          <w:b/>
          <w:bCs/>
        </w:rPr>
      </w:pPr>
      <w:r>
        <w:rPr>
          <w:b/>
          <w:bCs/>
        </w:rPr>
        <w:t>Antwoord op vraag 10</w:t>
      </w:r>
    </w:p>
    <w:p w:rsidRPr="00665BA2" w:rsidR="009A655E" w:rsidP="00366298" w:rsidRDefault="00DE0D77" w14:paraId="04F9A498" w14:textId="40152CB9">
      <w:r>
        <w:t xml:space="preserve">Het criterium voor indicatoren is dat ze een basis bieden om de doelen van het kansspelbeleid te meten en </w:t>
      </w:r>
      <w:r w:rsidR="00665BA2">
        <w:t>uitspraken kunnen worden gedaan over de bescherming van burgers tegen kansspelgerelateerde schade, het tegengaan van kansspelgerelateerde criminaliteit en het verhinderen van deelname aan illegaal kansspelen en bestrijding van illegaal aanbod</w:t>
      </w:r>
      <w:r w:rsidR="008C159B">
        <w:t>.</w:t>
      </w:r>
      <w:r w:rsidR="00665BA2">
        <w:t xml:space="preserve"> </w:t>
      </w:r>
    </w:p>
    <w:p w:rsidRPr="00665BA2" w:rsidR="00665BA2" w:rsidP="00366298" w:rsidRDefault="00665BA2" w14:paraId="29757A5C" w14:textId="4AF76ABF">
      <w:pPr>
        <w:rPr>
          <w:b/>
          <w:bCs/>
        </w:rPr>
      </w:pPr>
      <w:r>
        <w:rPr>
          <w:b/>
          <w:bCs/>
        </w:rPr>
        <w:t>Vraag 11</w:t>
      </w:r>
    </w:p>
    <w:p w:rsidR="00665BA2" w:rsidP="00366298" w:rsidRDefault="00665BA2" w14:paraId="3D168C71" w14:textId="19DDD8DE">
      <w:r w:rsidRPr="00665BA2">
        <w:t xml:space="preserve">Waarom is deze periodieke rapportage niet eerder uitgevoerd, zodat de bevindingen uit de evaluatie nog gebruikt konden worden voor het opstellen van het nieuwe beleid? </w:t>
      </w:r>
    </w:p>
    <w:p w:rsidR="00665BA2" w:rsidP="00366298" w:rsidRDefault="00665BA2" w14:paraId="0E4C6104" w14:textId="77777777"/>
    <w:p w:rsidRPr="00665BA2" w:rsidR="00665BA2" w:rsidP="00366298" w:rsidRDefault="00665BA2" w14:paraId="63A60F5B" w14:textId="6CF72882">
      <w:pPr>
        <w:rPr>
          <w:b/>
          <w:bCs/>
        </w:rPr>
      </w:pPr>
      <w:r>
        <w:rPr>
          <w:b/>
          <w:bCs/>
        </w:rPr>
        <w:t>Antwoord op vraag 11</w:t>
      </w:r>
    </w:p>
    <w:p w:rsidR="00665BA2" w:rsidP="00366298" w:rsidRDefault="000A4C32" w14:paraId="6E4B66F1" w14:textId="49485191">
      <w:r>
        <w:t>D</w:t>
      </w:r>
      <w:r w:rsidR="00665BA2">
        <w:t xml:space="preserve">e inwerkingtreding van de Wet kansspelen op afstand in april 2021 </w:t>
      </w:r>
      <w:r>
        <w:t xml:space="preserve">was </w:t>
      </w:r>
      <w:r w:rsidR="00665BA2">
        <w:t>een belangrijk element van de beoogde modernisering van het kansspelbeleid in de visie uit 2011</w:t>
      </w:r>
      <w:r>
        <w:t>. I</w:t>
      </w:r>
      <w:r w:rsidR="00665BA2">
        <w:t xml:space="preserve">n de vorige beleidsdoorlichting </w:t>
      </w:r>
      <w:r>
        <w:t xml:space="preserve">was </w:t>
      </w:r>
      <w:r w:rsidR="00665BA2">
        <w:t>juist deze belangrijke wijziging</w:t>
      </w:r>
      <w:r>
        <w:t xml:space="preserve"> nog niet doorgevoerd</w:t>
      </w:r>
      <w:r w:rsidR="00665BA2">
        <w:t xml:space="preserve">. </w:t>
      </w:r>
      <w:r w:rsidR="00BA5438">
        <w:t>Voor het kunnen opstellen van een Periodieke rapportage was het van belang dat de evaluatie van de Wet kansspelen op afstand was afgerond.</w:t>
      </w:r>
    </w:p>
    <w:p w:rsidR="00665BA2" w:rsidP="00366298" w:rsidRDefault="00665BA2" w14:paraId="2721405E" w14:textId="77777777"/>
    <w:p w:rsidRPr="00665BA2" w:rsidR="00665BA2" w:rsidP="00366298" w:rsidRDefault="00665BA2" w14:paraId="4CD8CF5B" w14:textId="1BBA6364">
      <w:pPr>
        <w:rPr>
          <w:b/>
          <w:bCs/>
        </w:rPr>
      </w:pPr>
      <w:r w:rsidRPr="00665BA2">
        <w:rPr>
          <w:b/>
          <w:bCs/>
        </w:rPr>
        <w:t>Vraag 12</w:t>
      </w:r>
    </w:p>
    <w:p w:rsidRPr="00665BA2" w:rsidR="00665BA2" w:rsidP="00366298" w:rsidRDefault="00665BA2" w14:paraId="4302E7A9" w14:textId="58147951">
      <w:r w:rsidRPr="00665BA2">
        <w:t xml:space="preserve">In hoeverre is deze periodieke evaluatie nog zinvol, aangezien er al een evaluatie van de wet KOA is, op basis waarvan het hele beleid sinds februari 2025 flink op de schop gegaan is? Waarom voor de wetswijziging n.a.v. de evaluatie van de Wet </w:t>
      </w:r>
      <w:proofErr w:type="spellStart"/>
      <w:r w:rsidRPr="00665BA2">
        <w:t>Koa</w:t>
      </w:r>
      <w:proofErr w:type="spellEnd"/>
      <w:r w:rsidRPr="00665BA2">
        <w:t xml:space="preserve"> niet eerst deze periodieke evaluatie afgewacht?</w:t>
      </w:r>
    </w:p>
    <w:p w:rsidR="00665BA2" w:rsidP="00366298" w:rsidRDefault="00665BA2" w14:paraId="3B553FE9" w14:textId="77777777">
      <w:pPr>
        <w:rPr>
          <w:b/>
          <w:bCs/>
        </w:rPr>
      </w:pPr>
    </w:p>
    <w:p w:rsidR="00665BA2" w:rsidP="00366298" w:rsidRDefault="00665BA2" w14:paraId="1AAF5E74" w14:textId="5B7AC11C">
      <w:pPr>
        <w:rPr>
          <w:b/>
          <w:bCs/>
        </w:rPr>
      </w:pPr>
      <w:r>
        <w:rPr>
          <w:b/>
          <w:bCs/>
        </w:rPr>
        <w:t>Antwoord op vraag 12</w:t>
      </w:r>
    </w:p>
    <w:p w:rsidRPr="00665BA2" w:rsidR="00665BA2" w:rsidP="00366298" w:rsidRDefault="00F64FCE" w14:paraId="6B01E877" w14:textId="6C2A7298">
      <w:r>
        <w:t xml:space="preserve">De Periodieke rapportage betreft meer dan alleen kansspelen op afstand en het is voor andere onderdelen van het kansspelbeleid nog zeer relevant om terug te kijken. </w:t>
      </w:r>
      <w:r w:rsidR="00914815">
        <w:t>Vanaf e</w:t>
      </w:r>
      <w:r w:rsidR="00665BA2">
        <w:t xml:space="preserve">ind 2024 </w:t>
      </w:r>
      <w:r w:rsidR="00914815">
        <w:t xml:space="preserve">waren op basis van uitgevoerde onderzoeken en rapportages </w:t>
      </w:r>
      <w:r w:rsidR="00665BA2">
        <w:t xml:space="preserve">voldoende gegevens beschikbaar over de ontwikkelingen in het kansspelbeleid om tot een nieuwe visie en nieuwe doelstellingen van het beleid te komen. </w:t>
      </w:r>
      <w:r w:rsidR="008C159B">
        <w:t xml:space="preserve">Deze herijking was voorts op dat moment noodzakelijk omdat voor aanpassingen van kansspelen op afstand ook aanpassingen van de uitgangspunten van de Wet op de kansspelen vereist zijn. Gezien de urgentie van aanscherping van wet- en regelgeving op het gebied van kansspelen op afstand is besloten de Periodieke rapportage niet af te wachten. </w:t>
      </w:r>
    </w:p>
    <w:p w:rsidR="00737099" w:rsidP="00366298" w:rsidRDefault="00737099" w14:paraId="3727C9A8" w14:textId="77777777">
      <w:pPr>
        <w:rPr>
          <w:i/>
          <w:iCs/>
        </w:rPr>
      </w:pPr>
    </w:p>
    <w:p w:rsidR="00737099" w:rsidP="00366298" w:rsidRDefault="00E8711A" w14:paraId="5D098F12" w14:textId="06C10279">
      <w:pPr>
        <w:rPr>
          <w:b/>
          <w:bCs/>
        </w:rPr>
      </w:pPr>
      <w:r w:rsidRPr="00180C61">
        <w:rPr>
          <w:b/>
          <w:bCs/>
        </w:rPr>
        <w:t>Vraag</w:t>
      </w:r>
      <w:r w:rsidR="00737099">
        <w:rPr>
          <w:b/>
          <w:bCs/>
        </w:rPr>
        <w:t xml:space="preserve"> 1</w:t>
      </w:r>
      <w:r w:rsidR="008C159B">
        <w:rPr>
          <w:b/>
          <w:bCs/>
        </w:rPr>
        <w:t>3</w:t>
      </w:r>
    </w:p>
    <w:p w:rsidR="00737099" w:rsidP="00366298" w:rsidRDefault="00737099" w14:paraId="7F6AE231" w14:textId="65DFDDB5">
      <w:r w:rsidRPr="00737099">
        <w:t xml:space="preserve">Kan de staatssecretaris meer informatie geven over de methode die gehanteerd wordt bij het onderzoek? </w:t>
      </w:r>
    </w:p>
    <w:p w:rsidR="000A4C32" w:rsidP="00366298" w:rsidRDefault="000A4C32" w14:paraId="7EEBC11D" w14:textId="77777777">
      <w:pPr>
        <w:rPr>
          <w:b/>
          <w:bCs/>
        </w:rPr>
      </w:pPr>
    </w:p>
    <w:p w:rsidRPr="00737099" w:rsidR="00737099" w:rsidP="00366298" w:rsidRDefault="00737099" w14:paraId="55B223D8" w14:textId="27C6565C">
      <w:pPr>
        <w:rPr>
          <w:b/>
          <w:bCs/>
        </w:rPr>
      </w:pPr>
      <w:r>
        <w:rPr>
          <w:b/>
          <w:bCs/>
        </w:rPr>
        <w:t>Vraag 1</w:t>
      </w:r>
      <w:r w:rsidR="008C159B">
        <w:rPr>
          <w:b/>
          <w:bCs/>
        </w:rPr>
        <w:t>4</w:t>
      </w:r>
    </w:p>
    <w:p w:rsidR="00737099" w:rsidP="00366298" w:rsidRDefault="00737099" w14:paraId="3BA8AF15" w14:textId="04F01EC1">
      <w:r w:rsidRPr="00737099">
        <w:t xml:space="preserve">Welke analysemethoden worden gebruikt om de bijdrage van beleid aan resultaten te schatten? </w:t>
      </w:r>
    </w:p>
    <w:p w:rsidR="00737099" w:rsidP="00366298" w:rsidRDefault="00737099" w14:paraId="2F53317C" w14:textId="77777777"/>
    <w:p w:rsidRPr="00737099" w:rsidR="00737099" w:rsidP="00366298" w:rsidRDefault="00737099" w14:paraId="3DE5214E" w14:textId="45B74288">
      <w:pPr>
        <w:rPr>
          <w:b/>
          <w:bCs/>
        </w:rPr>
      </w:pPr>
      <w:r w:rsidRPr="00737099">
        <w:rPr>
          <w:b/>
          <w:bCs/>
        </w:rPr>
        <w:t xml:space="preserve">Antwoord op vraag </w:t>
      </w:r>
      <w:r w:rsidR="00A00F48">
        <w:rPr>
          <w:b/>
          <w:bCs/>
        </w:rPr>
        <w:t>1</w:t>
      </w:r>
      <w:r w:rsidR="008C159B">
        <w:rPr>
          <w:b/>
          <w:bCs/>
        </w:rPr>
        <w:t>3</w:t>
      </w:r>
      <w:r w:rsidR="00A00F48">
        <w:rPr>
          <w:b/>
          <w:bCs/>
        </w:rPr>
        <w:t xml:space="preserve"> en </w:t>
      </w:r>
      <w:r w:rsidRPr="00737099">
        <w:rPr>
          <w:b/>
          <w:bCs/>
        </w:rPr>
        <w:t>1</w:t>
      </w:r>
      <w:r w:rsidR="008C159B">
        <w:rPr>
          <w:b/>
          <w:bCs/>
        </w:rPr>
        <w:t>4</w:t>
      </w:r>
    </w:p>
    <w:p w:rsidR="00A00F48" w:rsidP="00366298" w:rsidRDefault="00A00F48" w14:paraId="42C20176" w14:textId="77777777">
      <w:r>
        <w:t xml:space="preserve">De Periodieke rapportage is een syntheseonderzoek naar de (voorwaarden voor) doelmatigheid en doeltreffendheid van beleid. Dit houdt in dat de Periodieke rapportage een synthese geeft van eerder uitgevoerde evaluaties onder het SEA-thema, en verder bouwt op deze eerdere inzichten. Deze onderzoekmethode is </w:t>
      </w:r>
      <w:proofErr w:type="spellStart"/>
      <w:r>
        <w:t>Rijksbreed</w:t>
      </w:r>
      <w:proofErr w:type="spellEnd"/>
      <w:r>
        <w:t xml:space="preserve"> bepaald, en volgt uit de Handreiking Periodieke rapportage.</w:t>
      </w:r>
      <w:r>
        <w:rPr>
          <w:rStyle w:val="Voetnootmarkering"/>
        </w:rPr>
        <w:footnoteReference w:id="6"/>
      </w:r>
      <w:r>
        <w:t xml:space="preserve"> </w:t>
      </w:r>
    </w:p>
    <w:p w:rsidR="00A00F48" w:rsidP="00366298" w:rsidRDefault="00A00F48" w14:paraId="27BEDCCB" w14:textId="77777777"/>
    <w:p w:rsidR="00A00F48" w:rsidP="00366298" w:rsidRDefault="00A00F48" w14:paraId="602911D0" w14:textId="7F6EB149">
      <w:r>
        <w:t>De h</w:t>
      </w:r>
      <w:r w:rsidRPr="00E85CEE">
        <w:t xml:space="preserve">andreiking Periodieke rapportage </w:t>
      </w:r>
      <w:r>
        <w:t>bepaalt</w:t>
      </w:r>
      <w:r w:rsidRPr="00E85CEE">
        <w:t xml:space="preserve"> </w:t>
      </w:r>
      <w:r>
        <w:t xml:space="preserve">ook </w:t>
      </w:r>
      <w:r w:rsidRPr="00E85CEE">
        <w:t xml:space="preserve">dat </w:t>
      </w:r>
      <w:r>
        <w:t xml:space="preserve">er </w:t>
      </w:r>
      <w:r w:rsidRPr="00E85CEE">
        <w:t xml:space="preserve">naast </w:t>
      </w:r>
      <w:r>
        <w:t xml:space="preserve">het </w:t>
      </w:r>
      <w:r w:rsidRPr="00E85CEE">
        <w:t>syntheseonderzoe</w:t>
      </w:r>
      <w:r>
        <w:t>k ruimte is voor aanvullend onderzoek, bijvoorbeeld om</w:t>
      </w:r>
      <w:r w:rsidRPr="00AC2026">
        <w:t xml:space="preserve"> </w:t>
      </w:r>
      <w:r>
        <w:t xml:space="preserve">eventuele </w:t>
      </w:r>
      <w:r w:rsidRPr="00AC2026">
        <w:t>nog ontbrekende inzichten</w:t>
      </w:r>
      <w:r>
        <w:t xml:space="preserve"> te adresseren. </w:t>
      </w:r>
      <w:r w:rsidR="00DE0D77">
        <w:t>De mogelijke noodzaak</w:t>
      </w:r>
      <w:r>
        <w:t xml:space="preserve"> voor aanvullend onderzoek</w:t>
      </w:r>
      <w:r w:rsidR="00DE0D77">
        <w:t>, bijvoorbeeld door interviews,</w:t>
      </w:r>
      <w:r>
        <w:t xml:space="preserve"> zal in het plan van aanpak van het onderzoeksbureau dat de Periodieke rapportage gaat uitvoeren, in overleg met de begeleidingscommissie, nader worden bepaald </w:t>
      </w:r>
    </w:p>
    <w:p w:rsidR="00737099" w:rsidP="00366298" w:rsidRDefault="00737099" w14:paraId="40B28849" w14:textId="77777777"/>
    <w:p w:rsidRPr="00A00F48" w:rsidR="00737099" w:rsidP="00366298" w:rsidRDefault="00A00F48" w14:paraId="51170C73" w14:textId="2E4AA3BF">
      <w:pPr>
        <w:rPr>
          <w:b/>
          <w:bCs/>
        </w:rPr>
      </w:pPr>
      <w:r>
        <w:rPr>
          <w:b/>
          <w:bCs/>
        </w:rPr>
        <w:t>Vraag 1</w:t>
      </w:r>
      <w:r w:rsidR="008C159B">
        <w:rPr>
          <w:b/>
          <w:bCs/>
        </w:rPr>
        <w:t>5</w:t>
      </w:r>
    </w:p>
    <w:p w:rsidR="00737099" w:rsidP="00366298" w:rsidRDefault="00737099" w14:paraId="51518E92" w14:textId="3A999981">
      <w:r w:rsidRPr="00737099">
        <w:t xml:space="preserve">Worden kwantitatieve indicatoren vooraf vastgelegd en zo ja, welke? </w:t>
      </w:r>
    </w:p>
    <w:p w:rsidR="000A4C32" w:rsidP="00366298" w:rsidRDefault="000A4C32" w14:paraId="36546E76" w14:textId="77777777">
      <w:pPr>
        <w:rPr>
          <w:b/>
          <w:bCs/>
        </w:rPr>
      </w:pPr>
    </w:p>
    <w:p w:rsidR="00A00F48" w:rsidP="00366298" w:rsidRDefault="00A00F48" w14:paraId="1D1A637F" w14:textId="355C707E">
      <w:pPr>
        <w:rPr>
          <w:b/>
          <w:bCs/>
        </w:rPr>
      </w:pPr>
      <w:r w:rsidRPr="00A00F48">
        <w:rPr>
          <w:b/>
          <w:bCs/>
        </w:rPr>
        <w:t>Antwoord op vraag 1</w:t>
      </w:r>
      <w:r w:rsidR="008C159B">
        <w:rPr>
          <w:b/>
          <w:bCs/>
        </w:rPr>
        <w:t>5</w:t>
      </w:r>
    </w:p>
    <w:p w:rsidR="00A00F48" w:rsidP="00366298" w:rsidRDefault="00A00F48" w14:paraId="4BF98FA2" w14:textId="10D65597">
      <w:r>
        <w:t>Het vaststellen op basis van welke indicatoren de doeltreffendheid en doelmatigheid van het beleid worden beoordeeld, maakt onderdeel uit van de Periodieke rapportage</w:t>
      </w:r>
      <w:r w:rsidR="00FC3E90">
        <w:t xml:space="preserve"> en zal door de onderzoekers in overleg met de begeleidingscommissie nader worden bepaald.</w:t>
      </w:r>
    </w:p>
    <w:p w:rsidR="00A00F48" w:rsidP="00366298" w:rsidRDefault="00A00F48" w14:paraId="11020156" w14:textId="77777777"/>
    <w:p w:rsidRPr="00A00F48" w:rsidR="00A00F48" w:rsidP="00366298" w:rsidRDefault="00A00F48" w14:paraId="532D3558" w14:textId="373DDAD1">
      <w:pPr>
        <w:rPr>
          <w:b/>
          <w:bCs/>
        </w:rPr>
      </w:pPr>
      <w:r w:rsidRPr="00A00F48">
        <w:rPr>
          <w:b/>
          <w:bCs/>
        </w:rPr>
        <w:t>Vraag 1</w:t>
      </w:r>
      <w:r w:rsidR="008C159B">
        <w:rPr>
          <w:b/>
          <w:bCs/>
        </w:rPr>
        <w:t>6</w:t>
      </w:r>
    </w:p>
    <w:p w:rsidR="00737099" w:rsidP="00366298" w:rsidRDefault="00737099" w14:paraId="213DA2C8" w14:textId="6A1B3694">
      <w:r w:rsidRPr="00737099">
        <w:t xml:space="preserve">Hoe wordt de betrouwbaarheid van bestaande data beoordeeld, zeker waar het illegaal aanbod of gokschade betreft? </w:t>
      </w:r>
    </w:p>
    <w:p w:rsidR="00A00F48" w:rsidP="00366298" w:rsidRDefault="00A00F48" w14:paraId="5BE088EF" w14:textId="77777777"/>
    <w:p w:rsidRPr="00A00F48" w:rsidR="00A00F48" w:rsidP="00366298" w:rsidRDefault="00A00F48" w14:paraId="16B41F0F" w14:textId="35AD15CF">
      <w:pPr>
        <w:rPr>
          <w:b/>
          <w:bCs/>
        </w:rPr>
      </w:pPr>
      <w:r>
        <w:rPr>
          <w:b/>
          <w:bCs/>
        </w:rPr>
        <w:t>Antwoord op vraag 1</w:t>
      </w:r>
      <w:r w:rsidR="008C159B">
        <w:rPr>
          <w:b/>
          <w:bCs/>
        </w:rPr>
        <w:t>6</w:t>
      </w:r>
    </w:p>
    <w:p w:rsidR="00A00F48" w:rsidP="00366298" w:rsidRDefault="00A00F48" w14:paraId="192C9C00" w14:textId="6F85C9D5">
      <w:r>
        <w:t xml:space="preserve">De Periodieke rapportage betreft een syntheseonderzoek op basis van reeds opgeleverde onderzoeken en rapportages op basis van de SEA. In de betreffende onderzoeken is </w:t>
      </w:r>
      <w:r w:rsidR="00FC3E90">
        <w:t xml:space="preserve">door </w:t>
      </w:r>
      <w:r>
        <w:t xml:space="preserve">de onderzoekers stilgestaan bij de betrouwbaarheid en compleetheid van de data. </w:t>
      </w:r>
    </w:p>
    <w:p w:rsidR="00A00F48" w:rsidP="00366298" w:rsidRDefault="00A00F48" w14:paraId="642CF0CF" w14:textId="77777777"/>
    <w:p w:rsidRPr="00A00F48" w:rsidR="00A00F48" w:rsidP="00366298" w:rsidRDefault="00A00F48" w14:paraId="5544CB53" w14:textId="169884A2">
      <w:pPr>
        <w:rPr>
          <w:b/>
          <w:bCs/>
        </w:rPr>
      </w:pPr>
      <w:r>
        <w:rPr>
          <w:b/>
          <w:bCs/>
        </w:rPr>
        <w:t>Vraag 1</w:t>
      </w:r>
      <w:r w:rsidR="008C159B">
        <w:rPr>
          <w:b/>
          <w:bCs/>
        </w:rPr>
        <w:t>7</w:t>
      </w:r>
    </w:p>
    <w:p w:rsidR="00737099" w:rsidP="00366298" w:rsidRDefault="00737099" w14:paraId="482F6B7B" w14:textId="0298DC36">
      <w:r w:rsidRPr="00737099">
        <w:t xml:space="preserve">Worden belanghebbenden (bijv. toezichthouders, verslavingszorg, marktpartijen) betrokken in de dataverzameling of interpretatie, en zo ja welke? </w:t>
      </w:r>
    </w:p>
    <w:p w:rsidR="00A00F48" w:rsidP="00366298" w:rsidRDefault="00A00F48" w14:paraId="0F8FECA3" w14:textId="77777777"/>
    <w:p w:rsidR="00A00F48" w:rsidP="00366298" w:rsidRDefault="00A00F48" w14:paraId="0B187C04" w14:textId="4A7E3FAB">
      <w:pPr>
        <w:rPr>
          <w:b/>
          <w:bCs/>
        </w:rPr>
      </w:pPr>
      <w:r>
        <w:rPr>
          <w:b/>
          <w:bCs/>
        </w:rPr>
        <w:t>A</w:t>
      </w:r>
      <w:r w:rsidRPr="00A00F48">
        <w:rPr>
          <w:b/>
          <w:bCs/>
        </w:rPr>
        <w:t>ntwoord op vraag 1</w:t>
      </w:r>
      <w:r w:rsidR="008C159B">
        <w:rPr>
          <w:b/>
          <w:bCs/>
        </w:rPr>
        <w:t>7</w:t>
      </w:r>
      <w:r w:rsidRPr="00A00F48">
        <w:rPr>
          <w:b/>
          <w:bCs/>
        </w:rPr>
        <w:t xml:space="preserve"> </w:t>
      </w:r>
    </w:p>
    <w:p w:rsidR="00A00F48" w:rsidP="00366298" w:rsidRDefault="00FC44F0" w14:paraId="2BC9380D" w14:textId="2CD643A5">
      <w:r w:rsidRPr="00FC44F0">
        <w:t>In beginsel betreft de Periodieke rapportage een synthese onderzoek</w:t>
      </w:r>
      <w:r>
        <w:t xml:space="preserve"> op basis van uitgevoerde onderzoeken en evaluaties. Daarbij</w:t>
      </w:r>
      <w:r w:rsidRPr="00FC44F0">
        <w:t xml:space="preserve"> kan</w:t>
      </w:r>
      <w:r>
        <w:t>, zoals ik heb aangegeven in de Harbersbrief kansspelen e</w:t>
      </w:r>
      <w:r w:rsidRPr="00FC44F0">
        <w:t>en analyse van de beschikbare onderzoeken en rapportages worden aangevuld door interviews te houden met belanghebbenden</w:t>
      </w:r>
      <w:r w:rsidR="008C159B">
        <w:t>, zoals aangegeven in het antwoord op vragen 13 en 14.</w:t>
      </w:r>
    </w:p>
    <w:p w:rsidR="00FC44F0" w:rsidP="00366298" w:rsidRDefault="00FC44F0" w14:paraId="639A5219" w14:textId="77777777"/>
    <w:p w:rsidRPr="00FC44F0" w:rsidR="00FC44F0" w:rsidP="00366298" w:rsidRDefault="00FC44F0" w14:paraId="38871D61" w14:textId="5EB332D5">
      <w:pPr>
        <w:rPr>
          <w:b/>
          <w:bCs/>
        </w:rPr>
      </w:pPr>
      <w:r>
        <w:rPr>
          <w:b/>
          <w:bCs/>
        </w:rPr>
        <w:t>Vraag 1</w:t>
      </w:r>
      <w:r w:rsidR="008C159B">
        <w:rPr>
          <w:b/>
          <w:bCs/>
        </w:rPr>
        <w:t>8</w:t>
      </w:r>
    </w:p>
    <w:p w:rsidR="00737099" w:rsidP="00366298" w:rsidRDefault="00737099" w14:paraId="0EF5EBDD" w14:textId="18B6A65C">
      <w:r w:rsidRPr="00737099">
        <w:t>Welke onderzoeken lopen er nog en worden pas in 2025 afgerond? Is dit op tijd om in de periodieke rapportage meegenomen te kunnen worden.</w:t>
      </w:r>
    </w:p>
    <w:p w:rsidR="00FC44F0" w:rsidP="00366298" w:rsidRDefault="00FC44F0" w14:paraId="7BD94EF9" w14:textId="77777777"/>
    <w:p w:rsidR="00FC44F0" w:rsidP="00366298" w:rsidRDefault="00FC44F0" w14:paraId="5319CC36" w14:textId="18889719">
      <w:pPr>
        <w:rPr>
          <w:b/>
          <w:bCs/>
        </w:rPr>
      </w:pPr>
      <w:r>
        <w:rPr>
          <w:b/>
          <w:bCs/>
        </w:rPr>
        <w:t>Antwoord op vraag 1</w:t>
      </w:r>
      <w:r w:rsidR="008C159B">
        <w:rPr>
          <w:b/>
          <w:bCs/>
        </w:rPr>
        <w:t>8</w:t>
      </w:r>
    </w:p>
    <w:p w:rsidRPr="00FC44F0" w:rsidR="00FC44F0" w:rsidP="00366298" w:rsidRDefault="00FC44F0" w14:paraId="63D5698E" w14:textId="55637334">
      <w:r>
        <w:t xml:space="preserve">Inmiddels zijn de meeste onderzoeken die worden genoemd in de bijlage bij de Harbersbrief afgerond en aangeboden aan uw Kamer. </w:t>
      </w:r>
      <w:r w:rsidR="00E959E3">
        <w:t>Naar verwachting word</w:t>
      </w:r>
      <w:r w:rsidR="00D6132D">
        <w:t>en</w:t>
      </w:r>
      <w:r w:rsidR="00E959E3">
        <w:t xml:space="preserve"> </w:t>
      </w:r>
      <w:r w:rsidR="00D6132D">
        <w:t>de</w:t>
      </w:r>
      <w:r w:rsidR="00E959E3">
        <w:t xml:space="preserve"> onderzoek</w:t>
      </w:r>
      <w:r w:rsidR="00D6132D">
        <w:t>en</w:t>
      </w:r>
      <w:r w:rsidR="00E959E3">
        <w:t xml:space="preserve"> naar risico’s op witwassen</w:t>
      </w:r>
      <w:r w:rsidR="00D6132D">
        <w:t xml:space="preserve"> en naar de </w:t>
      </w:r>
      <w:r w:rsidR="00FC3E90">
        <w:t>risicoclassificatie</w:t>
      </w:r>
      <w:r w:rsidR="00D6132D">
        <w:t xml:space="preserve"> van kansspelen op gokschade</w:t>
      </w:r>
      <w:r w:rsidR="00E959E3">
        <w:t xml:space="preserve"> </w:t>
      </w:r>
      <w:r w:rsidR="00FC3E90">
        <w:t xml:space="preserve">in </w:t>
      </w:r>
      <w:r w:rsidR="00E959E3">
        <w:t>het eerste kwartaal van 2026 afgerond</w:t>
      </w:r>
      <w:r w:rsidR="00D6132D">
        <w:t>. Indien deze tijdig beschikbaar zijn, zullen ze worden betrokken bij</w:t>
      </w:r>
      <w:r w:rsidR="00E959E3">
        <w:t xml:space="preserve"> de Periodieke rapportage. </w:t>
      </w:r>
    </w:p>
    <w:p w:rsidR="00737099" w:rsidP="00366298" w:rsidRDefault="00737099" w14:paraId="6CCDBEF6" w14:textId="77777777">
      <w:pPr>
        <w:rPr>
          <w:b/>
          <w:bCs/>
        </w:rPr>
      </w:pPr>
    </w:p>
    <w:p w:rsidRPr="00D15FD1" w:rsidR="00D15FD1" w:rsidP="00366298" w:rsidRDefault="00D15FD1" w14:paraId="443A9346" w14:textId="77777777"/>
    <w:p w:rsidR="00CE1224" w:rsidP="00366298" w:rsidRDefault="00CE1224" w14:paraId="59903350" w14:textId="77777777">
      <w:r w:rsidRPr="00CE1224">
        <w:t xml:space="preserve">De Staatssecretaris van Justitie en Veiligheid, </w:t>
      </w:r>
    </w:p>
    <w:p w:rsidR="00CE1224" w:rsidP="00366298" w:rsidRDefault="00CE1224" w14:paraId="01C17525" w14:textId="77777777"/>
    <w:p w:rsidR="00CE1224" w:rsidP="00366298" w:rsidRDefault="00CE1224" w14:paraId="4F1C7C42" w14:textId="77777777"/>
    <w:p w:rsidR="00CE1224" w:rsidP="00366298" w:rsidRDefault="00CE1224" w14:paraId="476CA667" w14:textId="77777777"/>
    <w:p w:rsidR="00CE1224" w:rsidP="00366298" w:rsidRDefault="00CE1224" w14:paraId="45E4A6EE" w14:textId="77777777"/>
    <w:p w:rsidR="001D6F6A" w:rsidP="00366298" w:rsidRDefault="00CE1224" w14:paraId="66F43696" w14:textId="4EA25D5D">
      <w:r w:rsidRPr="00CE1224">
        <w:t>mr. A.C.L. Rutte</w:t>
      </w:r>
    </w:p>
    <w:p w:rsidR="009B2413" w:rsidP="00366298" w:rsidRDefault="009B2413" w14:paraId="7E74AE6F" w14:textId="77777777"/>
    <w:sectPr w:rsidR="009B241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E99FD" w14:textId="77777777" w:rsidR="00BD56FA" w:rsidRDefault="00BD56FA">
      <w:pPr>
        <w:spacing w:line="240" w:lineRule="auto"/>
      </w:pPr>
      <w:r>
        <w:separator/>
      </w:r>
    </w:p>
  </w:endnote>
  <w:endnote w:type="continuationSeparator" w:id="0">
    <w:p w14:paraId="7F6F8834" w14:textId="77777777" w:rsidR="00BD56FA" w:rsidRDefault="00BD5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D4C6" w14:textId="77777777" w:rsidR="009B2413" w:rsidRDefault="009B241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5B2A" w14:textId="77777777" w:rsidR="00BD56FA" w:rsidRDefault="00BD56FA">
      <w:pPr>
        <w:spacing w:line="240" w:lineRule="auto"/>
      </w:pPr>
      <w:r>
        <w:separator/>
      </w:r>
    </w:p>
  </w:footnote>
  <w:footnote w:type="continuationSeparator" w:id="0">
    <w:p w14:paraId="3D51AAB9" w14:textId="77777777" w:rsidR="00BD56FA" w:rsidRDefault="00BD56FA">
      <w:pPr>
        <w:spacing w:line="240" w:lineRule="auto"/>
      </w:pPr>
      <w:r>
        <w:continuationSeparator/>
      </w:r>
    </w:p>
  </w:footnote>
  <w:footnote w:id="1">
    <w:p w14:paraId="168E6701" w14:textId="1E087246" w:rsidR="001D6F6A" w:rsidRPr="00366298" w:rsidRDefault="001D6F6A">
      <w:pPr>
        <w:pStyle w:val="Voetnoottekst"/>
        <w:rPr>
          <w:sz w:val="16"/>
          <w:szCs w:val="16"/>
        </w:rPr>
      </w:pPr>
      <w:r w:rsidRPr="00366298">
        <w:rPr>
          <w:rStyle w:val="Voetnootmarkering"/>
          <w:sz w:val="16"/>
          <w:szCs w:val="16"/>
        </w:rPr>
        <w:footnoteRef/>
      </w:r>
      <w:r w:rsidR="00366298" w:rsidRPr="00366298">
        <w:rPr>
          <w:sz w:val="16"/>
          <w:szCs w:val="16"/>
        </w:rPr>
        <w:t xml:space="preserve"> </w:t>
      </w:r>
      <w:hyperlink r:id="rId1" w:history="1">
        <w:r w:rsidR="00922BF0" w:rsidRPr="00366298">
          <w:rPr>
            <w:i/>
            <w:iCs/>
            <w:sz w:val="16"/>
            <w:szCs w:val="16"/>
          </w:rPr>
          <w:t>Kamerstukken</w:t>
        </w:r>
      </w:hyperlink>
      <w:r w:rsidR="00922BF0" w:rsidRPr="00366298">
        <w:rPr>
          <w:i/>
          <w:iCs/>
          <w:sz w:val="16"/>
          <w:szCs w:val="16"/>
        </w:rPr>
        <w:t xml:space="preserve"> II</w:t>
      </w:r>
      <w:r w:rsidR="00922BF0" w:rsidRPr="00366298">
        <w:rPr>
          <w:sz w:val="16"/>
          <w:szCs w:val="16"/>
        </w:rPr>
        <w:t>, 2024/25, 24557-274</w:t>
      </w:r>
    </w:p>
  </w:footnote>
  <w:footnote w:id="2">
    <w:p w14:paraId="1AE1A1B5" w14:textId="77777777" w:rsidR="000A02FD" w:rsidRPr="00366298" w:rsidRDefault="000A02FD" w:rsidP="000A02FD">
      <w:pPr>
        <w:pStyle w:val="Voetnoottekst"/>
        <w:rPr>
          <w:sz w:val="16"/>
          <w:szCs w:val="16"/>
        </w:rPr>
      </w:pPr>
      <w:r w:rsidRPr="00366298">
        <w:rPr>
          <w:rStyle w:val="Voetnootmarkering"/>
          <w:sz w:val="16"/>
          <w:szCs w:val="16"/>
        </w:rPr>
        <w:footnoteRef/>
      </w:r>
      <w:r w:rsidRPr="00366298">
        <w:rPr>
          <w:sz w:val="16"/>
          <w:szCs w:val="16"/>
        </w:rPr>
        <w:t xml:space="preserve"> Voor verwijzingen zijn de vragen en antwoorden doorgenummerd.</w:t>
      </w:r>
    </w:p>
  </w:footnote>
  <w:footnote w:id="3">
    <w:p w14:paraId="4266EA4A" w14:textId="77777777" w:rsidR="00D6150F" w:rsidRPr="00366298" w:rsidRDefault="00D6150F" w:rsidP="00D6150F">
      <w:pPr>
        <w:pStyle w:val="Voetnoottekst"/>
        <w:rPr>
          <w:sz w:val="16"/>
          <w:szCs w:val="16"/>
        </w:rPr>
      </w:pPr>
      <w:r w:rsidRPr="00366298">
        <w:rPr>
          <w:rStyle w:val="Voetnootmarkering"/>
          <w:sz w:val="16"/>
          <w:szCs w:val="16"/>
        </w:rPr>
        <w:footnoteRef/>
      </w:r>
      <w:r w:rsidRPr="00366298">
        <w:rPr>
          <w:sz w:val="16"/>
          <w:szCs w:val="16"/>
        </w:rPr>
        <w:t xml:space="preserve"> </w:t>
      </w:r>
      <w:hyperlink r:id="rId2" w:history="1">
        <w:r w:rsidRPr="00366298">
          <w:rPr>
            <w:rStyle w:val="Hyperlink"/>
            <w:sz w:val="16"/>
            <w:szCs w:val="16"/>
          </w:rPr>
          <w:t>Staatscourant 2022, 19587 | Overheid.nl &gt; Officiële bekendmakingen</w:t>
        </w:r>
      </w:hyperlink>
    </w:p>
  </w:footnote>
  <w:footnote w:id="4">
    <w:p w14:paraId="628A8B9A" w14:textId="72A976B6" w:rsidR="00366298" w:rsidRPr="004713FF" w:rsidRDefault="00366298">
      <w:pPr>
        <w:pStyle w:val="Voetnoottekst"/>
        <w:rPr>
          <w:sz w:val="16"/>
          <w:szCs w:val="16"/>
        </w:rPr>
      </w:pPr>
      <w:r w:rsidRPr="00366298">
        <w:rPr>
          <w:rStyle w:val="Voetnootmarkering"/>
          <w:sz w:val="16"/>
          <w:szCs w:val="16"/>
        </w:rPr>
        <w:footnoteRef/>
      </w:r>
      <w:r w:rsidRPr="00366298">
        <w:rPr>
          <w:sz w:val="16"/>
          <w:szCs w:val="16"/>
        </w:rPr>
        <w:t xml:space="preserve"> </w:t>
      </w:r>
      <w:hyperlink r:id="rId3" w:history="1">
        <w:r w:rsidRPr="00366298">
          <w:rPr>
            <w:i/>
            <w:iCs/>
            <w:sz w:val="16"/>
            <w:szCs w:val="16"/>
          </w:rPr>
          <w:t>Kamerstukken</w:t>
        </w:r>
      </w:hyperlink>
      <w:r w:rsidRPr="00366298">
        <w:rPr>
          <w:i/>
          <w:iCs/>
          <w:sz w:val="16"/>
          <w:szCs w:val="16"/>
        </w:rPr>
        <w:t xml:space="preserve"> II</w:t>
      </w:r>
      <w:r w:rsidRPr="00366298">
        <w:rPr>
          <w:sz w:val="16"/>
          <w:szCs w:val="16"/>
        </w:rPr>
        <w:t>, 2024/25, 24557-245 en</w:t>
      </w:r>
      <w:r>
        <w:rPr>
          <w:sz w:val="16"/>
          <w:szCs w:val="16"/>
        </w:rPr>
        <w:t xml:space="preserve"> </w:t>
      </w:r>
      <w:hyperlink r:id="rId4" w:history="1">
        <w:r w:rsidRPr="00366298">
          <w:rPr>
            <w:i/>
            <w:iCs/>
            <w:sz w:val="16"/>
            <w:szCs w:val="16"/>
          </w:rPr>
          <w:t>Kamerstukken</w:t>
        </w:r>
      </w:hyperlink>
      <w:r w:rsidRPr="00366298">
        <w:rPr>
          <w:i/>
          <w:iCs/>
          <w:sz w:val="16"/>
          <w:szCs w:val="16"/>
        </w:rPr>
        <w:t xml:space="preserve"> II</w:t>
      </w:r>
      <w:r w:rsidRPr="00366298">
        <w:rPr>
          <w:sz w:val="16"/>
          <w:szCs w:val="16"/>
        </w:rPr>
        <w:t>, 2024/25, 24557-274</w:t>
      </w:r>
      <w:r>
        <w:rPr>
          <w:sz w:val="16"/>
          <w:szCs w:val="16"/>
        </w:rPr>
        <w:t>.</w:t>
      </w:r>
    </w:p>
  </w:footnote>
  <w:footnote w:id="5">
    <w:p w14:paraId="0CFC540A" w14:textId="24207A86" w:rsidR="00DE0D77" w:rsidRPr="00366298" w:rsidRDefault="00DE0D77">
      <w:pPr>
        <w:pStyle w:val="Voetnoottekst"/>
        <w:rPr>
          <w:sz w:val="16"/>
          <w:szCs w:val="16"/>
        </w:rPr>
      </w:pPr>
      <w:r w:rsidRPr="00366298">
        <w:rPr>
          <w:rStyle w:val="Voetnootmarkering"/>
          <w:sz w:val="16"/>
          <w:szCs w:val="16"/>
        </w:rPr>
        <w:footnoteRef/>
      </w:r>
      <w:r w:rsidRPr="00366298">
        <w:rPr>
          <w:sz w:val="16"/>
          <w:szCs w:val="16"/>
        </w:rPr>
        <w:t xml:space="preserve"> </w:t>
      </w:r>
      <w:hyperlink r:id="rId5" w:history="1">
        <w:r w:rsidRPr="00366298">
          <w:rPr>
            <w:i/>
            <w:iCs/>
            <w:sz w:val="16"/>
            <w:szCs w:val="16"/>
          </w:rPr>
          <w:t>Kamerstukken</w:t>
        </w:r>
      </w:hyperlink>
      <w:r w:rsidRPr="00366298">
        <w:rPr>
          <w:i/>
          <w:iCs/>
          <w:sz w:val="16"/>
          <w:szCs w:val="16"/>
        </w:rPr>
        <w:t xml:space="preserve"> II</w:t>
      </w:r>
      <w:r w:rsidRPr="00366298">
        <w:rPr>
          <w:sz w:val="16"/>
          <w:szCs w:val="16"/>
        </w:rPr>
        <w:t>, 2024/25, 24557-245</w:t>
      </w:r>
    </w:p>
  </w:footnote>
  <w:footnote w:id="6">
    <w:p w14:paraId="0812D803" w14:textId="77777777" w:rsidR="00A00F48" w:rsidRPr="00366298" w:rsidRDefault="00A00F48" w:rsidP="00A00F48">
      <w:pPr>
        <w:pStyle w:val="Voetnoottekst"/>
        <w:rPr>
          <w:sz w:val="16"/>
          <w:szCs w:val="16"/>
        </w:rPr>
      </w:pPr>
      <w:r w:rsidRPr="00366298">
        <w:rPr>
          <w:rStyle w:val="Voetnootmarkering"/>
          <w:sz w:val="16"/>
          <w:szCs w:val="16"/>
        </w:rPr>
        <w:footnoteRef/>
      </w:r>
      <w:r w:rsidRPr="00366298">
        <w:rPr>
          <w:sz w:val="16"/>
          <w:szCs w:val="16"/>
        </w:rPr>
        <w:t xml:space="preserve"> Handreiking Periodieke rapportage 2024, </w:t>
      </w:r>
      <w:hyperlink r:id="rId6" w:history="1">
        <w:r w:rsidRPr="00366298">
          <w:rPr>
            <w:rStyle w:val="Hyperlink"/>
            <w:sz w:val="16"/>
            <w:szCs w:val="16"/>
          </w:rPr>
          <w:t>www.rijksfinancien.nl</w:t>
        </w:r>
      </w:hyperlink>
      <w:r w:rsidRPr="00366298">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AB4D" w14:textId="77777777" w:rsidR="009B2413" w:rsidRDefault="00FF6259">
    <w:r>
      <w:rPr>
        <w:noProof/>
      </w:rPr>
      <mc:AlternateContent>
        <mc:Choice Requires="wps">
          <w:drawing>
            <wp:anchor distT="0" distB="0" distL="0" distR="0" simplePos="0" relativeHeight="251652608" behindDoc="0" locked="1" layoutInCell="1" allowOverlap="1" wp14:anchorId="433D639C" wp14:editId="25232A8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974C30" w14:textId="77777777" w:rsidR="009B2413" w:rsidRDefault="00FF6259">
                          <w:pPr>
                            <w:pStyle w:val="Referentiegegevensbold"/>
                          </w:pPr>
                          <w:r>
                            <w:t>Directoraat-Generaal Straffen en Beschermen</w:t>
                          </w:r>
                        </w:p>
                        <w:p w14:paraId="0D52DAAE" w14:textId="77777777" w:rsidR="009B2413" w:rsidRDefault="00FF6259">
                          <w:pPr>
                            <w:pStyle w:val="Referentiegegevens"/>
                          </w:pPr>
                          <w:r>
                            <w:t>Directie Sanctie- en Slachtofferbeleid</w:t>
                          </w:r>
                        </w:p>
                        <w:p w14:paraId="3E9C07D3" w14:textId="4F356D61" w:rsidR="009B2413" w:rsidRDefault="009B2413">
                          <w:pPr>
                            <w:pStyle w:val="Referentiegegevens"/>
                          </w:pPr>
                        </w:p>
                        <w:p w14:paraId="02E4EF7D" w14:textId="77777777" w:rsidR="009B2413" w:rsidRDefault="009B2413">
                          <w:pPr>
                            <w:pStyle w:val="WitregelW2"/>
                          </w:pPr>
                        </w:p>
                        <w:p w14:paraId="23C44CFA" w14:textId="77777777" w:rsidR="009B2413" w:rsidRDefault="00FF6259">
                          <w:pPr>
                            <w:pStyle w:val="Referentiegegevensbold"/>
                          </w:pPr>
                          <w:r>
                            <w:t>Datum</w:t>
                          </w:r>
                        </w:p>
                        <w:p w14:paraId="3CC9E000" w14:textId="0016B322" w:rsidR="009B2413" w:rsidRDefault="00BD56FA">
                          <w:pPr>
                            <w:pStyle w:val="Referentiegegevens"/>
                          </w:pPr>
                          <w:sdt>
                            <w:sdtPr>
                              <w:id w:val="972483557"/>
                              <w:date w:fullDate="2026-01-20T00:00:00Z">
                                <w:dateFormat w:val="d MMMM yyyy"/>
                                <w:lid w:val="nl"/>
                                <w:storeMappedDataAs w:val="dateTime"/>
                                <w:calendar w:val="gregorian"/>
                              </w:date>
                            </w:sdtPr>
                            <w:sdtEndPr/>
                            <w:sdtContent>
                              <w:r w:rsidR="0053084C">
                                <w:rPr>
                                  <w:lang w:val="nl"/>
                                </w:rPr>
                                <w:t>20 januari 2026</w:t>
                              </w:r>
                            </w:sdtContent>
                          </w:sdt>
                        </w:p>
                        <w:p w14:paraId="27A32DED" w14:textId="77777777" w:rsidR="009B2413" w:rsidRDefault="009B2413">
                          <w:pPr>
                            <w:pStyle w:val="WitregelW1"/>
                          </w:pPr>
                        </w:p>
                        <w:p w14:paraId="3A25B357" w14:textId="77777777" w:rsidR="009B2413" w:rsidRDefault="00FF6259">
                          <w:pPr>
                            <w:pStyle w:val="Referentiegegevensbold"/>
                          </w:pPr>
                          <w:r>
                            <w:t>Onze referentie</w:t>
                          </w:r>
                        </w:p>
                        <w:p w14:paraId="7468D013" w14:textId="77777777" w:rsidR="0053084C" w:rsidRDefault="0053084C" w:rsidP="0053084C">
                          <w:pPr>
                            <w:rPr>
                              <w:sz w:val="13"/>
                              <w:szCs w:val="13"/>
                            </w:rPr>
                          </w:pPr>
                          <w:r w:rsidRPr="0053084C">
                            <w:rPr>
                              <w:sz w:val="13"/>
                              <w:szCs w:val="13"/>
                            </w:rPr>
                            <w:t>7067844</w:t>
                          </w:r>
                        </w:p>
                        <w:p w14:paraId="535DED11" w14:textId="583DD8AC" w:rsidR="009B2413" w:rsidRDefault="009B2413">
                          <w:pPr>
                            <w:pStyle w:val="Referentiegegevens"/>
                          </w:pPr>
                        </w:p>
                      </w:txbxContent>
                    </wps:txbx>
                    <wps:bodyPr vert="horz" wrap="square" lIns="0" tIns="0" rIns="0" bIns="0" anchor="t" anchorCtr="0"/>
                  </wps:wsp>
                </a:graphicData>
              </a:graphic>
            </wp:anchor>
          </w:drawing>
        </mc:Choice>
        <mc:Fallback>
          <w:pict>
            <v:shapetype w14:anchorId="433D639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E974C30" w14:textId="77777777" w:rsidR="009B2413" w:rsidRDefault="00FF6259">
                    <w:pPr>
                      <w:pStyle w:val="Referentiegegevensbold"/>
                    </w:pPr>
                    <w:r>
                      <w:t>Directoraat-Generaal Straffen en Beschermen</w:t>
                    </w:r>
                  </w:p>
                  <w:p w14:paraId="0D52DAAE" w14:textId="77777777" w:rsidR="009B2413" w:rsidRDefault="00FF6259">
                    <w:pPr>
                      <w:pStyle w:val="Referentiegegevens"/>
                    </w:pPr>
                    <w:r>
                      <w:t>Directie Sanctie- en Slachtofferbeleid</w:t>
                    </w:r>
                  </w:p>
                  <w:p w14:paraId="3E9C07D3" w14:textId="4F356D61" w:rsidR="009B2413" w:rsidRDefault="009B2413">
                    <w:pPr>
                      <w:pStyle w:val="Referentiegegevens"/>
                    </w:pPr>
                  </w:p>
                  <w:p w14:paraId="02E4EF7D" w14:textId="77777777" w:rsidR="009B2413" w:rsidRDefault="009B2413">
                    <w:pPr>
                      <w:pStyle w:val="WitregelW2"/>
                    </w:pPr>
                  </w:p>
                  <w:p w14:paraId="23C44CFA" w14:textId="77777777" w:rsidR="009B2413" w:rsidRDefault="00FF6259">
                    <w:pPr>
                      <w:pStyle w:val="Referentiegegevensbold"/>
                    </w:pPr>
                    <w:r>
                      <w:t>Datum</w:t>
                    </w:r>
                  </w:p>
                  <w:p w14:paraId="3CC9E000" w14:textId="0016B322" w:rsidR="009B2413" w:rsidRDefault="00BD56FA">
                    <w:pPr>
                      <w:pStyle w:val="Referentiegegevens"/>
                    </w:pPr>
                    <w:sdt>
                      <w:sdtPr>
                        <w:id w:val="972483557"/>
                        <w:date w:fullDate="2026-01-20T00:00:00Z">
                          <w:dateFormat w:val="d MMMM yyyy"/>
                          <w:lid w:val="nl"/>
                          <w:storeMappedDataAs w:val="dateTime"/>
                          <w:calendar w:val="gregorian"/>
                        </w:date>
                      </w:sdtPr>
                      <w:sdtEndPr/>
                      <w:sdtContent>
                        <w:r w:rsidR="0053084C">
                          <w:rPr>
                            <w:lang w:val="nl"/>
                          </w:rPr>
                          <w:t>20 januari 2026</w:t>
                        </w:r>
                      </w:sdtContent>
                    </w:sdt>
                  </w:p>
                  <w:p w14:paraId="27A32DED" w14:textId="77777777" w:rsidR="009B2413" w:rsidRDefault="009B2413">
                    <w:pPr>
                      <w:pStyle w:val="WitregelW1"/>
                    </w:pPr>
                  </w:p>
                  <w:p w14:paraId="3A25B357" w14:textId="77777777" w:rsidR="009B2413" w:rsidRDefault="00FF6259">
                    <w:pPr>
                      <w:pStyle w:val="Referentiegegevensbold"/>
                    </w:pPr>
                    <w:r>
                      <w:t>Onze referentie</w:t>
                    </w:r>
                  </w:p>
                  <w:p w14:paraId="7468D013" w14:textId="77777777" w:rsidR="0053084C" w:rsidRDefault="0053084C" w:rsidP="0053084C">
                    <w:pPr>
                      <w:rPr>
                        <w:sz w:val="13"/>
                        <w:szCs w:val="13"/>
                      </w:rPr>
                    </w:pPr>
                    <w:r w:rsidRPr="0053084C">
                      <w:rPr>
                        <w:sz w:val="13"/>
                        <w:szCs w:val="13"/>
                      </w:rPr>
                      <w:t>7067844</w:t>
                    </w:r>
                  </w:p>
                  <w:p w14:paraId="535DED11" w14:textId="583DD8AC" w:rsidR="009B2413" w:rsidRDefault="009B2413">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123EC4A" wp14:editId="6A2CABE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956448E" w14:textId="77777777" w:rsidR="00FF6259" w:rsidRDefault="00FF6259"/>
                      </w:txbxContent>
                    </wps:txbx>
                    <wps:bodyPr vert="horz" wrap="square" lIns="0" tIns="0" rIns="0" bIns="0" anchor="t" anchorCtr="0"/>
                  </wps:wsp>
                </a:graphicData>
              </a:graphic>
            </wp:anchor>
          </w:drawing>
        </mc:Choice>
        <mc:Fallback>
          <w:pict>
            <v:shape w14:anchorId="5123EC4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956448E" w14:textId="77777777" w:rsidR="00FF6259" w:rsidRDefault="00FF625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ECB684D" wp14:editId="6C6D325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9205B0" w14:textId="3CAD0EAA" w:rsidR="009B2413" w:rsidRDefault="00FF6259">
                          <w:pPr>
                            <w:pStyle w:val="Referentiegegevens"/>
                          </w:pPr>
                          <w:r>
                            <w:t xml:space="preserve">Pagina </w:t>
                          </w:r>
                          <w:r>
                            <w:fldChar w:fldCharType="begin"/>
                          </w:r>
                          <w:r>
                            <w:instrText>PAGE</w:instrText>
                          </w:r>
                          <w:r>
                            <w:fldChar w:fldCharType="separate"/>
                          </w:r>
                          <w:r w:rsidR="001D6F6A">
                            <w:rPr>
                              <w:noProof/>
                            </w:rPr>
                            <w:t>2</w:t>
                          </w:r>
                          <w:r>
                            <w:fldChar w:fldCharType="end"/>
                          </w:r>
                          <w:r>
                            <w:t xml:space="preserve"> van </w:t>
                          </w:r>
                          <w:r>
                            <w:fldChar w:fldCharType="begin"/>
                          </w:r>
                          <w:r>
                            <w:instrText>NUMPAGES</w:instrText>
                          </w:r>
                          <w:r>
                            <w:fldChar w:fldCharType="separate"/>
                          </w:r>
                          <w:r w:rsidR="001D6F6A">
                            <w:rPr>
                              <w:noProof/>
                            </w:rPr>
                            <w:t>1</w:t>
                          </w:r>
                          <w:r>
                            <w:fldChar w:fldCharType="end"/>
                          </w:r>
                        </w:p>
                      </w:txbxContent>
                    </wps:txbx>
                    <wps:bodyPr vert="horz" wrap="square" lIns="0" tIns="0" rIns="0" bIns="0" anchor="t" anchorCtr="0"/>
                  </wps:wsp>
                </a:graphicData>
              </a:graphic>
            </wp:anchor>
          </w:drawing>
        </mc:Choice>
        <mc:Fallback>
          <w:pict>
            <v:shape w14:anchorId="4ECB684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89205B0" w14:textId="3CAD0EAA" w:rsidR="009B2413" w:rsidRDefault="00FF6259">
                    <w:pPr>
                      <w:pStyle w:val="Referentiegegevens"/>
                    </w:pPr>
                    <w:r>
                      <w:t xml:space="preserve">Pagina </w:t>
                    </w:r>
                    <w:r>
                      <w:fldChar w:fldCharType="begin"/>
                    </w:r>
                    <w:r>
                      <w:instrText>PAGE</w:instrText>
                    </w:r>
                    <w:r>
                      <w:fldChar w:fldCharType="separate"/>
                    </w:r>
                    <w:r w:rsidR="001D6F6A">
                      <w:rPr>
                        <w:noProof/>
                      </w:rPr>
                      <w:t>2</w:t>
                    </w:r>
                    <w:r>
                      <w:fldChar w:fldCharType="end"/>
                    </w:r>
                    <w:r>
                      <w:t xml:space="preserve"> van </w:t>
                    </w:r>
                    <w:r>
                      <w:fldChar w:fldCharType="begin"/>
                    </w:r>
                    <w:r>
                      <w:instrText>NUMPAGES</w:instrText>
                    </w:r>
                    <w:r>
                      <w:fldChar w:fldCharType="separate"/>
                    </w:r>
                    <w:r w:rsidR="001D6F6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3D84" w14:textId="77777777" w:rsidR="009B2413" w:rsidRDefault="00FF6259">
    <w:pPr>
      <w:spacing w:after="6377" w:line="14" w:lineRule="exact"/>
    </w:pPr>
    <w:r>
      <w:rPr>
        <w:noProof/>
      </w:rPr>
      <mc:AlternateContent>
        <mc:Choice Requires="wps">
          <w:drawing>
            <wp:anchor distT="0" distB="0" distL="0" distR="0" simplePos="0" relativeHeight="251655680" behindDoc="0" locked="1" layoutInCell="1" allowOverlap="1" wp14:anchorId="3430B0FC" wp14:editId="4B027FC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906978" w14:textId="77777777" w:rsidR="0053084C" w:rsidRDefault="00FF6259">
                          <w:r>
                            <w:t xml:space="preserve">Aan de Voorzitter van de Tweede Kamer </w:t>
                          </w:r>
                        </w:p>
                        <w:p w14:paraId="178BD2CA" w14:textId="54A5252F" w:rsidR="009B2413" w:rsidRDefault="00FF6259">
                          <w:r>
                            <w:t>der Staten-Generaal</w:t>
                          </w:r>
                        </w:p>
                        <w:p w14:paraId="6A223B10" w14:textId="77777777" w:rsidR="009B2413" w:rsidRDefault="00FF6259">
                          <w:r>
                            <w:t xml:space="preserve">Postbus 20018 </w:t>
                          </w:r>
                        </w:p>
                        <w:p w14:paraId="3E40D10B" w14:textId="77777777" w:rsidR="009B2413" w:rsidRDefault="00FF6259">
                          <w:r>
                            <w:t>2500 EA  DEN HAAG</w:t>
                          </w:r>
                        </w:p>
                      </w:txbxContent>
                    </wps:txbx>
                    <wps:bodyPr vert="horz" wrap="square" lIns="0" tIns="0" rIns="0" bIns="0" anchor="t" anchorCtr="0"/>
                  </wps:wsp>
                </a:graphicData>
              </a:graphic>
            </wp:anchor>
          </w:drawing>
        </mc:Choice>
        <mc:Fallback>
          <w:pict>
            <v:shapetype w14:anchorId="3430B0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E906978" w14:textId="77777777" w:rsidR="0053084C" w:rsidRDefault="00FF6259">
                    <w:r>
                      <w:t xml:space="preserve">Aan de Voorzitter van de Tweede Kamer </w:t>
                    </w:r>
                  </w:p>
                  <w:p w14:paraId="178BD2CA" w14:textId="54A5252F" w:rsidR="009B2413" w:rsidRDefault="00FF6259">
                    <w:r>
                      <w:t>der Staten-Generaal</w:t>
                    </w:r>
                  </w:p>
                  <w:p w14:paraId="6A223B10" w14:textId="77777777" w:rsidR="009B2413" w:rsidRDefault="00FF6259">
                    <w:r>
                      <w:t xml:space="preserve">Postbus 20018 </w:t>
                    </w:r>
                  </w:p>
                  <w:p w14:paraId="3E40D10B" w14:textId="77777777" w:rsidR="009B2413" w:rsidRDefault="00FF625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9EBB82D" wp14:editId="74732592">
              <wp:simplePos x="0" y="0"/>
              <wp:positionH relativeFrom="margin">
                <wp:align>right</wp:align>
              </wp:positionH>
              <wp:positionV relativeFrom="page">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B2413" w14:paraId="2C2A3C69" w14:textId="77777777">
                            <w:trPr>
                              <w:trHeight w:val="240"/>
                            </w:trPr>
                            <w:tc>
                              <w:tcPr>
                                <w:tcW w:w="1140" w:type="dxa"/>
                              </w:tcPr>
                              <w:p w14:paraId="4167D4CF" w14:textId="77777777" w:rsidR="009B2413" w:rsidRDefault="00FF6259">
                                <w:r>
                                  <w:t>Datum</w:t>
                                </w:r>
                              </w:p>
                            </w:tc>
                            <w:tc>
                              <w:tcPr>
                                <w:tcW w:w="5918" w:type="dxa"/>
                              </w:tcPr>
                              <w:p w14:paraId="475BE9EE" w14:textId="3DF5B910" w:rsidR="009B2413" w:rsidRDefault="00BD56FA">
                                <w:sdt>
                                  <w:sdtPr>
                                    <w:id w:val="425624091"/>
                                    <w:date w:fullDate="2026-01-20T00:00:00Z">
                                      <w:dateFormat w:val="d MMMM yyyy"/>
                                      <w:lid w:val="nl"/>
                                      <w:storeMappedDataAs w:val="dateTime"/>
                                      <w:calendar w:val="gregorian"/>
                                    </w:date>
                                  </w:sdtPr>
                                  <w:sdtEndPr/>
                                  <w:sdtContent>
                                    <w:r w:rsidR="0053084C">
                                      <w:rPr>
                                        <w:lang w:val="nl"/>
                                      </w:rPr>
                                      <w:t>20 januari 2026</w:t>
                                    </w:r>
                                  </w:sdtContent>
                                </w:sdt>
                              </w:p>
                            </w:tc>
                          </w:tr>
                          <w:tr w:rsidR="009B2413" w14:paraId="12BF15D0" w14:textId="77777777">
                            <w:trPr>
                              <w:trHeight w:val="240"/>
                            </w:trPr>
                            <w:tc>
                              <w:tcPr>
                                <w:tcW w:w="1140" w:type="dxa"/>
                              </w:tcPr>
                              <w:p w14:paraId="6B5C3FAA" w14:textId="77777777" w:rsidR="009B2413" w:rsidRDefault="00FF6259">
                                <w:r>
                                  <w:t>Betreft</w:t>
                                </w:r>
                              </w:p>
                            </w:tc>
                            <w:tc>
                              <w:tcPr>
                                <w:tcW w:w="5918" w:type="dxa"/>
                              </w:tcPr>
                              <w:p w14:paraId="67574651" w14:textId="5D3585F8" w:rsidR="009B2413" w:rsidRDefault="00922BF0">
                                <w:r>
                                  <w:t>Antwoorden op vragen met betrekking tot de Periodieke rapportage kansspel</w:t>
                                </w:r>
                                <w:r w:rsidR="000A02FD">
                                  <w:t>b</w:t>
                                </w:r>
                                <w:r>
                                  <w:t>e</w:t>
                                </w:r>
                                <w:r w:rsidR="000A02FD">
                                  <w:t>leid</w:t>
                                </w:r>
                              </w:p>
                              <w:p w14:paraId="4D034D73" w14:textId="1728AD0D" w:rsidR="00922BF0" w:rsidRDefault="00922BF0"/>
                            </w:tc>
                          </w:tr>
                        </w:tbl>
                        <w:p w14:paraId="47B488A8" w14:textId="77777777" w:rsidR="00FF6259" w:rsidRDefault="00FF625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9EBB82D" id="46feebd0-aa3c-11ea-a756-beb5f67e67be" o:spid="_x0000_s1030" type="#_x0000_t202" style="position:absolute;margin-left:325.8pt;margin-top:264pt;width:377pt;height:4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B2413" w14:paraId="2C2A3C69" w14:textId="77777777">
                      <w:trPr>
                        <w:trHeight w:val="240"/>
                      </w:trPr>
                      <w:tc>
                        <w:tcPr>
                          <w:tcW w:w="1140" w:type="dxa"/>
                        </w:tcPr>
                        <w:p w14:paraId="4167D4CF" w14:textId="77777777" w:rsidR="009B2413" w:rsidRDefault="00FF6259">
                          <w:r>
                            <w:t>Datum</w:t>
                          </w:r>
                        </w:p>
                      </w:tc>
                      <w:tc>
                        <w:tcPr>
                          <w:tcW w:w="5918" w:type="dxa"/>
                        </w:tcPr>
                        <w:p w14:paraId="475BE9EE" w14:textId="3DF5B910" w:rsidR="009B2413" w:rsidRDefault="00BD56FA">
                          <w:sdt>
                            <w:sdtPr>
                              <w:id w:val="425624091"/>
                              <w:date w:fullDate="2026-01-20T00:00:00Z">
                                <w:dateFormat w:val="d MMMM yyyy"/>
                                <w:lid w:val="nl"/>
                                <w:storeMappedDataAs w:val="dateTime"/>
                                <w:calendar w:val="gregorian"/>
                              </w:date>
                            </w:sdtPr>
                            <w:sdtEndPr/>
                            <w:sdtContent>
                              <w:r w:rsidR="0053084C">
                                <w:rPr>
                                  <w:lang w:val="nl"/>
                                </w:rPr>
                                <w:t>20 januari 2026</w:t>
                              </w:r>
                            </w:sdtContent>
                          </w:sdt>
                        </w:p>
                      </w:tc>
                    </w:tr>
                    <w:tr w:rsidR="009B2413" w14:paraId="12BF15D0" w14:textId="77777777">
                      <w:trPr>
                        <w:trHeight w:val="240"/>
                      </w:trPr>
                      <w:tc>
                        <w:tcPr>
                          <w:tcW w:w="1140" w:type="dxa"/>
                        </w:tcPr>
                        <w:p w14:paraId="6B5C3FAA" w14:textId="77777777" w:rsidR="009B2413" w:rsidRDefault="00FF6259">
                          <w:r>
                            <w:t>Betreft</w:t>
                          </w:r>
                        </w:p>
                      </w:tc>
                      <w:tc>
                        <w:tcPr>
                          <w:tcW w:w="5918" w:type="dxa"/>
                        </w:tcPr>
                        <w:p w14:paraId="67574651" w14:textId="5D3585F8" w:rsidR="009B2413" w:rsidRDefault="00922BF0">
                          <w:r>
                            <w:t>Antwoorden op vragen met betrekking tot de Periodieke rapportage kansspel</w:t>
                          </w:r>
                          <w:r w:rsidR="000A02FD">
                            <w:t>b</w:t>
                          </w:r>
                          <w:r>
                            <w:t>e</w:t>
                          </w:r>
                          <w:r w:rsidR="000A02FD">
                            <w:t>leid</w:t>
                          </w:r>
                        </w:p>
                        <w:p w14:paraId="4D034D73" w14:textId="1728AD0D" w:rsidR="00922BF0" w:rsidRDefault="00922BF0"/>
                      </w:tc>
                    </w:tr>
                  </w:tbl>
                  <w:p w14:paraId="47B488A8" w14:textId="77777777" w:rsidR="00FF6259" w:rsidRDefault="00FF625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00751A2" wp14:editId="53D3745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F79BEC" w14:textId="03AC266C" w:rsidR="0053084C" w:rsidRPr="0053084C" w:rsidRDefault="0053084C" w:rsidP="001D6F6A">
                          <w:pPr>
                            <w:rPr>
                              <w:b/>
                              <w:bCs/>
                              <w:sz w:val="13"/>
                              <w:szCs w:val="13"/>
                            </w:rPr>
                          </w:pPr>
                          <w:r w:rsidRPr="0053084C">
                            <w:rPr>
                              <w:b/>
                              <w:bCs/>
                              <w:sz w:val="13"/>
                              <w:szCs w:val="13"/>
                            </w:rPr>
                            <w:t>Onze referentie</w:t>
                          </w:r>
                        </w:p>
                        <w:p w14:paraId="10985CBE" w14:textId="6E9A0BA2" w:rsidR="0053084C" w:rsidRDefault="0053084C" w:rsidP="001D6F6A">
                          <w:pPr>
                            <w:rPr>
                              <w:sz w:val="13"/>
                              <w:szCs w:val="13"/>
                            </w:rPr>
                          </w:pPr>
                          <w:r w:rsidRPr="0053084C">
                            <w:rPr>
                              <w:sz w:val="13"/>
                              <w:szCs w:val="13"/>
                            </w:rPr>
                            <w:t>7067844</w:t>
                          </w:r>
                        </w:p>
                        <w:p w14:paraId="23B14910" w14:textId="77777777" w:rsidR="0053084C" w:rsidRDefault="0053084C" w:rsidP="001D6F6A">
                          <w:pPr>
                            <w:rPr>
                              <w:sz w:val="13"/>
                              <w:szCs w:val="13"/>
                            </w:rPr>
                          </w:pPr>
                        </w:p>
                        <w:p w14:paraId="6A0E209B" w14:textId="7A278702" w:rsidR="0053084C" w:rsidRPr="0053084C" w:rsidRDefault="0053084C" w:rsidP="0053084C">
                          <w:pPr>
                            <w:spacing w:line="0" w:lineRule="atLeast"/>
                            <w:rPr>
                              <w:b/>
                              <w:bCs/>
                              <w:sz w:val="13"/>
                              <w:szCs w:val="13"/>
                            </w:rPr>
                          </w:pPr>
                          <w:r w:rsidRPr="0053084C">
                            <w:rPr>
                              <w:b/>
                              <w:bCs/>
                              <w:sz w:val="13"/>
                              <w:szCs w:val="13"/>
                            </w:rPr>
                            <w:t xml:space="preserve">Uw referentie </w:t>
                          </w:r>
                        </w:p>
                        <w:p w14:paraId="3A62A760" w14:textId="65AC4D5B" w:rsidR="0053084C" w:rsidRDefault="0053084C" w:rsidP="0053084C">
                          <w:pPr>
                            <w:spacing w:line="0" w:lineRule="atLeast"/>
                            <w:rPr>
                              <w:sz w:val="13"/>
                              <w:szCs w:val="13"/>
                            </w:rPr>
                          </w:pPr>
                          <w:r>
                            <w:rPr>
                              <w:sz w:val="13"/>
                              <w:szCs w:val="13"/>
                            </w:rPr>
                            <w:t>2025Z20188/2025D48767</w:t>
                          </w:r>
                        </w:p>
                      </w:txbxContent>
                    </wps:txbx>
                    <wps:bodyPr vert="horz" wrap="square" lIns="0" tIns="0" rIns="0" bIns="0" anchor="t" anchorCtr="0"/>
                  </wps:wsp>
                </a:graphicData>
              </a:graphic>
            </wp:anchor>
          </w:drawing>
        </mc:Choice>
        <mc:Fallback>
          <w:pict>
            <v:shape w14:anchorId="200751A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CF79BEC" w14:textId="03AC266C" w:rsidR="0053084C" w:rsidRPr="0053084C" w:rsidRDefault="0053084C" w:rsidP="001D6F6A">
                    <w:pPr>
                      <w:rPr>
                        <w:b/>
                        <w:bCs/>
                        <w:sz w:val="13"/>
                        <w:szCs w:val="13"/>
                      </w:rPr>
                    </w:pPr>
                    <w:r w:rsidRPr="0053084C">
                      <w:rPr>
                        <w:b/>
                        <w:bCs/>
                        <w:sz w:val="13"/>
                        <w:szCs w:val="13"/>
                      </w:rPr>
                      <w:t>Onze referentie</w:t>
                    </w:r>
                  </w:p>
                  <w:p w14:paraId="10985CBE" w14:textId="6E9A0BA2" w:rsidR="0053084C" w:rsidRDefault="0053084C" w:rsidP="001D6F6A">
                    <w:pPr>
                      <w:rPr>
                        <w:sz w:val="13"/>
                        <w:szCs w:val="13"/>
                      </w:rPr>
                    </w:pPr>
                    <w:r w:rsidRPr="0053084C">
                      <w:rPr>
                        <w:sz w:val="13"/>
                        <w:szCs w:val="13"/>
                      </w:rPr>
                      <w:t>7067844</w:t>
                    </w:r>
                  </w:p>
                  <w:p w14:paraId="23B14910" w14:textId="77777777" w:rsidR="0053084C" w:rsidRDefault="0053084C" w:rsidP="001D6F6A">
                    <w:pPr>
                      <w:rPr>
                        <w:sz w:val="13"/>
                        <w:szCs w:val="13"/>
                      </w:rPr>
                    </w:pPr>
                  </w:p>
                  <w:p w14:paraId="6A0E209B" w14:textId="7A278702" w:rsidR="0053084C" w:rsidRPr="0053084C" w:rsidRDefault="0053084C" w:rsidP="0053084C">
                    <w:pPr>
                      <w:spacing w:line="0" w:lineRule="atLeast"/>
                      <w:rPr>
                        <w:b/>
                        <w:bCs/>
                        <w:sz w:val="13"/>
                        <w:szCs w:val="13"/>
                      </w:rPr>
                    </w:pPr>
                    <w:r w:rsidRPr="0053084C">
                      <w:rPr>
                        <w:b/>
                        <w:bCs/>
                        <w:sz w:val="13"/>
                        <w:szCs w:val="13"/>
                      </w:rPr>
                      <w:t xml:space="preserve">Uw referentie </w:t>
                    </w:r>
                  </w:p>
                  <w:p w14:paraId="3A62A760" w14:textId="65AC4D5B" w:rsidR="0053084C" w:rsidRDefault="0053084C" w:rsidP="0053084C">
                    <w:pPr>
                      <w:spacing w:line="0" w:lineRule="atLeast"/>
                      <w:rPr>
                        <w:sz w:val="13"/>
                        <w:szCs w:val="13"/>
                      </w:rPr>
                    </w:pPr>
                    <w:r>
                      <w:rPr>
                        <w:sz w:val="13"/>
                        <w:szCs w:val="13"/>
                      </w:rPr>
                      <w:t>2025Z20188/2025D48767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223FCAF" wp14:editId="2530DE2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810B58" w14:textId="77777777" w:rsidR="00FF6259" w:rsidRDefault="00FF6259"/>
                      </w:txbxContent>
                    </wps:txbx>
                    <wps:bodyPr vert="horz" wrap="square" lIns="0" tIns="0" rIns="0" bIns="0" anchor="t" anchorCtr="0"/>
                  </wps:wsp>
                </a:graphicData>
              </a:graphic>
            </wp:anchor>
          </w:drawing>
        </mc:Choice>
        <mc:Fallback>
          <w:pict>
            <v:shape w14:anchorId="7223FCA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A810B58" w14:textId="77777777" w:rsidR="00FF6259" w:rsidRDefault="00FF625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226398" wp14:editId="1453B85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989CAD" w14:textId="77777777" w:rsidR="009B2413" w:rsidRDefault="00FF6259">
                          <w:pPr>
                            <w:pStyle w:val="Referentiegegevens"/>
                          </w:pPr>
                          <w:r>
                            <w:t xml:space="preserve">Pagina </w:t>
                          </w:r>
                          <w:r>
                            <w:fldChar w:fldCharType="begin"/>
                          </w:r>
                          <w:r>
                            <w:instrText>PAGE</w:instrText>
                          </w:r>
                          <w:r>
                            <w:fldChar w:fldCharType="separate"/>
                          </w:r>
                          <w:r w:rsidR="001D6F6A">
                            <w:rPr>
                              <w:noProof/>
                            </w:rPr>
                            <w:t>1</w:t>
                          </w:r>
                          <w:r>
                            <w:fldChar w:fldCharType="end"/>
                          </w:r>
                          <w:r>
                            <w:t xml:space="preserve"> van </w:t>
                          </w:r>
                          <w:r>
                            <w:fldChar w:fldCharType="begin"/>
                          </w:r>
                          <w:r>
                            <w:instrText>NUMPAGES</w:instrText>
                          </w:r>
                          <w:r>
                            <w:fldChar w:fldCharType="separate"/>
                          </w:r>
                          <w:r w:rsidR="001D6F6A">
                            <w:rPr>
                              <w:noProof/>
                            </w:rPr>
                            <w:t>1</w:t>
                          </w:r>
                          <w:r>
                            <w:fldChar w:fldCharType="end"/>
                          </w:r>
                        </w:p>
                      </w:txbxContent>
                    </wps:txbx>
                    <wps:bodyPr vert="horz" wrap="square" lIns="0" tIns="0" rIns="0" bIns="0" anchor="t" anchorCtr="0"/>
                  </wps:wsp>
                </a:graphicData>
              </a:graphic>
            </wp:anchor>
          </w:drawing>
        </mc:Choice>
        <mc:Fallback>
          <w:pict>
            <v:shape w14:anchorId="7A22639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A989CAD" w14:textId="77777777" w:rsidR="009B2413" w:rsidRDefault="00FF6259">
                    <w:pPr>
                      <w:pStyle w:val="Referentiegegevens"/>
                    </w:pPr>
                    <w:r>
                      <w:t xml:space="preserve">Pagina </w:t>
                    </w:r>
                    <w:r>
                      <w:fldChar w:fldCharType="begin"/>
                    </w:r>
                    <w:r>
                      <w:instrText>PAGE</w:instrText>
                    </w:r>
                    <w:r>
                      <w:fldChar w:fldCharType="separate"/>
                    </w:r>
                    <w:r w:rsidR="001D6F6A">
                      <w:rPr>
                        <w:noProof/>
                      </w:rPr>
                      <w:t>1</w:t>
                    </w:r>
                    <w:r>
                      <w:fldChar w:fldCharType="end"/>
                    </w:r>
                    <w:r>
                      <w:t xml:space="preserve"> van </w:t>
                    </w:r>
                    <w:r>
                      <w:fldChar w:fldCharType="begin"/>
                    </w:r>
                    <w:r>
                      <w:instrText>NUMPAGES</w:instrText>
                    </w:r>
                    <w:r>
                      <w:fldChar w:fldCharType="separate"/>
                    </w:r>
                    <w:r w:rsidR="001D6F6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AD43187" wp14:editId="697D0A4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CE7317" w14:textId="77777777" w:rsidR="009B2413" w:rsidRDefault="00FF6259">
                          <w:pPr>
                            <w:spacing w:line="240" w:lineRule="auto"/>
                          </w:pPr>
                          <w:r>
                            <w:rPr>
                              <w:noProof/>
                            </w:rPr>
                            <w:drawing>
                              <wp:inline distT="0" distB="0" distL="0" distR="0" wp14:anchorId="677289FD" wp14:editId="3024AAE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D4318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5CE7317" w14:textId="77777777" w:rsidR="009B2413" w:rsidRDefault="00FF6259">
                    <w:pPr>
                      <w:spacing w:line="240" w:lineRule="auto"/>
                    </w:pPr>
                    <w:r>
                      <w:rPr>
                        <w:noProof/>
                      </w:rPr>
                      <w:drawing>
                        <wp:inline distT="0" distB="0" distL="0" distR="0" wp14:anchorId="677289FD" wp14:editId="3024AAE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CFFC737" wp14:editId="7B8A742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B1920D" w14:textId="77777777" w:rsidR="009B2413" w:rsidRDefault="00FF6259">
                          <w:pPr>
                            <w:spacing w:line="240" w:lineRule="auto"/>
                          </w:pPr>
                          <w:r>
                            <w:rPr>
                              <w:noProof/>
                            </w:rPr>
                            <w:drawing>
                              <wp:inline distT="0" distB="0" distL="0" distR="0" wp14:anchorId="09BC548E" wp14:editId="190484C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FFC73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2B1920D" w14:textId="77777777" w:rsidR="009B2413" w:rsidRDefault="00FF6259">
                    <w:pPr>
                      <w:spacing w:line="240" w:lineRule="auto"/>
                    </w:pPr>
                    <w:r>
                      <w:rPr>
                        <w:noProof/>
                      </w:rPr>
                      <w:drawing>
                        <wp:inline distT="0" distB="0" distL="0" distR="0" wp14:anchorId="09BC548E" wp14:editId="190484C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995E63D" wp14:editId="56AE7A5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144315" w14:textId="77777777" w:rsidR="009B2413" w:rsidRDefault="00FF625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995E63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6144315" w14:textId="77777777" w:rsidR="009B2413" w:rsidRDefault="00FF625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D145D8"/>
    <w:multiLevelType w:val="multilevel"/>
    <w:tmpl w:val="A20F8FA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272D352"/>
    <w:multiLevelType w:val="multilevel"/>
    <w:tmpl w:val="A93E324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B1E7B7D"/>
    <w:multiLevelType w:val="multilevel"/>
    <w:tmpl w:val="F7AD763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AA9372A"/>
    <w:multiLevelType w:val="hybridMultilevel"/>
    <w:tmpl w:val="1352B2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AF4770E"/>
    <w:multiLevelType w:val="hybridMultilevel"/>
    <w:tmpl w:val="569AE55E"/>
    <w:lvl w:ilvl="0" w:tplc="024675B0">
      <w:start w:val="1"/>
      <w:numFmt w:val="decimal"/>
      <w:lvlText w:val="%1)"/>
      <w:lvlJc w:val="left"/>
      <w:pPr>
        <w:ind w:left="1020" w:hanging="360"/>
      </w:pPr>
    </w:lvl>
    <w:lvl w:ilvl="1" w:tplc="66426C7A">
      <w:start w:val="1"/>
      <w:numFmt w:val="decimal"/>
      <w:lvlText w:val="%2)"/>
      <w:lvlJc w:val="left"/>
      <w:pPr>
        <w:ind w:left="1020" w:hanging="360"/>
      </w:pPr>
    </w:lvl>
    <w:lvl w:ilvl="2" w:tplc="12C2DEFA">
      <w:start w:val="1"/>
      <w:numFmt w:val="decimal"/>
      <w:lvlText w:val="%3)"/>
      <w:lvlJc w:val="left"/>
      <w:pPr>
        <w:ind w:left="1020" w:hanging="360"/>
      </w:pPr>
    </w:lvl>
    <w:lvl w:ilvl="3" w:tplc="B32EA1C2">
      <w:start w:val="1"/>
      <w:numFmt w:val="decimal"/>
      <w:lvlText w:val="%4)"/>
      <w:lvlJc w:val="left"/>
      <w:pPr>
        <w:ind w:left="1020" w:hanging="360"/>
      </w:pPr>
    </w:lvl>
    <w:lvl w:ilvl="4" w:tplc="2536FEDC">
      <w:start w:val="1"/>
      <w:numFmt w:val="decimal"/>
      <w:lvlText w:val="%5)"/>
      <w:lvlJc w:val="left"/>
      <w:pPr>
        <w:ind w:left="1020" w:hanging="360"/>
      </w:pPr>
    </w:lvl>
    <w:lvl w:ilvl="5" w:tplc="04BABE4E">
      <w:start w:val="1"/>
      <w:numFmt w:val="decimal"/>
      <w:lvlText w:val="%6)"/>
      <w:lvlJc w:val="left"/>
      <w:pPr>
        <w:ind w:left="1020" w:hanging="360"/>
      </w:pPr>
    </w:lvl>
    <w:lvl w:ilvl="6" w:tplc="32E84A86">
      <w:start w:val="1"/>
      <w:numFmt w:val="decimal"/>
      <w:lvlText w:val="%7)"/>
      <w:lvlJc w:val="left"/>
      <w:pPr>
        <w:ind w:left="1020" w:hanging="360"/>
      </w:pPr>
    </w:lvl>
    <w:lvl w:ilvl="7" w:tplc="52862E12">
      <w:start w:val="1"/>
      <w:numFmt w:val="decimal"/>
      <w:lvlText w:val="%8)"/>
      <w:lvlJc w:val="left"/>
      <w:pPr>
        <w:ind w:left="1020" w:hanging="360"/>
      </w:pPr>
    </w:lvl>
    <w:lvl w:ilvl="8" w:tplc="D8FCB50A">
      <w:start w:val="1"/>
      <w:numFmt w:val="decimal"/>
      <w:lvlText w:val="%9)"/>
      <w:lvlJc w:val="left"/>
      <w:pPr>
        <w:ind w:left="1020" w:hanging="360"/>
      </w:pPr>
    </w:lvl>
  </w:abstractNum>
  <w:abstractNum w:abstractNumId="5" w15:restartNumberingAfterBreak="0">
    <w:nsid w:val="187FB307"/>
    <w:multiLevelType w:val="multilevel"/>
    <w:tmpl w:val="3A97CD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18867127"/>
    <w:multiLevelType w:val="hybridMultilevel"/>
    <w:tmpl w:val="6B249F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B061A2"/>
    <w:multiLevelType w:val="hybridMultilevel"/>
    <w:tmpl w:val="859C2A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2BF0CBB"/>
    <w:multiLevelType w:val="multilevel"/>
    <w:tmpl w:val="D69F383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61C63E81"/>
    <w:multiLevelType w:val="hybridMultilevel"/>
    <w:tmpl w:val="C1EAC7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BD0150D"/>
    <w:multiLevelType w:val="multilevel"/>
    <w:tmpl w:val="ACD5CC8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11734353">
    <w:abstractNumId w:val="8"/>
  </w:num>
  <w:num w:numId="2" w16cid:durableId="188688882">
    <w:abstractNumId w:val="1"/>
  </w:num>
  <w:num w:numId="3" w16cid:durableId="782726814">
    <w:abstractNumId w:val="0"/>
  </w:num>
  <w:num w:numId="4" w16cid:durableId="2119137220">
    <w:abstractNumId w:val="10"/>
  </w:num>
  <w:num w:numId="5" w16cid:durableId="105853631">
    <w:abstractNumId w:val="2"/>
  </w:num>
  <w:num w:numId="6" w16cid:durableId="943539684">
    <w:abstractNumId w:val="5"/>
  </w:num>
  <w:num w:numId="7" w16cid:durableId="1246765765">
    <w:abstractNumId w:val="9"/>
  </w:num>
  <w:num w:numId="8" w16cid:durableId="719936505">
    <w:abstractNumId w:val="6"/>
  </w:num>
  <w:num w:numId="9" w16cid:durableId="936254834">
    <w:abstractNumId w:val="7"/>
  </w:num>
  <w:num w:numId="10" w16cid:durableId="1435323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2731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6A"/>
    <w:rsid w:val="00050978"/>
    <w:rsid w:val="000773AD"/>
    <w:rsid w:val="00083719"/>
    <w:rsid w:val="000A00E6"/>
    <w:rsid w:val="000A02FD"/>
    <w:rsid w:val="000A4C32"/>
    <w:rsid w:val="000B6221"/>
    <w:rsid w:val="000C7128"/>
    <w:rsid w:val="000D1772"/>
    <w:rsid w:val="000F3454"/>
    <w:rsid w:val="00102D63"/>
    <w:rsid w:val="001303C0"/>
    <w:rsid w:val="00131C8A"/>
    <w:rsid w:val="00157837"/>
    <w:rsid w:val="00180C61"/>
    <w:rsid w:val="001D6F6A"/>
    <w:rsid w:val="001F11DE"/>
    <w:rsid w:val="001F37A1"/>
    <w:rsid w:val="001F6F25"/>
    <w:rsid w:val="00201EBF"/>
    <w:rsid w:val="00202D63"/>
    <w:rsid w:val="00205040"/>
    <w:rsid w:val="00255DF9"/>
    <w:rsid w:val="00263982"/>
    <w:rsid w:val="002E6148"/>
    <w:rsid w:val="00313213"/>
    <w:rsid w:val="003147B7"/>
    <w:rsid w:val="00322280"/>
    <w:rsid w:val="00347013"/>
    <w:rsid w:val="00366298"/>
    <w:rsid w:val="00371075"/>
    <w:rsid w:val="003738AD"/>
    <w:rsid w:val="003815C5"/>
    <w:rsid w:val="00446548"/>
    <w:rsid w:val="00466210"/>
    <w:rsid w:val="004713FF"/>
    <w:rsid w:val="0048720C"/>
    <w:rsid w:val="00490FDC"/>
    <w:rsid w:val="004A5BF6"/>
    <w:rsid w:val="004F31C2"/>
    <w:rsid w:val="00500811"/>
    <w:rsid w:val="0053084C"/>
    <w:rsid w:val="00534E18"/>
    <w:rsid w:val="00553C46"/>
    <w:rsid w:val="005747CA"/>
    <w:rsid w:val="00585246"/>
    <w:rsid w:val="005C3248"/>
    <w:rsid w:val="005F2143"/>
    <w:rsid w:val="0060157A"/>
    <w:rsid w:val="006148E7"/>
    <w:rsid w:val="00616F12"/>
    <w:rsid w:val="00626911"/>
    <w:rsid w:val="00646D09"/>
    <w:rsid w:val="00652C3E"/>
    <w:rsid w:val="00665BA2"/>
    <w:rsid w:val="00671A91"/>
    <w:rsid w:val="00676796"/>
    <w:rsid w:val="006977E8"/>
    <w:rsid w:val="006B7037"/>
    <w:rsid w:val="006D54E6"/>
    <w:rsid w:val="007236A5"/>
    <w:rsid w:val="00737099"/>
    <w:rsid w:val="0075597D"/>
    <w:rsid w:val="0076361D"/>
    <w:rsid w:val="00797441"/>
    <w:rsid w:val="007A6E67"/>
    <w:rsid w:val="007E16EB"/>
    <w:rsid w:val="007F608F"/>
    <w:rsid w:val="008033B7"/>
    <w:rsid w:val="00835822"/>
    <w:rsid w:val="0084315F"/>
    <w:rsid w:val="008601B6"/>
    <w:rsid w:val="00860C30"/>
    <w:rsid w:val="00877A92"/>
    <w:rsid w:val="00882D04"/>
    <w:rsid w:val="008949F9"/>
    <w:rsid w:val="008A1CF3"/>
    <w:rsid w:val="008C159B"/>
    <w:rsid w:val="00914815"/>
    <w:rsid w:val="00915768"/>
    <w:rsid w:val="00922BF0"/>
    <w:rsid w:val="00934DCC"/>
    <w:rsid w:val="009445DD"/>
    <w:rsid w:val="009A655E"/>
    <w:rsid w:val="009B2413"/>
    <w:rsid w:val="009C518E"/>
    <w:rsid w:val="00A00C76"/>
    <w:rsid w:val="00A00F48"/>
    <w:rsid w:val="00A256D7"/>
    <w:rsid w:val="00A31AA0"/>
    <w:rsid w:val="00A55CBD"/>
    <w:rsid w:val="00AA36AF"/>
    <w:rsid w:val="00AA7984"/>
    <w:rsid w:val="00AC2026"/>
    <w:rsid w:val="00AD614C"/>
    <w:rsid w:val="00B23D93"/>
    <w:rsid w:val="00B52AAF"/>
    <w:rsid w:val="00B567A0"/>
    <w:rsid w:val="00B80E9F"/>
    <w:rsid w:val="00B92ED4"/>
    <w:rsid w:val="00BA5438"/>
    <w:rsid w:val="00BC52FC"/>
    <w:rsid w:val="00BD1168"/>
    <w:rsid w:val="00BD56FA"/>
    <w:rsid w:val="00C05E68"/>
    <w:rsid w:val="00C10D9B"/>
    <w:rsid w:val="00C510FF"/>
    <w:rsid w:val="00C67B5A"/>
    <w:rsid w:val="00C74F7A"/>
    <w:rsid w:val="00C75045"/>
    <w:rsid w:val="00CB5C7D"/>
    <w:rsid w:val="00CC38F2"/>
    <w:rsid w:val="00CD2F63"/>
    <w:rsid w:val="00CE1224"/>
    <w:rsid w:val="00D075B5"/>
    <w:rsid w:val="00D15FD1"/>
    <w:rsid w:val="00D6132D"/>
    <w:rsid w:val="00D6150F"/>
    <w:rsid w:val="00D7112C"/>
    <w:rsid w:val="00D766A7"/>
    <w:rsid w:val="00D83E25"/>
    <w:rsid w:val="00D975FE"/>
    <w:rsid w:val="00DA48AE"/>
    <w:rsid w:val="00DD1DFB"/>
    <w:rsid w:val="00DE0D77"/>
    <w:rsid w:val="00E336D8"/>
    <w:rsid w:val="00E4429B"/>
    <w:rsid w:val="00E51709"/>
    <w:rsid w:val="00E564C3"/>
    <w:rsid w:val="00E63EFA"/>
    <w:rsid w:val="00E85CEE"/>
    <w:rsid w:val="00E8711A"/>
    <w:rsid w:val="00E959E3"/>
    <w:rsid w:val="00EC2907"/>
    <w:rsid w:val="00EC4C1A"/>
    <w:rsid w:val="00ED3977"/>
    <w:rsid w:val="00F20A38"/>
    <w:rsid w:val="00F62DC0"/>
    <w:rsid w:val="00F64FCE"/>
    <w:rsid w:val="00F716DA"/>
    <w:rsid w:val="00F9342E"/>
    <w:rsid w:val="00F94EB0"/>
    <w:rsid w:val="00FA2669"/>
    <w:rsid w:val="00FA6400"/>
    <w:rsid w:val="00FC0632"/>
    <w:rsid w:val="00FC3E90"/>
    <w:rsid w:val="00FC44F0"/>
    <w:rsid w:val="00FD114F"/>
    <w:rsid w:val="00FD547F"/>
    <w:rsid w:val="00FE2AAE"/>
    <w:rsid w:val="00FF62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0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D6F6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D6F6A"/>
    <w:rPr>
      <w:rFonts w:ascii="Verdana" w:hAnsi="Verdana"/>
      <w:color w:val="000000"/>
      <w:sz w:val="18"/>
      <w:szCs w:val="18"/>
    </w:rPr>
  </w:style>
  <w:style w:type="character" w:styleId="Onopgelostemelding">
    <w:name w:val="Unresolved Mention"/>
    <w:basedOn w:val="Standaardalinea-lettertype"/>
    <w:uiPriority w:val="99"/>
    <w:semiHidden/>
    <w:unhideWhenUsed/>
    <w:rsid w:val="001D6F6A"/>
    <w:rPr>
      <w:color w:val="605E5C"/>
      <w:shd w:val="clear" w:color="auto" w:fill="E1DFDD"/>
    </w:rPr>
  </w:style>
  <w:style w:type="paragraph" w:styleId="Voetnoottekst">
    <w:name w:val="footnote text"/>
    <w:basedOn w:val="Standaard"/>
    <w:link w:val="VoetnoottekstChar"/>
    <w:uiPriority w:val="99"/>
    <w:semiHidden/>
    <w:unhideWhenUsed/>
    <w:rsid w:val="001D6F6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D6F6A"/>
    <w:rPr>
      <w:rFonts w:ascii="Verdana" w:hAnsi="Verdana"/>
      <w:color w:val="000000"/>
    </w:rPr>
  </w:style>
  <w:style w:type="character" w:styleId="Voetnootmarkering">
    <w:name w:val="footnote reference"/>
    <w:basedOn w:val="Standaardalinea-lettertype"/>
    <w:uiPriority w:val="99"/>
    <w:semiHidden/>
    <w:unhideWhenUsed/>
    <w:rsid w:val="001D6F6A"/>
    <w:rPr>
      <w:vertAlign w:val="superscript"/>
    </w:rPr>
  </w:style>
  <w:style w:type="paragraph" w:styleId="Lijstalinea">
    <w:name w:val="List Paragraph"/>
    <w:basedOn w:val="Standaard"/>
    <w:uiPriority w:val="34"/>
    <w:semiHidden/>
    <w:rsid w:val="001D6F6A"/>
    <w:pPr>
      <w:ind w:left="720"/>
      <w:contextualSpacing/>
    </w:pPr>
  </w:style>
  <w:style w:type="character" w:styleId="Verwijzingopmerking">
    <w:name w:val="annotation reference"/>
    <w:basedOn w:val="Standaardalinea-lettertype"/>
    <w:uiPriority w:val="99"/>
    <w:semiHidden/>
    <w:unhideWhenUsed/>
    <w:rsid w:val="006D54E6"/>
    <w:rPr>
      <w:sz w:val="16"/>
      <w:szCs w:val="16"/>
    </w:rPr>
  </w:style>
  <w:style w:type="paragraph" w:styleId="Tekstopmerking">
    <w:name w:val="annotation text"/>
    <w:basedOn w:val="Standaard"/>
    <w:link w:val="TekstopmerkingChar"/>
    <w:uiPriority w:val="99"/>
    <w:unhideWhenUsed/>
    <w:rsid w:val="006D54E6"/>
    <w:pPr>
      <w:spacing w:line="240" w:lineRule="auto"/>
    </w:pPr>
    <w:rPr>
      <w:sz w:val="20"/>
      <w:szCs w:val="20"/>
    </w:rPr>
  </w:style>
  <w:style w:type="character" w:customStyle="1" w:styleId="TekstopmerkingChar">
    <w:name w:val="Tekst opmerking Char"/>
    <w:basedOn w:val="Standaardalinea-lettertype"/>
    <w:link w:val="Tekstopmerking"/>
    <w:uiPriority w:val="99"/>
    <w:rsid w:val="006D54E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D54E6"/>
    <w:rPr>
      <w:b/>
      <w:bCs/>
    </w:rPr>
  </w:style>
  <w:style w:type="character" w:customStyle="1" w:styleId="OnderwerpvanopmerkingChar">
    <w:name w:val="Onderwerp van opmerking Char"/>
    <w:basedOn w:val="TekstopmerkingChar"/>
    <w:link w:val="Onderwerpvanopmerking"/>
    <w:uiPriority w:val="99"/>
    <w:semiHidden/>
    <w:rsid w:val="006D54E6"/>
    <w:rPr>
      <w:rFonts w:ascii="Verdana" w:hAnsi="Verdana"/>
      <w:b/>
      <w:bCs/>
      <w:color w:val="000000"/>
    </w:rPr>
  </w:style>
  <w:style w:type="paragraph" w:styleId="Revisie">
    <w:name w:val="Revision"/>
    <w:hidden/>
    <w:uiPriority w:val="99"/>
    <w:semiHidden/>
    <w:rsid w:val="0079744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4553">
      <w:bodyDiv w:val="1"/>
      <w:marLeft w:val="0"/>
      <w:marRight w:val="0"/>
      <w:marTop w:val="0"/>
      <w:marBottom w:val="0"/>
      <w:divBdr>
        <w:top w:val="none" w:sz="0" w:space="0" w:color="auto"/>
        <w:left w:val="none" w:sz="0" w:space="0" w:color="auto"/>
        <w:bottom w:val="none" w:sz="0" w:space="0" w:color="auto"/>
        <w:right w:val="none" w:sz="0" w:space="0" w:color="auto"/>
      </w:divBdr>
    </w:div>
    <w:div w:id="676231078">
      <w:bodyDiv w:val="1"/>
      <w:marLeft w:val="0"/>
      <w:marRight w:val="0"/>
      <w:marTop w:val="0"/>
      <w:marBottom w:val="0"/>
      <w:divBdr>
        <w:top w:val="none" w:sz="0" w:space="0" w:color="auto"/>
        <w:left w:val="none" w:sz="0" w:space="0" w:color="auto"/>
        <w:bottom w:val="none" w:sz="0" w:space="0" w:color="auto"/>
        <w:right w:val="none" w:sz="0" w:space="0" w:color="auto"/>
      </w:divBdr>
    </w:div>
    <w:div w:id="730688207">
      <w:bodyDiv w:val="1"/>
      <w:marLeft w:val="0"/>
      <w:marRight w:val="0"/>
      <w:marTop w:val="0"/>
      <w:marBottom w:val="0"/>
      <w:divBdr>
        <w:top w:val="none" w:sz="0" w:space="0" w:color="auto"/>
        <w:left w:val="none" w:sz="0" w:space="0" w:color="auto"/>
        <w:bottom w:val="none" w:sz="0" w:space="0" w:color="auto"/>
        <w:right w:val="none" w:sz="0" w:space="0" w:color="auto"/>
      </w:divBdr>
    </w:div>
    <w:div w:id="756173520">
      <w:bodyDiv w:val="1"/>
      <w:marLeft w:val="0"/>
      <w:marRight w:val="0"/>
      <w:marTop w:val="0"/>
      <w:marBottom w:val="0"/>
      <w:divBdr>
        <w:top w:val="none" w:sz="0" w:space="0" w:color="auto"/>
        <w:left w:val="none" w:sz="0" w:space="0" w:color="auto"/>
        <w:bottom w:val="none" w:sz="0" w:space="0" w:color="auto"/>
        <w:right w:val="none" w:sz="0" w:space="0" w:color="auto"/>
      </w:divBdr>
    </w:div>
    <w:div w:id="782113429">
      <w:bodyDiv w:val="1"/>
      <w:marLeft w:val="0"/>
      <w:marRight w:val="0"/>
      <w:marTop w:val="0"/>
      <w:marBottom w:val="0"/>
      <w:divBdr>
        <w:top w:val="none" w:sz="0" w:space="0" w:color="auto"/>
        <w:left w:val="none" w:sz="0" w:space="0" w:color="auto"/>
        <w:bottom w:val="none" w:sz="0" w:space="0" w:color="auto"/>
        <w:right w:val="none" w:sz="0" w:space="0" w:color="auto"/>
      </w:divBdr>
    </w:div>
    <w:div w:id="897865756">
      <w:bodyDiv w:val="1"/>
      <w:marLeft w:val="0"/>
      <w:marRight w:val="0"/>
      <w:marTop w:val="0"/>
      <w:marBottom w:val="0"/>
      <w:divBdr>
        <w:top w:val="none" w:sz="0" w:space="0" w:color="auto"/>
        <w:left w:val="none" w:sz="0" w:space="0" w:color="auto"/>
        <w:bottom w:val="none" w:sz="0" w:space="0" w:color="auto"/>
        <w:right w:val="none" w:sz="0" w:space="0" w:color="auto"/>
      </w:divBdr>
    </w:div>
    <w:div w:id="977881504">
      <w:bodyDiv w:val="1"/>
      <w:marLeft w:val="0"/>
      <w:marRight w:val="0"/>
      <w:marTop w:val="0"/>
      <w:marBottom w:val="0"/>
      <w:divBdr>
        <w:top w:val="none" w:sz="0" w:space="0" w:color="auto"/>
        <w:left w:val="none" w:sz="0" w:space="0" w:color="auto"/>
        <w:bottom w:val="none" w:sz="0" w:space="0" w:color="auto"/>
        <w:right w:val="none" w:sz="0" w:space="0" w:color="auto"/>
      </w:divBdr>
    </w:div>
    <w:div w:id="1075588280">
      <w:bodyDiv w:val="1"/>
      <w:marLeft w:val="0"/>
      <w:marRight w:val="0"/>
      <w:marTop w:val="0"/>
      <w:marBottom w:val="0"/>
      <w:divBdr>
        <w:top w:val="none" w:sz="0" w:space="0" w:color="auto"/>
        <w:left w:val="none" w:sz="0" w:space="0" w:color="auto"/>
        <w:bottom w:val="none" w:sz="0" w:space="0" w:color="auto"/>
        <w:right w:val="none" w:sz="0" w:space="0" w:color="auto"/>
      </w:divBdr>
    </w:div>
    <w:div w:id="1278639240">
      <w:bodyDiv w:val="1"/>
      <w:marLeft w:val="0"/>
      <w:marRight w:val="0"/>
      <w:marTop w:val="0"/>
      <w:marBottom w:val="0"/>
      <w:divBdr>
        <w:top w:val="none" w:sz="0" w:space="0" w:color="auto"/>
        <w:left w:val="none" w:sz="0" w:space="0" w:color="auto"/>
        <w:bottom w:val="none" w:sz="0" w:space="0" w:color="auto"/>
        <w:right w:val="none" w:sz="0" w:space="0" w:color="auto"/>
      </w:divBdr>
    </w:div>
    <w:div w:id="1342733499">
      <w:bodyDiv w:val="1"/>
      <w:marLeft w:val="0"/>
      <w:marRight w:val="0"/>
      <w:marTop w:val="0"/>
      <w:marBottom w:val="0"/>
      <w:divBdr>
        <w:top w:val="none" w:sz="0" w:space="0" w:color="auto"/>
        <w:left w:val="none" w:sz="0" w:space="0" w:color="auto"/>
        <w:bottom w:val="none" w:sz="0" w:space="0" w:color="auto"/>
        <w:right w:val="none" w:sz="0" w:space="0" w:color="auto"/>
      </w:divBdr>
    </w:div>
    <w:div w:id="1385527177">
      <w:bodyDiv w:val="1"/>
      <w:marLeft w:val="0"/>
      <w:marRight w:val="0"/>
      <w:marTop w:val="0"/>
      <w:marBottom w:val="0"/>
      <w:divBdr>
        <w:top w:val="none" w:sz="0" w:space="0" w:color="auto"/>
        <w:left w:val="none" w:sz="0" w:space="0" w:color="auto"/>
        <w:bottom w:val="none" w:sz="0" w:space="0" w:color="auto"/>
        <w:right w:val="none" w:sz="0" w:space="0" w:color="auto"/>
      </w:divBdr>
    </w:div>
    <w:div w:id="1852254047">
      <w:bodyDiv w:val="1"/>
      <w:marLeft w:val="0"/>
      <w:marRight w:val="0"/>
      <w:marTop w:val="0"/>
      <w:marBottom w:val="0"/>
      <w:divBdr>
        <w:top w:val="none" w:sz="0" w:space="0" w:color="auto"/>
        <w:left w:val="none" w:sz="0" w:space="0" w:color="auto"/>
        <w:bottom w:val="none" w:sz="0" w:space="0" w:color="auto"/>
        <w:right w:val="none" w:sz="0" w:space="0" w:color="auto"/>
      </w:divBdr>
    </w:div>
    <w:div w:id="1907105911">
      <w:bodyDiv w:val="1"/>
      <w:marLeft w:val="0"/>
      <w:marRight w:val="0"/>
      <w:marTop w:val="0"/>
      <w:marBottom w:val="0"/>
      <w:divBdr>
        <w:top w:val="none" w:sz="0" w:space="0" w:color="auto"/>
        <w:left w:val="none" w:sz="0" w:space="0" w:color="auto"/>
        <w:bottom w:val="none" w:sz="0" w:space="0" w:color="auto"/>
        <w:right w:val="none" w:sz="0" w:space="0" w:color="auto"/>
      </w:divBdr>
    </w:div>
    <w:div w:id="2129543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9/11/tk-periodieke-rapportage-forensische-zorg-art-34-3-1-21-begrotingswet" TargetMode="External"/><Relationship Id="rId2" Type="http://schemas.openxmlformats.org/officeDocument/2006/relationships/hyperlink" Target="https://zoek.officielebekendmakingen.nl/stcrt-2022-19587.html" TargetMode="External"/><Relationship Id="rId1" Type="http://schemas.openxmlformats.org/officeDocument/2006/relationships/hyperlink" Target="https://www.rijksoverheid.nl/documenten/rapporten/2025/09/11/tk-periodieke-rapportage-forensische-zorg-art-34-3-1-21-begrotingswet" TargetMode="External"/><Relationship Id="rId6" Type="http://schemas.openxmlformats.org/officeDocument/2006/relationships/hyperlink" Target="http://www.rijksfinancien.nl" TargetMode="External"/><Relationship Id="rId5" Type="http://schemas.openxmlformats.org/officeDocument/2006/relationships/hyperlink" Target="https://www.rijksoverheid.nl/documenten/rapporten/2025/09/11/tk-periodieke-rapportage-forensische-zorg-art-34-3-1-21-begrotingswet" TargetMode="External"/><Relationship Id="rId4" Type="http://schemas.openxmlformats.org/officeDocument/2006/relationships/hyperlink" Target="https://www.rijksoverheid.nl/documenten/rapporten/2025/09/11/tk-periodieke-rapportage-forensische-zorg-art-34-3-1-21-begrotingsw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1766</ap:Words>
  <ap:Characters>9716</ap:Characters>
  <ap:DocSecurity>0</ap:DocSecurity>
  <ap:Lines>80</ap:Lines>
  <ap:Paragraphs>22</ap:Paragraphs>
  <ap:ScaleCrop>false</ap:ScaleCrop>
  <ap:LinksUpToDate>false</ap:LinksUpToDate>
  <ap:CharactersWithSpaces>11460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2026-01-20T10:45:00.0000000Z</dcterms:created>
  <dcterms:modified xsi:type="dcterms:W3CDTF">2026-01-20T10:45:00.0000000Z</dcterms:modified>
  <dc:description>------------------------</dc:description>
  <version/>
  <category/>
</coreProperties>
</file>