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AB598C6" w14:textId="77777777">
        <w:tc>
          <w:tcPr>
            <w:tcW w:w="6733" w:type="dxa"/>
            <w:gridSpan w:val="2"/>
            <w:tcBorders>
              <w:top w:val="nil"/>
              <w:left w:val="nil"/>
              <w:bottom w:val="nil"/>
              <w:right w:val="nil"/>
            </w:tcBorders>
            <w:vAlign w:val="center"/>
          </w:tcPr>
          <w:p w:rsidR="00D51DFF" w:rsidRDefault="00D51DFF" w14:paraId="4CE9E4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3F009D2"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FA7AC62" w14:textId="77777777">
        <w:trPr>
          <w:cantSplit/>
        </w:trPr>
        <w:tc>
          <w:tcPr>
            <w:tcW w:w="11060" w:type="dxa"/>
            <w:gridSpan w:val="3"/>
            <w:tcBorders>
              <w:top w:val="single" w:color="auto" w:sz="4" w:space="0"/>
              <w:left w:val="nil"/>
              <w:bottom w:val="nil"/>
              <w:right w:val="nil"/>
            </w:tcBorders>
          </w:tcPr>
          <w:p w:rsidR="00D51DFF" w:rsidP="004742EF" w:rsidRDefault="00500F90" w14:paraId="53B2DBD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6CD579C1" w14:textId="77777777">
        <w:trPr>
          <w:cantSplit/>
        </w:trPr>
        <w:tc>
          <w:tcPr>
            <w:tcW w:w="11060" w:type="dxa"/>
            <w:gridSpan w:val="3"/>
            <w:tcBorders>
              <w:top w:val="nil"/>
              <w:left w:val="nil"/>
              <w:bottom w:val="nil"/>
              <w:right w:val="nil"/>
            </w:tcBorders>
          </w:tcPr>
          <w:p w:rsidR="00D51DFF" w:rsidRDefault="00D51DFF" w14:paraId="2E8CDBB5" w14:textId="77777777">
            <w:pPr>
              <w:pStyle w:val="Amendement"/>
              <w:tabs>
                <w:tab w:val="clear" w:pos="3310"/>
                <w:tab w:val="clear" w:pos="3600"/>
              </w:tabs>
              <w:jc w:val="right"/>
              <w:rPr>
                <w:rFonts w:ascii="Times New Roman" w:hAnsi="Times New Roman"/>
                <w:b w:val="0"/>
              </w:rPr>
            </w:pPr>
          </w:p>
        </w:tc>
      </w:tr>
      <w:tr w:rsidR="00D51DFF" w14:paraId="06471DDF" w14:textId="77777777">
        <w:trPr>
          <w:cantSplit/>
        </w:trPr>
        <w:tc>
          <w:tcPr>
            <w:tcW w:w="11060" w:type="dxa"/>
            <w:gridSpan w:val="3"/>
            <w:tcBorders>
              <w:top w:val="nil"/>
              <w:left w:val="nil"/>
              <w:bottom w:val="single" w:color="auto" w:sz="4" w:space="0"/>
              <w:right w:val="nil"/>
            </w:tcBorders>
          </w:tcPr>
          <w:p w:rsidR="00D51DFF" w:rsidRDefault="00D51DFF" w14:paraId="54ACDA7F" w14:textId="77777777">
            <w:pPr>
              <w:pStyle w:val="Amendement"/>
              <w:tabs>
                <w:tab w:val="clear" w:pos="3310"/>
                <w:tab w:val="clear" w:pos="3600"/>
              </w:tabs>
              <w:jc w:val="right"/>
              <w:rPr>
                <w:rFonts w:ascii="Times New Roman" w:hAnsi="Times New Roman"/>
              </w:rPr>
            </w:pPr>
          </w:p>
        </w:tc>
      </w:tr>
      <w:tr w:rsidR="00D51DFF" w14:paraId="5F934A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1519E6B"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33767BB" w14:textId="77777777">
            <w:pPr>
              <w:suppressAutoHyphens/>
              <w:rPr>
                <w:b/>
              </w:rPr>
            </w:pPr>
          </w:p>
        </w:tc>
      </w:tr>
      <w:tr w:rsidR="00BD6FD6" w14:paraId="1BE08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526800" w14:paraId="30972061" w14:textId="4171C162">
            <w:pPr>
              <w:rPr>
                <w:b/>
              </w:rPr>
            </w:pPr>
            <w:r>
              <w:rPr>
                <w:b/>
              </w:rPr>
              <w:t>36 885</w:t>
            </w:r>
            <w:r w:rsidRPr="007852AD" w:rsidR="00BD6FD6">
              <w:rPr>
                <w:b/>
              </w:rPr>
              <w:fldChar w:fldCharType="begin"/>
            </w:r>
            <w:r w:rsidRPr="007852AD" w:rsidR="00BD6FD6">
              <w:rPr>
                <w:b/>
              </w:rPr>
              <w:instrText xml:space="preserve"> =  \* MERGEFORMAT </w:instrText>
            </w:r>
            <w:r w:rsidRPr="007852AD" w:rsidR="00BD6FD6">
              <w:rPr>
                <w:b/>
              </w:rPr>
              <w:fldChar w:fldCharType="separate"/>
            </w:r>
            <w:r w:rsidRPr="007852AD" w:rsidR="00BD6FD6">
              <w:rPr>
                <w:b/>
              </w:rPr>
              <w:fldChar w:fldCharType="end"/>
            </w:r>
          </w:p>
        </w:tc>
        <w:tc>
          <w:tcPr>
            <w:tcW w:w="7729" w:type="dxa"/>
            <w:gridSpan w:val="2"/>
          </w:tcPr>
          <w:p w:rsidRPr="00526800" w:rsidR="00BD6FD6" w:rsidP="00222CF9" w:rsidRDefault="00526800" w14:paraId="30C1F4FE" w14:textId="2D55DC57">
            <w:pPr>
              <w:rPr>
                <w:b/>
                <w:bCs/>
              </w:rPr>
            </w:pPr>
            <w:r w:rsidRPr="00526800">
              <w:rPr>
                <w:b/>
                <w:bCs/>
              </w:rPr>
              <w:t>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w:t>
            </w:r>
          </w:p>
        </w:tc>
      </w:tr>
      <w:tr w:rsidR="00BD6FD6" w14:paraId="6C57B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EA4F823"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9D004DE" w14:textId="77777777">
            <w:pPr>
              <w:pStyle w:val="Amendement"/>
              <w:rPr>
                <w:rFonts w:ascii="Times New Roman" w:hAnsi="Times New Roman"/>
              </w:rPr>
            </w:pPr>
          </w:p>
        </w:tc>
      </w:tr>
      <w:tr w:rsidR="00BD6FD6" w:rsidTr="007852AD" w14:paraId="57505C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BBA5C1B" w14:textId="77777777">
            <w:pPr>
              <w:pStyle w:val="Amendement"/>
              <w:rPr>
                <w:rFonts w:ascii="Times New Roman" w:hAnsi="Times New Roman"/>
              </w:rPr>
            </w:pPr>
          </w:p>
        </w:tc>
        <w:tc>
          <w:tcPr>
            <w:tcW w:w="7729" w:type="dxa"/>
            <w:gridSpan w:val="2"/>
          </w:tcPr>
          <w:p w:rsidRPr="007852AD" w:rsidR="00BD6FD6" w:rsidRDefault="00BD6FD6" w14:paraId="376C7850" w14:textId="77777777">
            <w:pPr>
              <w:pStyle w:val="Amendement"/>
              <w:rPr>
                <w:rFonts w:ascii="Times New Roman" w:hAnsi="Times New Roman"/>
              </w:rPr>
            </w:pPr>
          </w:p>
        </w:tc>
      </w:tr>
      <w:tr w:rsidR="00BD6FD6" w14:paraId="6BDB2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0F285AA" w14:textId="68ABB580">
            <w:pPr>
              <w:pStyle w:val="Amendement"/>
              <w:rPr>
                <w:rFonts w:ascii="Times New Roman" w:hAnsi="Times New Roman"/>
              </w:rPr>
            </w:pPr>
            <w:r w:rsidRPr="007852AD">
              <w:rPr>
                <w:rFonts w:ascii="Times New Roman" w:hAnsi="Times New Roman"/>
              </w:rPr>
              <w:t xml:space="preserve">Nr. </w:t>
            </w:r>
            <w:r w:rsidR="00526800">
              <w:rPr>
                <w:rFonts w:ascii="Times New Roman" w:hAnsi="Times New Roman"/>
              </w:rPr>
              <w:t>4</w:t>
            </w:r>
          </w:p>
        </w:tc>
        <w:tc>
          <w:tcPr>
            <w:tcW w:w="7729" w:type="dxa"/>
            <w:gridSpan w:val="2"/>
          </w:tcPr>
          <w:p w:rsidRPr="007852AD" w:rsidR="00BD6FD6" w:rsidRDefault="00BD6FD6" w14:paraId="32FE965D"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02B54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2D26C7" w14:textId="77777777">
            <w:pPr>
              <w:pStyle w:val="Amendement"/>
              <w:rPr>
                <w:rFonts w:ascii="Times New Roman" w:hAnsi="Times New Roman"/>
              </w:rPr>
            </w:pPr>
          </w:p>
        </w:tc>
        <w:tc>
          <w:tcPr>
            <w:tcW w:w="7729" w:type="dxa"/>
            <w:gridSpan w:val="2"/>
          </w:tcPr>
          <w:p w:rsidR="00BD6FD6" w:rsidRDefault="00BD6FD6" w14:paraId="29357424" w14:textId="77777777">
            <w:pPr>
              <w:pStyle w:val="Amendement"/>
              <w:tabs>
                <w:tab w:val="clear" w:pos="3310"/>
                <w:tab w:val="clear" w:pos="3600"/>
              </w:tabs>
              <w:rPr>
                <w:rFonts w:ascii="Times New Roman" w:hAnsi="Times New Roman"/>
              </w:rPr>
            </w:pPr>
          </w:p>
        </w:tc>
      </w:tr>
      <w:tr w:rsidR="00BD6FD6" w14:paraId="3C1D7C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F597450" w14:textId="77777777">
            <w:pPr>
              <w:pStyle w:val="Amendement"/>
              <w:rPr>
                <w:rFonts w:ascii="Times New Roman" w:hAnsi="Times New Roman"/>
              </w:rPr>
            </w:pPr>
          </w:p>
        </w:tc>
        <w:tc>
          <w:tcPr>
            <w:tcW w:w="7729" w:type="dxa"/>
            <w:gridSpan w:val="2"/>
          </w:tcPr>
          <w:p w:rsidRPr="007852AD" w:rsidR="00BD6FD6" w:rsidP="00BD6FD6" w:rsidRDefault="00BD6FD6" w14:paraId="25D01E0C" w14:textId="7311104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526800">
              <w:rPr>
                <w:rFonts w:ascii="Times New Roman" w:hAnsi="Times New Roman"/>
                <w:b w:val="0"/>
              </w:rPr>
              <w:t>10 december 2025</w:t>
            </w:r>
            <w:r w:rsidRPr="007852AD">
              <w:rPr>
                <w:rFonts w:ascii="Times New Roman" w:hAnsi="Times New Roman"/>
                <w:b w:val="0"/>
              </w:rPr>
              <w:t xml:space="preserve"> en het nader rapport d.d. </w:t>
            </w:r>
            <w:r w:rsidR="00526800">
              <w:rPr>
                <w:rFonts w:ascii="Times New Roman" w:hAnsi="Times New Roman"/>
                <w:b w:val="0"/>
              </w:rPr>
              <w:t>13 januari 2026</w:t>
            </w:r>
            <w:r w:rsidRPr="007852AD">
              <w:rPr>
                <w:rFonts w:ascii="Times New Roman" w:hAnsi="Times New Roman"/>
                <w:b w:val="0"/>
              </w:rPr>
              <w:t xml:space="preserve">, aangeboden aan de Koning door de minister van </w:t>
            </w:r>
            <w:r w:rsidR="00526800">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41EE2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2B6E22" w14:textId="77777777">
            <w:pPr>
              <w:pStyle w:val="Amendement"/>
              <w:rPr>
                <w:rFonts w:ascii="Times New Roman" w:hAnsi="Times New Roman"/>
              </w:rPr>
            </w:pPr>
          </w:p>
        </w:tc>
        <w:tc>
          <w:tcPr>
            <w:tcW w:w="7729" w:type="dxa"/>
            <w:gridSpan w:val="2"/>
          </w:tcPr>
          <w:p w:rsidR="00BD6FD6" w:rsidRDefault="00BD6FD6" w14:paraId="672CEF88" w14:textId="77777777">
            <w:pPr>
              <w:pStyle w:val="Amendement"/>
              <w:tabs>
                <w:tab w:val="clear" w:pos="3310"/>
                <w:tab w:val="clear" w:pos="3600"/>
              </w:tabs>
              <w:rPr>
                <w:rFonts w:ascii="Times New Roman" w:hAnsi="Times New Roman"/>
                <w:b w:val="0"/>
              </w:rPr>
            </w:pPr>
          </w:p>
        </w:tc>
      </w:tr>
      <w:tr w:rsidR="00BD6FD6" w14:paraId="2D9C0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0691A1" w14:textId="77777777">
            <w:pPr>
              <w:pStyle w:val="Amendement"/>
              <w:rPr>
                <w:rFonts w:ascii="Times New Roman" w:hAnsi="Times New Roman"/>
              </w:rPr>
            </w:pPr>
          </w:p>
        </w:tc>
        <w:tc>
          <w:tcPr>
            <w:tcW w:w="7729" w:type="dxa"/>
            <w:gridSpan w:val="2"/>
          </w:tcPr>
          <w:p w:rsidR="00BD6FD6" w:rsidRDefault="00BD6FD6" w14:paraId="5F0DC06D" w14:textId="77777777">
            <w:pPr>
              <w:pStyle w:val="Amendement"/>
              <w:tabs>
                <w:tab w:val="clear" w:pos="3310"/>
                <w:tab w:val="clear" w:pos="3600"/>
              </w:tabs>
              <w:rPr>
                <w:rFonts w:ascii="Times New Roman" w:hAnsi="Times New Roman"/>
                <w:b w:val="0"/>
              </w:rPr>
            </w:pPr>
          </w:p>
        </w:tc>
      </w:tr>
      <w:tr w:rsidR="00BD6FD6" w14:paraId="59C68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5E68333" w14:textId="77777777">
            <w:pPr>
              <w:pStyle w:val="Amendement"/>
              <w:rPr>
                <w:rFonts w:ascii="Times New Roman" w:hAnsi="Times New Roman"/>
              </w:rPr>
            </w:pPr>
          </w:p>
        </w:tc>
        <w:tc>
          <w:tcPr>
            <w:tcW w:w="7729" w:type="dxa"/>
            <w:gridSpan w:val="2"/>
          </w:tcPr>
          <w:p w:rsidR="00BD6FD6" w:rsidRDefault="00BD6FD6" w14:paraId="0744142C" w14:textId="77777777">
            <w:pPr>
              <w:pStyle w:val="Amendement"/>
              <w:tabs>
                <w:tab w:val="clear" w:pos="3310"/>
                <w:tab w:val="clear" w:pos="3600"/>
              </w:tabs>
              <w:rPr>
                <w:rFonts w:ascii="Times New Roman" w:hAnsi="Times New Roman"/>
                <w:b w:val="0"/>
              </w:rPr>
            </w:pPr>
          </w:p>
        </w:tc>
      </w:tr>
    </w:tbl>
    <w:p w:rsidR="00D51DFF" w:rsidRDefault="00D51DFF" w14:paraId="30CB1B6E" w14:textId="77777777">
      <w:pPr>
        <w:pStyle w:val="Amendement"/>
        <w:rPr>
          <w:rFonts w:ascii="Times New Roman" w:hAnsi="Times New Roman"/>
          <w:b w:val="0"/>
        </w:rPr>
      </w:pPr>
    </w:p>
    <w:p w:rsidRPr="00FF708A" w:rsidR="00FF708A" w:rsidP="00FF708A" w:rsidRDefault="00FF708A" w14:paraId="222B4F8F" w14:textId="77777777">
      <w:pPr>
        <w:rPr>
          <w:szCs w:val="24"/>
        </w:rPr>
      </w:pPr>
      <w:r w:rsidRPr="00FF708A">
        <w:rPr>
          <w:szCs w:val="24"/>
        </w:rPr>
        <w:t>Blijkens de mededeling van de Directeur van Uw Kabinet van 15 oktober 2025, nr. 2025002310, machtigde Uwe Majesteit de Afdeling advisering van de Raad van State haar advies inzake het bovenvermelde voorstel van wet rechtstreeks aan mij te doen toekomen. Dit advies, gedateerd 10 december 2025, nr. W06.25.00300/III, bied ik U hierbij aan.</w:t>
      </w:r>
    </w:p>
    <w:p w:rsidRPr="00FF708A" w:rsidR="00FF708A" w:rsidP="00FF708A" w:rsidRDefault="00FF708A" w14:paraId="7297F5D7" w14:textId="77777777">
      <w:pPr>
        <w:rPr>
          <w:szCs w:val="24"/>
        </w:rPr>
      </w:pPr>
    </w:p>
    <w:p w:rsidRPr="00FF708A" w:rsidR="00FF708A" w:rsidP="00FF708A" w:rsidRDefault="00FF708A" w14:paraId="4ABF3197" w14:textId="77777777">
      <w:pPr>
        <w:rPr>
          <w:szCs w:val="24"/>
        </w:rPr>
      </w:pPr>
      <w:r w:rsidRPr="00FF708A">
        <w:rPr>
          <w:szCs w:val="24"/>
        </w:rPr>
        <w:t>De tekst van het advies treft u hieronder aan, voorzien van mijn reactie.</w:t>
      </w:r>
    </w:p>
    <w:p w:rsidRPr="00FF708A" w:rsidR="00FF708A" w:rsidP="00FF708A" w:rsidRDefault="00FF708A" w14:paraId="23DE4AB2" w14:textId="77777777">
      <w:pPr>
        <w:rPr>
          <w:szCs w:val="24"/>
        </w:rPr>
      </w:pPr>
    </w:p>
    <w:p w:rsidRPr="00FF708A" w:rsidR="00FF708A" w:rsidP="00FF708A" w:rsidRDefault="00FF708A" w14:paraId="21E4442A" w14:textId="77777777">
      <w:pPr>
        <w:rPr>
          <w:i/>
          <w:iCs/>
          <w:szCs w:val="24"/>
        </w:rPr>
      </w:pPr>
      <w:r w:rsidRPr="00FF708A">
        <w:rPr>
          <w:i/>
          <w:iCs/>
          <w:szCs w:val="24"/>
        </w:rPr>
        <w:t xml:space="preserve">Bij kabinetsmissive van 15 oktober 2025, no.2025002310, heeft Uwe Majesteit, op voordracht van de Minister van Financiën, bij de Afdeling advisering van de Raad van State ter overweging aanhangig gemaakt het voorstel van wet tot 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 met memorie van toelichting. </w:t>
      </w:r>
    </w:p>
    <w:p w:rsidRPr="00FF708A" w:rsidR="00FF708A" w:rsidP="00FF708A" w:rsidRDefault="00FF708A" w14:paraId="4D17CD42" w14:textId="77777777">
      <w:pPr>
        <w:rPr>
          <w:i/>
          <w:iCs/>
          <w:szCs w:val="24"/>
        </w:rPr>
      </w:pPr>
    </w:p>
    <w:p w:rsidR="00FF708A" w:rsidP="00FF708A" w:rsidRDefault="00FF708A" w14:paraId="252A3A30" w14:textId="169F8904">
      <w:pPr>
        <w:pStyle w:val="Standaardcursief"/>
        <w:rPr>
          <w:rFonts w:ascii="Times New Roman" w:hAnsi="Times New Roman" w:cs="Times New Roman"/>
          <w:sz w:val="24"/>
          <w:szCs w:val="24"/>
        </w:rPr>
      </w:pPr>
      <w:r w:rsidRPr="00FF708A">
        <w:rPr>
          <w:rFonts w:ascii="Times New Roman" w:hAnsi="Times New Roman" w:cs="Times New Roman"/>
          <w:sz w:val="24"/>
          <w:szCs w:val="24"/>
        </w:rPr>
        <w:t xml:space="preserve">De Afdeling advisering van de Raad van State heeft geen opmerkingen bij het voorstel en adviseert het voorstel bij de Tweede Kamer der Staten-Generaal in te dienen. </w:t>
      </w:r>
      <w:r w:rsidRPr="00FF708A">
        <w:rPr>
          <w:rFonts w:ascii="Times New Roman" w:hAnsi="Times New Roman" w:cs="Times New Roman"/>
          <w:sz w:val="24"/>
          <w:szCs w:val="24"/>
        </w:rPr>
        <w:br/>
      </w:r>
      <w:r w:rsidRPr="00FF708A">
        <w:rPr>
          <w:rFonts w:ascii="Times New Roman" w:hAnsi="Times New Roman" w:cs="Times New Roman"/>
          <w:sz w:val="24"/>
          <w:szCs w:val="24"/>
        </w:rPr>
        <w:br/>
        <w:t>De vice-president van de Raad van State</w:t>
      </w:r>
      <w:r>
        <w:rPr>
          <w:rFonts w:ascii="Times New Roman" w:hAnsi="Times New Roman" w:cs="Times New Roman"/>
          <w:sz w:val="24"/>
          <w:szCs w:val="24"/>
        </w:rPr>
        <w:t>,</w:t>
      </w:r>
    </w:p>
    <w:p w:rsidRPr="00FF708A" w:rsidR="00FF708A" w:rsidP="00FF708A" w:rsidRDefault="00FF708A" w14:paraId="2DBCC637" w14:textId="12036540">
      <w:pPr>
        <w:rPr>
          <w:i/>
          <w:iCs/>
        </w:rPr>
      </w:pPr>
      <w:proofErr w:type="spellStart"/>
      <w:r>
        <w:rPr>
          <w:i/>
          <w:iCs/>
        </w:rPr>
        <w:t>Th.C</w:t>
      </w:r>
      <w:proofErr w:type="spellEnd"/>
      <w:r>
        <w:rPr>
          <w:i/>
          <w:iCs/>
        </w:rPr>
        <w:t>. de Graaf</w:t>
      </w:r>
    </w:p>
    <w:p w:rsidRPr="00FF708A" w:rsidR="00FF708A" w:rsidP="00FF708A" w:rsidRDefault="00FF708A" w14:paraId="60071BC7" w14:textId="77777777">
      <w:pPr>
        <w:rPr>
          <w:szCs w:val="24"/>
        </w:rPr>
      </w:pPr>
    </w:p>
    <w:p w:rsidRPr="00FF708A" w:rsidR="00FF708A" w:rsidP="00FF708A" w:rsidRDefault="00FF708A" w14:paraId="0BC1810E" w14:textId="77777777">
      <w:pPr>
        <w:rPr>
          <w:szCs w:val="24"/>
        </w:rPr>
      </w:pPr>
      <w:r w:rsidRPr="00FF708A">
        <w:rPr>
          <w:szCs w:val="24"/>
        </w:rPr>
        <w:t>Van de gelegenheid is gebruik gemaakt om het wetsvoorstel en de memorie van toelichting op enkele plekken aan te passen:</w:t>
      </w:r>
    </w:p>
    <w:p w:rsidRPr="00FF708A" w:rsidR="00FF708A" w:rsidP="00FF708A" w:rsidRDefault="00FF708A" w14:paraId="1980AECF" w14:textId="77777777">
      <w:pPr>
        <w:pStyle w:val="Lijstalinea"/>
        <w:numPr>
          <w:ilvl w:val="0"/>
          <w:numId w:val="1"/>
        </w:numPr>
        <w:rPr>
          <w:rFonts w:ascii="Times New Roman" w:hAnsi="Times New Roman" w:cs="Times New Roman"/>
          <w:sz w:val="24"/>
          <w:szCs w:val="24"/>
        </w:rPr>
      </w:pPr>
      <w:r w:rsidRPr="00FF708A">
        <w:rPr>
          <w:rFonts w:ascii="Times New Roman" w:hAnsi="Times New Roman" w:cs="Times New Roman"/>
          <w:sz w:val="24"/>
          <w:szCs w:val="24"/>
        </w:rPr>
        <w:t>De voorgestelde artikelen 3:9b en 4:10a van de Wet op het financieel toezicht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die de implementatie vormen van de bepalingen uit de richtlijn over de geschiktheid en betrouwbaarheid van medewerkers met een sleutelfunctie, verklaarden voorheen de artikelen 3:8 en 3:9, respectievelijk, 4:9 en 4:10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van overeenkomstige toepassing. De voorgestelde artikelen zijn aangepast, door nu de materiële vereisten voor medewerkers met een sleutelfunctie uit te schrijven, in plaats van eerder genoemde bepalingen van overeenkomstige toepassing te verklaren. </w:t>
      </w:r>
      <w:r w:rsidRPr="00FF708A">
        <w:rPr>
          <w:rFonts w:ascii="Times New Roman" w:hAnsi="Times New Roman" w:cs="Times New Roman"/>
          <w:sz w:val="24"/>
          <w:szCs w:val="24"/>
        </w:rPr>
        <w:lastRenderedPageBreak/>
        <w:t xml:space="preserve">Hiermee wordt duidelijker welke vereisten precies gelden voor medewerkers met een sleutelfunctie, die door de ondernemingen intern getoetst moeten worden op geschiktheid en betrouwbaarheid, alsmede de hoofden van de </w:t>
      </w:r>
      <w:proofErr w:type="spellStart"/>
      <w:r w:rsidRPr="00FF708A">
        <w:rPr>
          <w:rFonts w:ascii="Times New Roman" w:hAnsi="Times New Roman" w:cs="Times New Roman"/>
          <w:sz w:val="24"/>
          <w:szCs w:val="24"/>
        </w:rPr>
        <w:t>internecontrolefuncties</w:t>
      </w:r>
      <w:proofErr w:type="spellEnd"/>
      <w:r w:rsidRPr="00FF708A">
        <w:rPr>
          <w:rFonts w:ascii="Times New Roman" w:hAnsi="Times New Roman" w:cs="Times New Roman"/>
          <w:sz w:val="24"/>
          <w:szCs w:val="24"/>
        </w:rPr>
        <w:t xml:space="preserve"> en financieel directeur, die ook extern door De Nederlandsche Bank (DNB) getoetst moeten worden op geschiktheid en betrouwbaarheid. Hiertoe zijn er ook twee definities toegevoegd aan artikel 1:1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met betrekking tot de hoofden van de </w:t>
      </w:r>
      <w:proofErr w:type="spellStart"/>
      <w:r w:rsidRPr="00FF708A">
        <w:rPr>
          <w:rFonts w:ascii="Times New Roman" w:hAnsi="Times New Roman" w:cs="Times New Roman"/>
          <w:sz w:val="24"/>
          <w:szCs w:val="24"/>
        </w:rPr>
        <w:t>internecontrolefuncties</w:t>
      </w:r>
      <w:proofErr w:type="spellEnd"/>
      <w:r w:rsidRPr="00FF708A">
        <w:rPr>
          <w:rFonts w:ascii="Times New Roman" w:hAnsi="Times New Roman" w:cs="Times New Roman"/>
          <w:sz w:val="24"/>
          <w:szCs w:val="24"/>
        </w:rPr>
        <w:t xml:space="preserve"> en financieel directeur.</w:t>
      </w:r>
    </w:p>
    <w:p w:rsidRPr="00FF708A" w:rsidR="00FF708A" w:rsidP="00FF708A" w:rsidRDefault="00FF708A" w14:paraId="78BF01EE" w14:textId="77777777">
      <w:pPr>
        <w:pStyle w:val="Lijstalinea"/>
        <w:numPr>
          <w:ilvl w:val="0"/>
          <w:numId w:val="1"/>
        </w:numPr>
        <w:rPr>
          <w:rFonts w:ascii="Times New Roman" w:hAnsi="Times New Roman" w:cs="Times New Roman"/>
          <w:sz w:val="24"/>
          <w:szCs w:val="24"/>
        </w:rPr>
      </w:pPr>
      <w:r w:rsidRPr="00FF708A">
        <w:rPr>
          <w:rFonts w:ascii="Times New Roman" w:hAnsi="Times New Roman" w:cs="Times New Roman"/>
          <w:sz w:val="24"/>
          <w:szCs w:val="24"/>
        </w:rPr>
        <w:t xml:space="preserve">In artikel 3:29, eerste lid,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is artikel 2:106.0a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toegevoegd. Artikel 3:29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bevat het vereiste dat een onderneming voorziet in een kennisgeving aan DNB indien er wijzigingen zijn in de gegevens die zij bij vergunningverlening heeft verstrekt. Artikel 2:106.0a bevat het vereiste dat een afwikkelonderneming in Nederland dat een bijkantoor wil openen buiten Nederland DNB moet verwittigen onder opgave van gegevens, en goedkeuring moet verkrijgen. Door opname van artikel 2:106.0a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in artikel 3:29, eerste lid,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moet een afwikkelonderneming een wijziging in aangeleverde gegevens melden aan DNB. Dit is in lijn met hoe dit voor andere ondernemingen met een buitenlands bijkantoor is geregeld in artikel 3:29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Er zijn nu geen Nederlandse afwikkelondernemingen met een bijkantoor buiten Nederland, waardoor er geen nieuwe regeldruk ontstaat voor bestaande ondernemingen. </w:t>
      </w:r>
    </w:p>
    <w:p w:rsidRPr="00FF708A" w:rsidR="00FF708A" w:rsidP="00FF708A" w:rsidRDefault="00FF708A" w14:paraId="52B9F348" w14:textId="77777777">
      <w:pPr>
        <w:pStyle w:val="Lijstalinea"/>
        <w:numPr>
          <w:ilvl w:val="0"/>
          <w:numId w:val="1"/>
        </w:numPr>
        <w:rPr>
          <w:rFonts w:ascii="Times New Roman" w:hAnsi="Times New Roman" w:cs="Times New Roman"/>
          <w:sz w:val="24"/>
          <w:szCs w:val="24"/>
        </w:rPr>
      </w:pPr>
      <w:r w:rsidRPr="00FF708A">
        <w:rPr>
          <w:rFonts w:ascii="Times New Roman" w:hAnsi="Times New Roman" w:cs="Times New Roman"/>
          <w:sz w:val="24"/>
          <w:szCs w:val="24"/>
        </w:rPr>
        <w:t>Er is een alinea toegevoegd in de memorie van toelichting met betrekking tot de door de Nederlandsche Bank op te stellen richtlijnen en de vereiste compatibiliteit daarvan met enkele verordeningen en gedragscodes die volgen uit het Europees toezichtraamwerk en het Europees Stelsel van Centrale Banken.</w:t>
      </w:r>
    </w:p>
    <w:p w:rsidRPr="00FF708A" w:rsidR="00FF708A" w:rsidP="00FF708A" w:rsidRDefault="00FF708A" w14:paraId="42B6F9AE" w14:textId="77777777">
      <w:pPr>
        <w:pStyle w:val="Lijstalinea"/>
        <w:numPr>
          <w:ilvl w:val="0"/>
          <w:numId w:val="1"/>
        </w:numPr>
        <w:rPr>
          <w:rFonts w:ascii="Times New Roman" w:hAnsi="Times New Roman" w:cs="Times New Roman"/>
          <w:sz w:val="24"/>
          <w:szCs w:val="24"/>
        </w:rPr>
      </w:pPr>
      <w:r w:rsidRPr="00FF708A">
        <w:rPr>
          <w:rFonts w:ascii="Times New Roman" w:hAnsi="Times New Roman" w:cs="Times New Roman"/>
          <w:sz w:val="24"/>
          <w:szCs w:val="24"/>
        </w:rPr>
        <w:t>Met betrekking tot de uitzonderingen voor het vestigen van een derde land bijkantoor, en specifiek de uitzondering die betrekking heeft op de dienstverlening uit hoofde van de richtlijn markten voor financiële instrumenten 2014, is de memorie van toelichting aangevuld. Hiermee is beoogd te duiden dat, indien een bewaarder betrokken is bij een transactie door het leveren van effecten- en bewaardiensten die van belang zijn voor het voltooien van de transactie, deze bewaarder daarmee onder de uitzondering valt, ook als zij niet rechtstreeks betrokken is bij de transactie zelf.</w:t>
      </w:r>
    </w:p>
    <w:p w:rsidRPr="00FF708A" w:rsidR="00FF708A" w:rsidP="00FF708A" w:rsidRDefault="00FF708A" w14:paraId="009570F7" w14:textId="77777777">
      <w:pPr>
        <w:pStyle w:val="Lijstalinea"/>
        <w:numPr>
          <w:ilvl w:val="0"/>
          <w:numId w:val="1"/>
        </w:numPr>
        <w:rPr>
          <w:rFonts w:ascii="Times New Roman" w:hAnsi="Times New Roman" w:cs="Times New Roman"/>
          <w:sz w:val="24"/>
          <w:szCs w:val="24"/>
        </w:rPr>
      </w:pPr>
      <w:r w:rsidRPr="00FF708A">
        <w:rPr>
          <w:rFonts w:ascii="Times New Roman" w:hAnsi="Times New Roman" w:cs="Times New Roman"/>
          <w:sz w:val="24"/>
          <w:szCs w:val="24"/>
        </w:rPr>
        <w:t xml:space="preserve">Het overgangsrecht bevat een </w:t>
      </w:r>
      <w:proofErr w:type="spellStart"/>
      <w:r w:rsidRPr="00FF708A">
        <w:rPr>
          <w:rFonts w:ascii="Times New Roman" w:hAnsi="Times New Roman" w:cs="Times New Roman"/>
          <w:sz w:val="24"/>
          <w:szCs w:val="24"/>
        </w:rPr>
        <w:t>uitfaseerregime</w:t>
      </w:r>
      <w:proofErr w:type="spellEnd"/>
      <w:r w:rsidRPr="00FF708A">
        <w:rPr>
          <w:rFonts w:ascii="Times New Roman" w:hAnsi="Times New Roman" w:cs="Times New Roman"/>
          <w:sz w:val="24"/>
          <w:szCs w:val="24"/>
        </w:rPr>
        <w:t xml:space="preserve"> (</w:t>
      </w:r>
      <w:proofErr w:type="spellStart"/>
      <w:r w:rsidRPr="00FF708A">
        <w:rPr>
          <w:rFonts w:ascii="Times New Roman" w:hAnsi="Times New Roman" w:cs="Times New Roman"/>
          <w:i/>
          <w:iCs/>
          <w:sz w:val="24"/>
          <w:szCs w:val="24"/>
        </w:rPr>
        <w:t>phasing</w:t>
      </w:r>
      <w:proofErr w:type="spellEnd"/>
      <w:r w:rsidRPr="00FF708A">
        <w:rPr>
          <w:rFonts w:ascii="Times New Roman" w:hAnsi="Times New Roman" w:cs="Times New Roman"/>
          <w:i/>
          <w:iCs/>
          <w:sz w:val="24"/>
          <w:szCs w:val="24"/>
        </w:rPr>
        <w:t xml:space="preserve"> out regime</w:t>
      </w:r>
      <w:r w:rsidRPr="00FF708A">
        <w:rPr>
          <w:rFonts w:ascii="Times New Roman" w:hAnsi="Times New Roman" w:cs="Times New Roman"/>
          <w:sz w:val="24"/>
          <w:szCs w:val="24"/>
        </w:rPr>
        <w:t xml:space="preserve">), waarbij reeds bestaande contracten tussen Nederlandse en derde land ondernemingen mogen blijven bestaan na 11 juli 2026, zonder dat vestiging van een bijkantoor met een vergunning op grond van artikel 2:20 </w:t>
      </w:r>
      <w:proofErr w:type="spellStart"/>
      <w:r w:rsidRPr="00FF708A">
        <w:rPr>
          <w:rFonts w:ascii="Times New Roman" w:hAnsi="Times New Roman" w:cs="Times New Roman"/>
          <w:sz w:val="24"/>
          <w:szCs w:val="24"/>
        </w:rPr>
        <w:t>Wft</w:t>
      </w:r>
      <w:proofErr w:type="spellEnd"/>
      <w:r w:rsidRPr="00FF708A">
        <w:rPr>
          <w:rFonts w:ascii="Times New Roman" w:hAnsi="Times New Roman" w:cs="Times New Roman"/>
          <w:sz w:val="24"/>
          <w:szCs w:val="24"/>
        </w:rPr>
        <w:t xml:space="preserve"> nodig is. In de eerdere versie van de memorie van toelichting was opgenomen dat novatie en nettering niet mogelijk was. Omdat dit in de praktijk tot problemen kan leiden, is verduidelijkt dat novatie of verrekening van verplichtingen over en weer alleen is toegestaan indien dit louter de verplichtingen die tussen partijen bestaat reduceert of beëindigt. Als de novatie of nettering leidt tot een (andere) aanpassing van het contract waardoor er nieuwe verplichtingen, schuld of andere verbintenissen ontstaan, is dit niet toegestaan zonder vestiging van een derde land bijkantoor met bijbehorende vergunning.</w:t>
      </w:r>
    </w:p>
    <w:p w:rsidRPr="00FF708A" w:rsidR="00FF708A" w:rsidP="00FF708A" w:rsidRDefault="00FF708A" w14:paraId="001B64AA" w14:textId="77777777">
      <w:pPr>
        <w:pStyle w:val="Lijstalinea"/>
        <w:numPr>
          <w:ilvl w:val="0"/>
          <w:numId w:val="1"/>
        </w:numPr>
        <w:rPr>
          <w:rFonts w:ascii="Times New Roman" w:hAnsi="Times New Roman" w:cs="Times New Roman"/>
          <w:sz w:val="24"/>
          <w:szCs w:val="24"/>
        </w:rPr>
      </w:pPr>
      <w:r w:rsidRPr="00FF708A">
        <w:rPr>
          <w:rFonts w:ascii="Times New Roman" w:hAnsi="Times New Roman" w:cs="Times New Roman"/>
          <w:sz w:val="24"/>
          <w:szCs w:val="24"/>
        </w:rPr>
        <w:t>Voorts zijn er enkele kleine technische en redactionele wijzigingen doorgevoerd.</w:t>
      </w:r>
    </w:p>
    <w:p w:rsidRPr="00FF708A" w:rsidR="00FF708A" w:rsidP="00FF708A" w:rsidRDefault="00FF708A" w14:paraId="35F17253" w14:textId="77777777">
      <w:pPr>
        <w:rPr>
          <w:szCs w:val="24"/>
        </w:rPr>
      </w:pPr>
    </w:p>
    <w:p w:rsidRPr="00FF708A" w:rsidR="00FF708A" w:rsidP="00FF708A" w:rsidRDefault="00FF708A" w14:paraId="0ABBB1B5" w14:textId="77777777">
      <w:pPr>
        <w:rPr>
          <w:szCs w:val="24"/>
        </w:rPr>
      </w:pPr>
      <w:r w:rsidRPr="00FF708A">
        <w:rPr>
          <w:szCs w:val="24"/>
        </w:rPr>
        <w:t>Ik moge U verzoeken het gewijzigde voorstel van wet en de gewijzigde memorie van toelichting aan de Tweede Kamer der Staten-Generaal te zenden.</w:t>
      </w:r>
    </w:p>
    <w:p w:rsidRPr="00FF708A" w:rsidR="00FF708A" w:rsidP="00FF708A" w:rsidRDefault="00FF708A" w14:paraId="5D9D28C5" w14:textId="77777777">
      <w:pPr>
        <w:rPr>
          <w:szCs w:val="24"/>
        </w:rPr>
      </w:pPr>
    </w:p>
    <w:p w:rsidRPr="00FF708A" w:rsidR="00FF708A" w:rsidP="00FF708A" w:rsidRDefault="00FF708A" w14:paraId="19757E2E" w14:textId="77777777">
      <w:pPr>
        <w:pStyle w:val="Geenafstand"/>
        <w:rPr>
          <w:szCs w:val="24"/>
        </w:rPr>
      </w:pPr>
    </w:p>
    <w:p w:rsidRPr="00FF708A" w:rsidR="00FF708A" w:rsidP="00FF708A" w:rsidRDefault="00FF708A" w14:paraId="07A4EDF2" w14:textId="1FB26265">
      <w:pPr>
        <w:pStyle w:val="Geenafstand"/>
        <w:rPr>
          <w:szCs w:val="24"/>
        </w:rPr>
      </w:pPr>
      <w:r w:rsidRPr="00FF708A">
        <w:rPr>
          <w:szCs w:val="24"/>
        </w:rPr>
        <w:t>De Minister van Financiën,</w:t>
      </w:r>
    </w:p>
    <w:p w:rsidRPr="00FF708A" w:rsidR="00FF708A" w:rsidP="00FF708A" w:rsidRDefault="00FF708A" w14:paraId="04138E05" w14:textId="7D3BFD86">
      <w:pPr>
        <w:pStyle w:val="Geenafstand"/>
        <w:rPr>
          <w:szCs w:val="24"/>
        </w:rPr>
      </w:pPr>
      <w:r w:rsidRPr="00FF708A">
        <w:rPr>
          <w:szCs w:val="24"/>
        </w:rPr>
        <w:t>E. Heinen</w:t>
      </w:r>
    </w:p>
    <w:sectPr w:rsidRPr="00FF708A" w:rsidR="00FF708A">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37B9" w14:textId="77777777" w:rsidR="00526800" w:rsidRDefault="00526800">
      <w:pPr>
        <w:spacing w:line="20" w:lineRule="exact"/>
      </w:pPr>
    </w:p>
  </w:endnote>
  <w:endnote w:type="continuationSeparator" w:id="0">
    <w:p w14:paraId="35775B59" w14:textId="77777777" w:rsidR="00526800" w:rsidRDefault="00526800">
      <w:pPr>
        <w:pStyle w:val="Amendement"/>
      </w:pPr>
      <w:r>
        <w:rPr>
          <w:b w:val="0"/>
        </w:rPr>
        <w:t xml:space="preserve"> </w:t>
      </w:r>
    </w:p>
  </w:endnote>
  <w:endnote w:type="continuationNotice" w:id="1">
    <w:p w14:paraId="52912431" w14:textId="77777777" w:rsidR="00526800" w:rsidRDefault="005268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1C8A" w14:textId="77777777" w:rsidR="00526800" w:rsidRDefault="00526800">
      <w:pPr>
        <w:pStyle w:val="Amendement"/>
      </w:pPr>
      <w:r>
        <w:rPr>
          <w:b w:val="0"/>
        </w:rPr>
        <w:separator/>
      </w:r>
    </w:p>
  </w:footnote>
  <w:footnote w:type="continuationSeparator" w:id="0">
    <w:p w14:paraId="03625BD4" w14:textId="77777777" w:rsidR="00526800" w:rsidRDefault="00526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81F85"/>
    <w:multiLevelType w:val="hybridMultilevel"/>
    <w:tmpl w:val="9566D5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213825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00"/>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2680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359D6"/>
    <w:rsid w:val="00A51448"/>
    <w:rsid w:val="00A53675"/>
    <w:rsid w:val="00A54155"/>
    <w:rsid w:val="00A55F71"/>
    <w:rsid w:val="00A56126"/>
    <w:rsid w:val="00A84587"/>
    <w:rsid w:val="00AD2CD4"/>
    <w:rsid w:val="00B0451E"/>
    <w:rsid w:val="00B21EF2"/>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 w:val="00FF70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72FC5"/>
  <w15:docId w15:val="{826DA29A-783A-401D-BC95-808A0E16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FF708A"/>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Standaardcursief">
    <w:name w:val="Standaard cursief"/>
    <w:basedOn w:val="Standaard"/>
    <w:next w:val="Standaard"/>
    <w:qFormat/>
    <w:rsid w:val="00FF708A"/>
    <w:pPr>
      <w:widowControl/>
      <w:autoSpaceDN w:val="0"/>
      <w:spacing w:line="240" w:lineRule="exact"/>
      <w:textAlignment w:val="baseline"/>
    </w:pPr>
    <w:rPr>
      <w:rFonts w:ascii="Verdana" w:eastAsia="DejaVu Sans" w:hAnsi="Verdana" w:cs="Lohit Hindi"/>
      <w:i/>
      <w:color w:val="000000"/>
      <w:sz w:val="18"/>
      <w:szCs w:val="18"/>
    </w:rPr>
  </w:style>
  <w:style w:type="table" w:customStyle="1" w:styleId="Tabelzonderranden">
    <w:name w:val="Tabel zonder randen"/>
    <w:rsid w:val="00FF708A"/>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Geenafstand">
    <w:name w:val="No Spacing"/>
    <w:uiPriority w:val="1"/>
    <w:qFormat/>
    <w:rsid w:val="00FF708A"/>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947</ap:Words>
  <ap:Characters>5213</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2026-01-20T17:54:00.0000000Z</lastPrinted>
  <dcterms:created xsi:type="dcterms:W3CDTF">2026-01-28T12:06:00.0000000Z</dcterms:created>
  <dcterms:modified xsi:type="dcterms:W3CDTF">2026-01-28T12:06:00.0000000Z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