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2026Z00995</w:t>
        <w:br/>
      </w:r>
      <w:proofErr w:type="spellEnd"/>
    </w:p>
    <w:p>
      <w:pPr>
        <w:pStyle w:val="Normal"/>
        <w:rPr>
          <w:b w:val="1"/>
          <w:bCs w:val="1"/>
        </w:rPr>
      </w:pPr>
      <w:r w:rsidR="250AE766">
        <w:rPr>
          <w:b w:val="0"/>
          <w:bCs w:val="0"/>
        </w:rPr>
        <w:t>(ingezonden 21 januari 2026)</w:t>
        <w:br/>
      </w:r>
    </w:p>
    <w:p>
      <w:r>
        <w:t xml:space="preserve">Vragen van de leden Wendel en Becker (beiden VVD) aan de staatssecretaris van Justitie en Veiligheid over het bericht dat de kinderrechter Jeugdbescherming Noord ontslaat in zaak waarbij vader van jongen (3) de moeder vermoordde.</w:t>
      </w:r>
      <w:r>
        <w:br/>
      </w:r>
    </w:p>
    <w:p>
      <w:pPr>
        <w:pStyle w:val="ListParagraph"/>
        <w:numPr>
          <w:ilvl w:val="0"/>
          <w:numId w:val="100495300"/>
        </w:numPr>
        <w:ind w:left="360"/>
      </w:pPr>
      <w:r>
        <w:t xml:space="preserve">Bent u bekend met het artikel ‘Kritische kinderrechter ontslaat Jeugdbescherming Noord in zaak waarbij vader van jongen (3) de moeder vermoordde’ in het Dagblad van het Noorden d.d. 16 januari 2026 inzake de uitspraak van de rechtbank Noord-Nederland (ECLI:NL:RBNNE:2026:78)?</w:t>
      </w:r>
      <w:r>
        <w:br/>
      </w:r>
    </w:p>
    <w:p>
      <w:pPr>
        <w:pStyle w:val="ListParagraph"/>
        <w:numPr>
          <w:ilvl w:val="0"/>
          <w:numId w:val="100495300"/>
        </w:numPr>
        <w:ind w:left="360"/>
      </w:pPr>
      <w:r>
        <w:t xml:space="preserve">Hoe vaak is het de afgelopen vijf jaar voorgekomen dat een rechter op deze wijze de voogdij van een gecertificeerde instelling (GI) beëindigt?</w:t>
      </w:r>
      <w:r>
        <w:br/>
      </w:r>
    </w:p>
    <w:p>
      <w:pPr>
        <w:pStyle w:val="ListParagraph"/>
        <w:numPr>
          <w:ilvl w:val="0"/>
          <w:numId w:val="100495300"/>
        </w:numPr>
        <w:ind w:left="360"/>
      </w:pPr>
      <w:r>
        <w:t xml:space="preserve">Hoe weegt u deze uitspraak in het licht van het verscherpte toezicht vanuit de Inspectie Gezondheidszorg en Jeugd (IGJ) op Jeugdbescherming Noord?</w:t>
      </w:r>
      <w:r>
        <w:br/>
      </w:r>
    </w:p>
    <w:p>
      <w:pPr>
        <w:pStyle w:val="ListParagraph"/>
        <w:numPr>
          <w:ilvl w:val="0"/>
          <w:numId w:val="100495300"/>
        </w:numPr>
        <w:ind w:left="360"/>
      </w:pPr>
      <w:r>
        <w:t xml:space="preserve">Hoe weegt u deze uitspraak in het licht van de kritische rapporten “Als zelfs overheidsingrijpen kinderen geen bescherming biedt” en “Kwetsbare kinderen, kwetsbaar stelsel” van de Inspectie Gezondheidszorg en Jeugd en de Inspectie Justitie en Veiligheid? Kunt u in antwoord op deze vraag ook toelichten of en zo ja welke systeemverantwoordelijkheid u ziet wanneer een rechter ook in deze casus zo expliciet concludeert dat “geen verantwoorde hulp” is geleverd?</w:t>
      </w:r>
      <w:r>
        <w:br/>
      </w:r>
    </w:p>
    <w:p>
      <w:pPr>
        <w:pStyle w:val="ListParagraph"/>
        <w:numPr>
          <w:ilvl w:val="0"/>
          <w:numId w:val="100495300"/>
        </w:numPr>
        <w:ind w:left="360"/>
      </w:pPr>
      <w:r>
        <w:t xml:space="preserve">Deelt u de mening dat het belang van het kind bij partnerdoding altijd voorop zou moeten staan? Klopt het dat bij partnerdoding zonder strafrechtelijke vervolging (bijvoorbeeld door overlijden van de verdachte) in de praktijk soms terughoudendheid ontstaat om de feiten als uitgangspunt te nemen? Hoe voorkomt u dat kinderen hierdoor in onzekerheid blijven?</w:t>
      </w:r>
      <w:r>
        <w:br/>
      </w:r>
    </w:p>
    <w:p>
      <w:pPr>
        <w:pStyle w:val="ListParagraph"/>
        <w:numPr>
          <w:ilvl w:val="0"/>
          <w:numId w:val="100495300"/>
        </w:numPr>
        <w:ind w:left="360"/>
      </w:pPr>
      <w:r>
        <w:t xml:space="preserve">Vindt u het wenselijk dat er door een GI kan worden afgeweken van het 'Handelingsprotocol gezag, contact/omgang en hulp na partnerdoding' wanneer sprake is van partnerdoding? Zo nee, hoe gaat u voorkomen dat hier in de toekomst sprake van kan zijn?</w:t>
      </w:r>
      <w:r>
        <w:br/>
      </w:r>
    </w:p>
    <w:p>
      <w:pPr>
        <w:pStyle w:val="ListParagraph"/>
        <w:numPr>
          <w:ilvl w:val="0"/>
          <w:numId w:val="100495300"/>
        </w:numPr>
        <w:ind w:left="360"/>
      </w:pPr>
      <w:r>
        <w:t xml:space="preserve">Is er momenteel sprake van een zekere vorm van prioritering binnen de hulpverlening die wordt geboden door de GI’s, bijvoorbeeld op basis van de ernst van een casus? Zo ja, op welke wijze is dit ingericht? En leidt partnerdoding tot een prioritering van hulpverlening aan kinderen die onder voogdij geplaatst worden bij een GI?</w:t>
      </w:r>
      <w:r>
        <w:br/>
      </w:r>
    </w:p>
    <w:p>
      <w:pPr>
        <w:pStyle w:val="ListParagraph"/>
        <w:numPr>
          <w:ilvl w:val="0"/>
          <w:numId w:val="100495300"/>
        </w:numPr>
        <w:ind w:left="360"/>
      </w:pPr>
      <w:r>
        <w:t xml:space="preserve">Kunt u de Kamer informeren welke concrete maatregelen u neemt om te voorkomen dat kinderen na partnerdoding/femicide opnieuw schade oplopen door gebrek aan regie, expertise of tijdige hulp vanuit de GI of een andere instantie?</w:t>
      </w:r>
      <w:r>
        <w:br/>
      </w:r>
    </w:p>
    <w:p>
      <w:pPr>
        <w:pStyle w:val="ListParagraph"/>
        <w:numPr>
          <w:ilvl w:val="0"/>
          <w:numId w:val="100495300"/>
        </w:numPr>
        <w:ind w:left="360"/>
      </w:pPr>
      <w:r>
        <w:t xml:space="preserve">Kunt u deze vragen individueel beantwoorden voorafgaand aan het wetgevingsoverleg Jeugd d.d. 2 februari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