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2026Z01264</w:t>
        <w:br/>
      </w:r>
      <w:proofErr w:type="spellEnd"/>
    </w:p>
    <w:p>
      <w:pPr>
        <w:pStyle w:val="Normal"/>
        <w:rPr>
          <w:b w:val="1"/>
          <w:bCs w:val="1"/>
        </w:rPr>
      </w:pPr>
      <w:r w:rsidR="250AE766">
        <w:rPr>
          <w:b w:val="0"/>
          <w:bCs w:val="0"/>
        </w:rPr>
        <w:t>(ingezonden 23 januari 2026)</w:t>
        <w:br/>
      </w:r>
    </w:p>
    <w:p>
      <w:r>
        <w:t xml:space="preserve">Vragen van de leden Sneller en Van Berkel (beiden D66) aan de ministers van Financiën, van Justitie en Veiligheid en van Volksgezondheid, Welzijn en Sport over het wegvallen van de toegang tot het digitale betalingsverkeer voor de coffeeshopsector.</w:t>
      </w:r>
      <w:r>
        <w:br/>
      </w:r>
    </w:p>
    <w:p>
      <w:pPr>
        <w:pStyle w:val="ListParagraph"/>
        <w:numPr>
          <w:ilvl w:val="0"/>
          <w:numId w:val="100495630"/>
        </w:numPr>
        <w:ind w:left="360"/>
      </w:pPr>
      <w:r>
        <w:t xml:space="preserve">Bent u bekend met het bericht ‘Paniek in de coffeeshop: kan de cannabis straks niet meer gepind?’ en kunt u bevestigen dat het voor ondernemers in deze sector momenteel onmogelijk is geworden om bij een in Nederland gevestigde betaaldienstverlener een nieuw contract af te sluiten?</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95630"/>
        </w:numPr>
        <w:ind w:left="360"/>
      </w:pPr>
      <w:r>
        <w:t xml:space="preserve">Hoe beoordeelt u het feit dat legitieme, belastingbetalende ondernemers zelfs bij minieme wijzigingen in hun bedrijfsvoering, zoals een noodzakelijke rechtsvormwijziging, hun bestaande bankrelatie verliezen en nergens anders terecht kunnen?</w:t>
      </w:r>
      <w:r>
        <w:br/>
      </w:r>
    </w:p>
    <w:p>
      <w:pPr>
        <w:pStyle w:val="ListParagraph"/>
        <w:numPr>
          <w:ilvl w:val="0"/>
          <w:numId w:val="100495630"/>
        </w:numPr>
        <w:ind w:left="360"/>
      </w:pPr>
      <w:r>
        <w:t xml:space="preserve">Ziet u in deze beweging een bevestiging dat er sprake is van de facto categorale uitsluiting van een hele sector?</w:t>
      </w:r>
      <w:r>
        <w:br/>
      </w:r>
    </w:p>
    <w:p>
      <w:pPr>
        <w:pStyle w:val="ListParagraph"/>
        <w:numPr>
          <w:ilvl w:val="0"/>
          <w:numId w:val="100495630"/>
        </w:numPr>
        <w:ind w:left="360"/>
      </w:pPr>
      <w:r>
        <w:t xml:space="preserve">Hoe rijmt u de ogenschijnlijke categorale uitsluiting met de wettelijke plicht van financiële instellingen om een individuele risico-afweging te maken op basis van de Wet ter voorkoming van witwassen en financieren van terrorisme (Wwft), zoals deze plicht eerder werd bevestigd door de minister van Financiën?[2]</w:t>
      </w:r>
      <w:r>
        <w:br/>
      </w:r>
    </w:p>
    <w:p>
      <w:pPr>
        <w:pStyle w:val="ListParagraph"/>
        <w:numPr>
          <w:ilvl w:val="0"/>
          <w:numId w:val="100495630"/>
        </w:numPr>
        <w:ind w:left="360"/>
      </w:pPr>
      <w:r>
        <w:t xml:space="preserve">Kunt u toelichten hoe het kan dat de situatie achteruit lijkt te gaan?</w:t>
      </w:r>
      <w:r>
        <w:br/>
      </w:r>
    </w:p>
    <w:p>
      <w:pPr>
        <w:pStyle w:val="ListParagraph"/>
        <w:numPr>
          <w:ilvl w:val="0"/>
          <w:numId w:val="100495630"/>
        </w:numPr>
        <w:ind w:left="360"/>
      </w:pPr>
      <w:r>
        <w:t xml:space="preserve">Erkent u dat de doelstellingen van de Wwft (het voorkomen van witwassen) juist worden ondermijnd wanneer een sector collectief uit de gereguleerde financiële infrastructuur wordt geduwd en volledig afhankelijk wordt van contant geld?</w:t>
      </w:r>
      <w:r>
        <w:br/>
      </w:r>
    </w:p>
    <w:p>
      <w:pPr>
        <w:pStyle w:val="ListParagraph"/>
        <w:numPr>
          <w:ilvl w:val="0"/>
          <w:numId w:val="100495630"/>
        </w:numPr>
        <w:ind w:left="360"/>
      </w:pPr>
      <w:r>
        <w:t xml:space="preserve">Wat zijn de gevolgen voor de veiligheid van ondernemers, personeel en de openbare orde als coffeeshops door deze, de facto, categorale uitsluiting van digitaal betalingsverkeer noodgedwongen grote hoeveelheden contant geld opslaan en daarmee een groter risico lopen op bijvoorbeeld overvallen?</w:t>
      </w:r>
      <w:r>
        <w:br/>
      </w:r>
    </w:p>
    <w:p>
      <w:pPr>
        <w:pStyle w:val="ListParagraph"/>
        <w:numPr>
          <w:ilvl w:val="0"/>
          <w:numId w:val="100495630"/>
        </w:numPr>
        <w:ind w:left="360"/>
      </w:pPr>
      <w:r>
        <w:t xml:space="preserve">Hoe kijkt u aan tegen de verschuiving naar buitenlandse betaaldienstverleners; deelt u de zorg dat hierdoor de grip op het toezicht (DNB) en de informatiepositie van opsporingsdiensten (FIU/FIOD) ernstig verslechtert door het mechanisme van </w:t>
      </w:r>
      <w:r>
        <w:rPr>
          <w:i w:val="1"/>
          <w:iCs w:val="1"/>
        </w:rPr>
        <w:t xml:space="preserve">Home State Control</w:t>
      </w:r>
      <w:r>
        <w:rPr/>
        <w:t xml:space="preserve">?</w:t>
      </w:r>
      <w:r>
        <w:br/>
      </w:r>
    </w:p>
    <w:p>
      <w:pPr>
        <w:pStyle w:val="ListParagraph"/>
        <w:numPr>
          <w:ilvl w:val="0"/>
          <w:numId w:val="100495630"/>
        </w:numPr>
        <w:ind w:left="360"/>
      </w:pPr>
      <w:r>
        <w:t xml:space="preserve">Vindt u het acceptabel dat Nederlandse ondernemers voor hun basisvoorzieningen afhankelijk worden van buitenlandse partijen waar zij bij geschillen nauwelijks juridische bescherming of verweer hebben onder de Nederlandse wet?</w:t>
      </w:r>
      <w:r>
        <w:br/>
      </w:r>
    </w:p>
    <w:p>
      <w:pPr>
        <w:pStyle w:val="ListParagraph"/>
        <w:numPr>
          <w:ilvl w:val="0"/>
          <w:numId w:val="100495630"/>
        </w:numPr>
        <w:ind w:left="360"/>
      </w:pPr>
      <w:r>
        <w:t xml:space="preserve">Bent u bereid om, in het kader van zijn systeemverantwoordelijkheid voor een inclusief betaalverkeer, met DNB in gesprek te gaan over een actiever handhavingsbeleid tegen het categorisch weigeren van klanten?</w:t>
      </w:r>
      <w:r>
        <w:br/>
      </w:r>
    </w:p>
    <w:p>
      <w:pPr>
        <w:pStyle w:val="ListParagraph"/>
        <w:numPr>
          <w:ilvl w:val="0"/>
          <w:numId w:val="100495630"/>
        </w:numPr>
        <w:ind w:left="360"/>
      </w:pPr>
      <w:r>
        <w:t xml:space="preserve">Ziet u het risico dat deze financiële uitsluiting de geloofwaardigheid en het succes van het Experiment Gesloten Coffeeshopketen ondermijnt, nu ook gecertificeerde ondernemers binnen dit experiment tegen muren aanlopen bij banken?</w:t>
      </w:r>
      <w:r>
        <w:br/>
      </w:r>
    </w:p>
    <w:p>
      <w:pPr>
        <w:pStyle w:val="ListParagraph"/>
        <w:numPr>
          <w:ilvl w:val="0"/>
          <w:numId w:val="100495630"/>
        </w:numPr>
        <w:ind w:left="360"/>
      </w:pPr>
      <w:r>
        <w:t xml:space="preserve">Welke concrete stappen gaat u ondernemen om te garanderen dat deze legaal opererende sector toegang behoudt tot het digitale betalingsverkeer nu de markt dit duidelijk laat afweten?</w:t>
      </w:r>
      <w:r>
        <w:br/>
      </w:r>
    </w:p>
    <w:p>
      <w:pPr>
        <w:pStyle w:val="ListParagraph"/>
        <w:numPr>
          <w:ilvl w:val="0"/>
          <w:numId w:val="100495630"/>
        </w:numPr>
        <w:ind w:left="360"/>
      </w:pPr>
      <w:r>
        <w:t xml:space="preserve">Kunt u deze vragen met de nodige spoed beantwoorden, aangezien de continuïteit van bedrijven en de veiligheid op straat hier direct door in het geding zijn?</w:t>
      </w:r>
      <w:r>
        <w:br/>
      </w:r>
    </w:p>
    <w:p>
      <w:r>
        <w:t xml:space="preserve"> </w:t>
      </w:r>
      <w:r>
        <w:br/>
      </w:r>
    </w:p>
    <w:p>
      <w:r>
        <w:t xml:space="preserve">[1] NRC.nl, 21 januari 226, https://www.nrc.nl/nieuws/2026/01/21/paniek-in-de-coffeeshop-kan-de-cannabis-straks-niet-meer-gepind-a4918177</w:t>
      </w:r>
      <w:r>
        <w:br/>
      </w:r>
    </w:p>
    <w:p>
      <w:r>
        <w:t xml:space="preserve">[2] Aanhangsel Handelingen II, vergaderjaar 2021-2022, nr. 2716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