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099" w:rsidR="000575E2" w:rsidP="00FD08DB" w:rsidRDefault="00CA6C24" w14:paraId="6764DB08" w14:textId="551D3E25">
      <w:pPr>
        <w:widowControl w:val="0"/>
        <w:tabs>
          <w:tab w:val="num" w:pos="720"/>
        </w:tabs>
        <w:spacing w:line="240" w:lineRule="atLeast"/>
        <w:ind w:hanging="1843"/>
        <w:rPr>
          <w:rFonts w:ascii="Verdana" w:hAnsi="Verdana" w:cs="Arial"/>
          <w:b/>
          <w:sz w:val="18"/>
          <w:szCs w:val="18"/>
        </w:rPr>
      </w:pPr>
      <w:r w:rsidRPr="007A5099">
        <w:rPr>
          <w:rFonts w:ascii="Verdana" w:hAnsi="Verdana" w:cs="Arial"/>
          <w:b/>
          <w:sz w:val="18"/>
          <w:szCs w:val="18"/>
        </w:rPr>
        <w:t>36</w:t>
      </w:r>
      <w:r w:rsidRPr="007A5099" w:rsidR="000575E2">
        <w:rPr>
          <w:rFonts w:ascii="Verdana" w:hAnsi="Verdana" w:cs="Arial"/>
          <w:b/>
          <w:sz w:val="18"/>
          <w:szCs w:val="18"/>
        </w:rPr>
        <w:t xml:space="preserve"> </w:t>
      </w:r>
      <w:r w:rsidRPr="007A5099" w:rsidR="0027319E">
        <w:rPr>
          <w:rFonts w:ascii="Verdana" w:hAnsi="Verdana" w:cs="Arial"/>
          <w:b/>
          <w:sz w:val="18"/>
          <w:szCs w:val="18"/>
        </w:rPr>
        <w:t>822</w:t>
      </w:r>
      <w:r w:rsidRPr="007A5099" w:rsidR="000575E2">
        <w:rPr>
          <w:rFonts w:ascii="Verdana" w:hAnsi="Verdana" w:cs="Arial"/>
          <w:b/>
          <w:sz w:val="18"/>
          <w:szCs w:val="18"/>
        </w:rPr>
        <w:tab/>
      </w:r>
      <w:r w:rsidRPr="007A5099" w:rsidR="0027319E">
        <w:rPr>
          <w:rFonts w:ascii="Verdana" w:hAnsi="Verdana" w:cs="Arial"/>
          <w:b/>
          <w:sz w:val="18"/>
          <w:szCs w:val="18"/>
        </w:rPr>
        <w:t xml:space="preserve">Wijziging van de Wet op het financieel toezicht, de Faillissementswet en de Bankwet 1998 in verband met aanpassingen van het crisisraamwerk voor banken en beleggingsondernemingen ter aanvulling op de implementatie van Richtlijn 2014/59/EU en Richtlijn (EU) 2019/879 </w:t>
      </w:r>
      <w:proofErr w:type="gramStart"/>
      <w:r w:rsidRPr="007A5099" w:rsidR="0027319E">
        <w:rPr>
          <w:rFonts w:ascii="Verdana" w:hAnsi="Verdana" w:cs="Arial"/>
          <w:b/>
          <w:sz w:val="18"/>
          <w:szCs w:val="18"/>
        </w:rPr>
        <w:t>betreffende</w:t>
      </w:r>
      <w:proofErr w:type="gramEnd"/>
      <w:r w:rsidRPr="007A5099" w:rsidR="0027319E">
        <w:rPr>
          <w:rFonts w:ascii="Verdana" w:hAnsi="Verdana" w:cs="Arial"/>
          <w:b/>
          <w:sz w:val="18"/>
          <w:szCs w:val="18"/>
        </w:rPr>
        <w:t xml:space="preserve"> het kader voor herstel en afwikkeling van banken en beleggingsondernemingen (Wet nadere uitvoering BRRD-implementatie)</w:t>
      </w:r>
    </w:p>
    <w:p w:rsidRPr="007A5099" w:rsidR="00EE0056" w:rsidP="00FD08DB" w:rsidRDefault="00EE0056" w14:paraId="2333B79F" w14:textId="77777777">
      <w:pPr>
        <w:widowControl w:val="0"/>
        <w:spacing w:line="240" w:lineRule="atLeast"/>
        <w:rPr>
          <w:rFonts w:ascii="Verdana" w:hAnsi="Verdana" w:cs="Arial"/>
          <w:sz w:val="18"/>
          <w:szCs w:val="18"/>
        </w:rPr>
      </w:pPr>
    </w:p>
    <w:p w:rsidRPr="007A5099" w:rsidR="00EE0056" w:rsidP="00FD08DB" w:rsidRDefault="00EE0056" w14:paraId="12180FF4" w14:textId="77777777">
      <w:pPr>
        <w:widowControl w:val="0"/>
        <w:spacing w:line="240" w:lineRule="atLeast"/>
        <w:rPr>
          <w:rFonts w:ascii="Verdana" w:hAnsi="Verdana" w:cs="Arial"/>
          <w:sz w:val="18"/>
          <w:szCs w:val="18"/>
        </w:rPr>
      </w:pPr>
    </w:p>
    <w:p w:rsidRPr="007A5099" w:rsidR="00EE0056" w:rsidP="00FD08DB" w:rsidRDefault="00EE0056" w14:paraId="4028B82A" w14:textId="77777777">
      <w:pPr>
        <w:widowControl w:val="0"/>
        <w:spacing w:line="240" w:lineRule="atLeast"/>
        <w:rPr>
          <w:rFonts w:ascii="Verdana" w:hAnsi="Verdana" w:cs="Arial"/>
          <w:sz w:val="18"/>
          <w:szCs w:val="18"/>
        </w:rPr>
      </w:pPr>
    </w:p>
    <w:p w:rsidRPr="007A5099" w:rsidR="00FF442F" w:rsidP="00FD08DB" w:rsidRDefault="00FF442F" w14:paraId="752E09C2" w14:textId="77777777">
      <w:pPr>
        <w:widowControl w:val="0"/>
        <w:spacing w:line="240" w:lineRule="atLeast"/>
        <w:rPr>
          <w:rFonts w:ascii="Verdana" w:hAnsi="Verdana" w:cs="Arial"/>
          <w:sz w:val="18"/>
          <w:szCs w:val="18"/>
        </w:rPr>
      </w:pPr>
    </w:p>
    <w:p w:rsidRPr="007A5099" w:rsidR="00EE0056" w:rsidP="00FD08DB" w:rsidRDefault="00786589" w14:paraId="023943E7" w14:textId="77777777">
      <w:pPr>
        <w:widowControl w:val="0"/>
        <w:spacing w:line="240" w:lineRule="atLeast"/>
        <w:rPr>
          <w:rFonts w:ascii="Verdana" w:hAnsi="Verdana" w:cs="Arial"/>
          <w:b/>
          <w:sz w:val="18"/>
          <w:szCs w:val="18"/>
        </w:rPr>
      </w:pPr>
      <w:r w:rsidRPr="007A5099">
        <w:rPr>
          <w:rFonts w:ascii="Verdana" w:hAnsi="Verdana" w:cs="Arial"/>
          <w:b/>
          <w:sz w:val="18"/>
          <w:szCs w:val="18"/>
        </w:rPr>
        <w:t xml:space="preserve">NOTA NAAR AANLEIDING VAN </w:t>
      </w:r>
      <w:r w:rsidRPr="007A5099" w:rsidR="00280CC0">
        <w:rPr>
          <w:rFonts w:ascii="Verdana" w:hAnsi="Verdana" w:cs="Arial"/>
          <w:b/>
          <w:sz w:val="18"/>
          <w:szCs w:val="18"/>
        </w:rPr>
        <w:t xml:space="preserve">HET </w:t>
      </w:r>
      <w:r w:rsidRPr="007A5099">
        <w:rPr>
          <w:rFonts w:ascii="Verdana" w:hAnsi="Verdana" w:cs="Arial"/>
          <w:b/>
          <w:sz w:val="18"/>
          <w:szCs w:val="18"/>
        </w:rPr>
        <w:t>VERSLAG</w:t>
      </w:r>
    </w:p>
    <w:p w:rsidRPr="007A5099" w:rsidR="00EE0056" w:rsidP="00FD08DB" w:rsidRDefault="00EE0056" w14:paraId="69EEA219" w14:textId="77777777">
      <w:pPr>
        <w:widowControl w:val="0"/>
        <w:spacing w:line="240" w:lineRule="atLeast"/>
        <w:rPr>
          <w:rFonts w:ascii="Verdana" w:hAnsi="Verdana" w:cs="Arial"/>
          <w:sz w:val="18"/>
          <w:szCs w:val="18"/>
        </w:rPr>
      </w:pPr>
    </w:p>
    <w:p w:rsidRPr="007A5099" w:rsidR="00EE0056" w:rsidP="00FD08DB" w:rsidRDefault="00EE0056" w14:paraId="02CD873C" w14:textId="77777777">
      <w:pPr>
        <w:widowControl w:val="0"/>
        <w:spacing w:line="240" w:lineRule="atLeast"/>
        <w:rPr>
          <w:rFonts w:ascii="Verdana" w:hAnsi="Verdana" w:cs="Arial"/>
          <w:sz w:val="18"/>
          <w:szCs w:val="18"/>
        </w:rPr>
      </w:pPr>
    </w:p>
    <w:p w:rsidRPr="007A5099" w:rsidR="009E13E7" w:rsidP="00FD08DB" w:rsidRDefault="009E13E7" w14:paraId="21C9AD5D" w14:textId="77777777">
      <w:pPr>
        <w:widowControl w:val="0"/>
        <w:spacing w:line="240" w:lineRule="atLeast"/>
        <w:rPr>
          <w:rFonts w:ascii="Verdana" w:hAnsi="Verdana" w:cs="Arial"/>
          <w:sz w:val="18"/>
          <w:szCs w:val="18"/>
        </w:rPr>
      </w:pPr>
    </w:p>
    <w:p w:rsidRPr="007A5099" w:rsidR="009E13E7" w:rsidP="00FD08DB" w:rsidRDefault="009E13E7" w14:paraId="510C94D7" w14:textId="77777777">
      <w:pPr>
        <w:widowControl w:val="0"/>
        <w:spacing w:line="240" w:lineRule="atLeast"/>
        <w:rPr>
          <w:rFonts w:ascii="Verdana" w:hAnsi="Verdana" w:cs="Arial"/>
          <w:sz w:val="18"/>
          <w:szCs w:val="18"/>
        </w:rPr>
      </w:pPr>
      <w:r w:rsidRPr="007A5099">
        <w:rPr>
          <w:rFonts w:ascii="Verdana" w:hAnsi="Verdana" w:cs="Arial"/>
          <w:b/>
          <w:bCs/>
          <w:sz w:val="18"/>
          <w:szCs w:val="18"/>
        </w:rPr>
        <w:t>Inleiding</w:t>
      </w:r>
    </w:p>
    <w:p w:rsidRPr="007A5099" w:rsidR="009E13E7" w:rsidP="00FD08DB" w:rsidRDefault="009E13E7" w14:paraId="6AB6D498" w14:textId="77777777">
      <w:pPr>
        <w:widowControl w:val="0"/>
        <w:spacing w:line="240" w:lineRule="atLeast"/>
        <w:rPr>
          <w:rFonts w:ascii="Verdana" w:hAnsi="Verdana" w:cs="Arial"/>
          <w:sz w:val="18"/>
          <w:szCs w:val="18"/>
        </w:rPr>
      </w:pPr>
    </w:p>
    <w:p w:rsidRPr="007A5099" w:rsidR="009E13E7" w:rsidP="00FD08DB" w:rsidRDefault="009E13E7" w14:paraId="0306B8EB" w14:textId="5A0CA8FB">
      <w:pPr>
        <w:widowControl w:val="0"/>
        <w:spacing w:line="240" w:lineRule="atLeast"/>
        <w:rPr>
          <w:rFonts w:ascii="Verdana" w:hAnsi="Verdana" w:cs="Arial"/>
          <w:sz w:val="18"/>
          <w:szCs w:val="18"/>
        </w:rPr>
      </w:pPr>
      <w:r w:rsidRPr="007A5099">
        <w:rPr>
          <w:rFonts w:ascii="Verdana" w:hAnsi="Verdana" w:cs="Arial"/>
          <w:sz w:val="18"/>
          <w:szCs w:val="18"/>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7A5099" w:rsidR="009E13E7" w:rsidP="00FD08DB" w:rsidRDefault="009E13E7" w14:paraId="33F0BFDA" w14:textId="77777777">
      <w:pPr>
        <w:widowControl w:val="0"/>
        <w:spacing w:line="240" w:lineRule="atLeast"/>
        <w:rPr>
          <w:rFonts w:ascii="Verdana" w:hAnsi="Verdana" w:cs="Arial"/>
          <w:sz w:val="18"/>
          <w:szCs w:val="18"/>
        </w:rPr>
      </w:pPr>
    </w:p>
    <w:p w:rsidRPr="007A5099" w:rsidR="0027319E" w:rsidP="00FD08DB" w:rsidRDefault="0027319E" w14:paraId="23AE1DCD" w14:textId="079616D0">
      <w:pPr>
        <w:widowControl w:val="0"/>
        <w:spacing w:line="240" w:lineRule="atLeast"/>
        <w:rPr>
          <w:rFonts w:ascii="Verdana" w:hAnsi="Verdana" w:cs="Arial"/>
          <w:b/>
          <w:bCs/>
          <w:sz w:val="18"/>
          <w:szCs w:val="18"/>
        </w:rPr>
      </w:pPr>
      <w:r w:rsidRPr="007A5099">
        <w:rPr>
          <w:rFonts w:ascii="Verdana" w:hAnsi="Verdana" w:cs="Arial"/>
          <w:b/>
          <w:bCs/>
          <w:sz w:val="18"/>
          <w:szCs w:val="18"/>
        </w:rPr>
        <w:t>Algemeen</w:t>
      </w:r>
    </w:p>
    <w:p w:rsidRPr="007A5099" w:rsidR="0027319E" w:rsidP="00FD08DB" w:rsidRDefault="0027319E" w14:paraId="00741174" w14:textId="77777777">
      <w:pPr>
        <w:widowControl w:val="0"/>
        <w:spacing w:line="240" w:lineRule="atLeast"/>
        <w:rPr>
          <w:rFonts w:ascii="Verdana" w:hAnsi="Verdana" w:cs="Arial"/>
          <w:b/>
          <w:bCs/>
          <w:sz w:val="18"/>
          <w:szCs w:val="18"/>
        </w:rPr>
      </w:pPr>
    </w:p>
    <w:p w:rsidRPr="007A5099" w:rsidR="0027319E" w:rsidP="00FD08DB" w:rsidRDefault="0027319E" w14:paraId="5A5A2C3F" w14:textId="77777777">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 xml:space="preserve">De leden van de D66-fractie hebben met interesse kennisgenomen van het wetsvoorstel. Deze leden steunen de verbetering </w:t>
      </w:r>
      <w:proofErr w:type="gramStart"/>
      <w:r w:rsidRPr="007A5099">
        <w:rPr>
          <w:rFonts w:ascii="Verdana" w:hAnsi="Verdana" w:cs="Arial"/>
          <w:i/>
          <w:iCs/>
          <w:sz w:val="18"/>
          <w:szCs w:val="18"/>
        </w:rPr>
        <w:t>omtrent</w:t>
      </w:r>
      <w:proofErr w:type="gramEnd"/>
      <w:r w:rsidRPr="007A5099">
        <w:rPr>
          <w:rFonts w:ascii="Verdana" w:hAnsi="Verdana" w:cs="Arial"/>
          <w:i/>
          <w:iCs/>
          <w:sz w:val="18"/>
          <w:szCs w:val="18"/>
        </w:rPr>
        <w:t xml:space="preserve"> eventuele faillissementen van banken gezien het belang hiervan voor de financiële stabiliteit. Op dit moment hebben deze leden geen verdere vragen over het wetsvoorstel. </w:t>
      </w:r>
    </w:p>
    <w:p w:rsidRPr="007A5099" w:rsidR="0027319E" w:rsidP="00FD08DB" w:rsidRDefault="0027319E" w14:paraId="50605496" w14:textId="77777777">
      <w:pPr>
        <w:widowControl w:val="0"/>
        <w:tabs>
          <w:tab w:val="num" w:pos="720"/>
        </w:tabs>
        <w:spacing w:line="240" w:lineRule="atLeast"/>
        <w:rPr>
          <w:rFonts w:ascii="Verdana" w:hAnsi="Verdana" w:cs="Arial"/>
          <w:i/>
          <w:iCs/>
          <w:sz w:val="18"/>
          <w:szCs w:val="18"/>
        </w:rPr>
      </w:pPr>
    </w:p>
    <w:p w:rsidRPr="007A5099" w:rsidR="0027319E" w:rsidP="00FD08DB" w:rsidRDefault="0027319E" w14:paraId="1A99E752" w14:textId="77777777">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PVV-fractie hebben kennisgenomen van het wetsvoorstel.</w:t>
      </w:r>
    </w:p>
    <w:p w:rsidRPr="007A5099" w:rsidR="0027319E" w:rsidP="00FD08DB" w:rsidRDefault="0027319E" w14:paraId="1D4BECB0" w14:textId="77777777">
      <w:pPr>
        <w:widowControl w:val="0"/>
        <w:tabs>
          <w:tab w:val="num" w:pos="720"/>
        </w:tabs>
        <w:spacing w:line="240" w:lineRule="atLeast"/>
        <w:rPr>
          <w:rFonts w:ascii="Verdana" w:hAnsi="Verdana" w:cs="Arial"/>
          <w:i/>
          <w:iCs/>
          <w:sz w:val="18"/>
          <w:szCs w:val="18"/>
        </w:rPr>
      </w:pPr>
    </w:p>
    <w:p w:rsidRPr="007A5099" w:rsidR="0027319E" w:rsidP="00FD08DB" w:rsidRDefault="0027319E" w14:paraId="04C3E2C0" w14:textId="77777777">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VVD-fractie hebben kennisgenomen van de Wet nadere uitvoering BRRD-implementatie. Deze leden hebben hierover nog een aantal vragen en opmerkingen.</w:t>
      </w:r>
    </w:p>
    <w:p w:rsidRPr="007A5099" w:rsidR="0027319E" w:rsidP="00FD08DB" w:rsidRDefault="0027319E" w14:paraId="69DE85D0" w14:textId="77777777">
      <w:pPr>
        <w:widowControl w:val="0"/>
        <w:tabs>
          <w:tab w:val="num" w:pos="720"/>
        </w:tabs>
        <w:spacing w:line="240" w:lineRule="atLeast"/>
        <w:rPr>
          <w:rFonts w:ascii="Verdana" w:hAnsi="Verdana" w:cs="Arial"/>
          <w:i/>
          <w:iCs/>
          <w:sz w:val="18"/>
          <w:szCs w:val="18"/>
        </w:rPr>
      </w:pPr>
    </w:p>
    <w:p w:rsidRPr="007A5099" w:rsidR="00DB522E" w:rsidP="00FD08DB" w:rsidRDefault="0027319E" w14:paraId="3B380688" w14:textId="18C060E5">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ChristenUnie-fractie hebben kennisgenomen van het onderhavige wetsvoorstel.</w:t>
      </w:r>
    </w:p>
    <w:p w:rsidRPr="007A5099" w:rsidR="0027319E" w:rsidP="00FD08DB" w:rsidRDefault="0027319E" w14:paraId="721C3130" w14:textId="77777777">
      <w:pPr>
        <w:widowControl w:val="0"/>
        <w:tabs>
          <w:tab w:val="num" w:pos="720"/>
        </w:tabs>
        <w:spacing w:line="240" w:lineRule="atLeast"/>
        <w:rPr>
          <w:rFonts w:ascii="Verdana" w:hAnsi="Verdana" w:cs="Arial"/>
          <w:sz w:val="18"/>
          <w:szCs w:val="18"/>
        </w:rPr>
      </w:pPr>
    </w:p>
    <w:p w:rsidRPr="007A5099" w:rsidR="0027319E" w:rsidP="00FD08DB" w:rsidRDefault="0027319E" w14:paraId="10B508F7" w14:textId="77777777">
      <w:pPr>
        <w:widowControl w:val="0"/>
        <w:tabs>
          <w:tab w:val="num" w:pos="720"/>
        </w:tabs>
        <w:spacing w:line="240" w:lineRule="atLeast"/>
        <w:rPr>
          <w:rFonts w:ascii="Verdana" w:hAnsi="Verdana" w:cs="Arial"/>
          <w:b/>
          <w:bCs/>
          <w:i/>
          <w:iCs/>
          <w:sz w:val="18"/>
          <w:szCs w:val="18"/>
        </w:rPr>
      </w:pPr>
      <w:r w:rsidRPr="007A5099">
        <w:rPr>
          <w:rFonts w:ascii="Verdana" w:hAnsi="Verdana" w:cs="Arial"/>
          <w:b/>
          <w:bCs/>
          <w:i/>
          <w:iCs/>
          <w:sz w:val="18"/>
          <w:szCs w:val="18"/>
        </w:rPr>
        <w:t>§ 1. Inleiding</w:t>
      </w:r>
    </w:p>
    <w:p w:rsidRPr="007A5099" w:rsidR="0027319E" w:rsidP="00FD08DB" w:rsidRDefault="0027319E" w14:paraId="0C25B05E" w14:textId="77777777">
      <w:pPr>
        <w:widowControl w:val="0"/>
        <w:tabs>
          <w:tab w:val="num" w:pos="720"/>
        </w:tabs>
        <w:spacing w:line="240" w:lineRule="atLeast"/>
        <w:rPr>
          <w:rFonts w:ascii="Verdana" w:hAnsi="Verdana" w:cs="Arial"/>
          <w:i/>
          <w:iCs/>
          <w:sz w:val="18"/>
          <w:szCs w:val="18"/>
        </w:rPr>
      </w:pPr>
    </w:p>
    <w:p w:rsidRPr="007A5099" w:rsidR="0027319E" w:rsidP="00FD08DB" w:rsidRDefault="0027319E" w14:paraId="0CFD5771" w14:textId="1CEBC850">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PVV-fractie lezen in de memorie van toelichting dat “op Europees niveau wordt onderhandeld door de Raad en het Europees Parlement over de in april 2023 gepubliceerde voorstellen tot aanpassing van de BRRD, SRMR en de richtlijn depositogarantiestelsels”. Deze leden vragen de regering wanneer duidelijkheid wordt verwacht over de uitkomsten van deze onderhandelingen en waarom wordt gekozen voor wetswijziging, terwijl Europese kaders mogelijk op korte termijn zullen veranderen.</w:t>
      </w:r>
    </w:p>
    <w:p w:rsidRPr="007A5099" w:rsidR="00DB522E" w:rsidP="00FD08DB" w:rsidRDefault="00DB522E" w14:paraId="6F5F6DE3" w14:textId="77777777">
      <w:pPr>
        <w:widowControl w:val="0"/>
        <w:tabs>
          <w:tab w:val="num" w:pos="720"/>
        </w:tabs>
        <w:spacing w:line="240" w:lineRule="atLeast"/>
        <w:rPr>
          <w:rFonts w:ascii="Verdana" w:hAnsi="Verdana" w:cs="Arial"/>
          <w:sz w:val="18"/>
          <w:szCs w:val="18"/>
        </w:rPr>
      </w:pPr>
    </w:p>
    <w:p w:rsidRPr="007A5099" w:rsidR="0027319E" w:rsidP="00FD08DB" w:rsidRDefault="0027319E" w14:paraId="395B73BB" w14:textId="7E9F97F3">
      <w:pPr>
        <w:widowControl w:val="0"/>
        <w:tabs>
          <w:tab w:val="num" w:pos="720"/>
        </w:tabs>
        <w:spacing w:line="240" w:lineRule="atLeast"/>
        <w:rPr>
          <w:rFonts w:ascii="Verdana" w:hAnsi="Verdana" w:cs="Arial"/>
          <w:sz w:val="18"/>
          <w:szCs w:val="18"/>
        </w:rPr>
      </w:pPr>
      <w:r w:rsidRPr="007A5099">
        <w:rPr>
          <w:rFonts w:ascii="Verdana" w:hAnsi="Verdana" w:cs="Arial"/>
          <w:sz w:val="18"/>
          <w:szCs w:val="18"/>
        </w:rPr>
        <w:t xml:space="preserve">Op 25 juni 2025 </w:t>
      </w:r>
      <w:r w:rsidR="00550989">
        <w:rPr>
          <w:rFonts w:ascii="Verdana" w:hAnsi="Verdana" w:cs="Arial"/>
          <w:sz w:val="18"/>
          <w:szCs w:val="18"/>
        </w:rPr>
        <w:t>is</w:t>
      </w:r>
      <w:r w:rsidRPr="007A5099">
        <w:rPr>
          <w:rFonts w:ascii="Verdana" w:hAnsi="Verdana" w:cs="Arial"/>
          <w:sz w:val="18"/>
          <w:szCs w:val="18"/>
        </w:rPr>
        <w:t xml:space="preserve"> een </w:t>
      </w:r>
      <w:proofErr w:type="spellStart"/>
      <w:r w:rsidRPr="007A5099">
        <w:rPr>
          <w:rFonts w:ascii="Verdana" w:hAnsi="Verdana" w:cs="Arial"/>
          <w:sz w:val="18"/>
          <w:szCs w:val="18"/>
        </w:rPr>
        <w:t>triloogakkoord</w:t>
      </w:r>
      <w:proofErr w:type="spellEnd"/>
      <w:r w:rsidRPr="007A5099">
        <w:rPr>
          <w:rFonts w:ascii="Verdana" w:hAnsi="Verdana" w:cs="Arial"/>
          <w:sz w:val="18"/>
          <w:szCs w:val="18"/>
        </w:rPr>
        <w:t xml:space="preserve"> bereikt tussen </w:t>
      </w:r>
      <w:r w:rsidR="00404594">
        <w:rPr>
          <w:rFonts w:ascii="Verdana" w:hAnsi="Verdana" w:cs="Arial"/>
          <w:sz w:val="18"/>
          <w:szCs w:val="18"/>
        </w:rPr>
        <w:t>het Europees Parlement en de Raad</w:t>
      </w:r>
      <w:r w:rsidRPr="007A5099">
        <w:rPr>
          <w:rFonts w:ascii="Verdana" w:hAnsi="Verdana" w:cs="Arial"/>
          <w:sz w:val="18"/>
          <w:szCs w:val="18"/>
        </w:rPr>
        <w:t xml:space="preserve">. Dit </w:t>
      </w:r>
      <w:proofErr w:type="spellStart"/>
      <w:r w:rsidRPr="007A5099">
        <w:rPr>
          <w:rFonts w:ascii="Verdana" w:hAnsi="Verdana" w:cs="Arial"/>
          <w:sz w:val="18"/>
          <w:szCs w:val="18"/>
        </w:rPr>
        <w:t>triloogakkoord</w:t>
      </w:r>
      <w:proofErr w:type="spellEnd"/>
      <w:r w:rsidRPr="007A5099">
        <w:rPr>
          <w:rFonts w:ascii="Verdana" w:hAnsi="Verdana" w:cs="Arial"/>
          <w:sz w:val="18"/>
          <w:szCs w:val="18"/>
        </w:rPr>
        <w:t xml:space="preserve"> is tussen juni en november 2025 technisch uitgewerkt. Op 5 november 2025 heeft het </w:t>
      </w:r>
      <w:r w:rsidR="00D54649">
        <w:rPr>
          <w:rFonts w:ascii="Verdana" w:hAnsi="Verdana" w:cs="Arial"/>
          <w:sz w:val="18"/>
          <w:szCs w:val="18"/>
        </w:rPr>
        <w:t xml:space="preserve">Europees </w:t>
      </w:r>
      <w:r w:rsidRPr="007A5099">
        <w:rPr>
          <w:rFonts w:ascii="Verdana" w:hAnsi="Verdana" w:cs="Arial"/>
          <w:sz w:val="18"/>
          <w:szCs w:val="18"/>
        </w:rPr>
        <w:t xml:space="preserve">Parlement ingestemd met de technische uitwerking van de </w:t>
      </w:r>
      <w:proofErr w:type="spellStart"/>
      <w:r w:rsidRPr="007A5099">
        <w:rPr>
          <w:rFonts w:ascii="Verdana" w:hAnsi="Verdana" w:cs="Arial"/>
          <w:sz w:val="18"/>
          <w:szCs w:val="18"/>
        </w:rPr>
        <w:t>triloog</w:t>
      </w:r>
      <w:proofErr w:type="spellEnd"/>
      <w:r w:rsidRPr="007A5099">
        <w:rPr>
          <w:rFonts w:ascii="Verdana" w:hAnsi="Verdana" w:cs="Arial"/>
          <w:sz w:val="18"/>
          <w:szCs w:val="18"/>
        </w:rPr>
        <w:t xml:space="preserve"> en op 12 november 2025 is de Raad akkoord gegaan met de technische uitwerking. Op dit moment wordt de tekst vertaald in alle officiële talen en gecontroleerd door de juristen-linguïsten. Na finale afstemming zal de definitieve tekst nog voorgelegd worden aan het </w:t>
      </w:r>
      <w:r w:rsidR="00D54649">
        <w:rPr>
          <w:rFonts w:ascii="Verdana" w:hAnsi="Verdana" w:cs="Arial"/>
          <w:sz w:val="18"/>
          <w:szCs w:val="18"/>
        </w:rPr>
        <w:lastRenderedPageBreak/>
        <w:t xml:space="preserve">Europees </w:t>
      </w:r>
      <w:r w:rsidRPr="007A5099">
        <w:rPr>
          <w:rFonts w:ascii="Verdana" w:hAnsi="Verdana" w:cs="Arial"/>
          <w:sz w:val="18"/>
          <w:szCs w:val="18"/>
        </w:rPr>
        <w:t xml:space="preserve">Parlement en de Raad voor finale goedkeuring. Publicatie van de officiële teksten wordt verwacht eind maart/begin april 2026. De implementatietermijn betreft 24 maanden waarmee implementatie van de aanpassingen in de Nederlandse wetgeving </w:t>
      </w:r>
      <w:r w:rsidR="00404594">
        <w:rPr>
          <w:rFonts w:ascii="Verdana" w:hAnsi="Verdana" w:cs="Arial"/>
          <w:sz w:val="18"/>
          <w:szCs w:val="18"/>
        </w:rPr>
        <w:t>op zijn vroegst begin</w:t>
      </w:r>
      <w:r w:rsidRPr="007A5099">
        <w:rPr>
          <w:rFonts w:ascii="Verdana" w:hAnsi="Verdana" w:cs="Arial"/>
          <w:sz w:val="18"/>
          <w:szCs w:val="18"/>
        </w:rPr>
        <w:t xml:space="preserve"> 2028 </w:t>
      </w:r>
      <w:r w:rsidR="00404594">
        <w:rPr>
          <w:rFonts w:ascii="Verdana" w:hAnsi="Verdana" w:cs="Arial"/>
          <w:sz w:val="18"/>
          <w:szCs w:val="18"/>
        </w:rPr>
        <w:t>afgerond</w:t>
      </w:r>
      <w:r w:rsidRPr="007A5099">
        <w:rPr>
          <w:rFonts w:ascii="Verdana" w:hAnsi="Verdana" w:cs="Arial"/>
          <w:sz w:val="18"/>
          <w:szCs w:val="18"/>
        </w:rPr>
        <w:t xml:space="preserve"> zullen zijn.</w:t>
      </w:r>
    </w:p>
    <w:p w:rsidRPr="007A5099" w:rsidR="0027319E" w:rsidP="00FD08DB" w:rsidRDefault="0027319E" w14:paraId="630894A7" w14:textId="77777777">
      <w:pPr>
        <w:widowControl w:val="0"/>
        <w:tabs>
          <w:tab w:val="num" w:pos="720"/>
        </w:tabs>
        <w:spacing w:line="240" w:lineRule="atLeast"/>
        <w:rPr>
          <w:rFonts w:ascii="Verdana" w:hAnsi="Verdana" w:cs="Arial"/>
          <w:sz w:val="18"/>
          <w:szCs w:val="18"/>
        </w:rPr>
      </w:pPr>
    </w:p>
    <w:p w:rsidRPr="007A5099" w:rsidR="00DF5E4B" w:rsidP="00FD08DB" w:rsidRDefault="009F2DEC" w14:paraId="46877CA1" w14:textId="5089A552">
      <w:pPr>
        <w:widowControl w:val="0"/>
        <w:tabs>
          <w:tab w:val="num" w:pos="720"/>
        </w:tabs>
        <w:spacing w:line="240" w:lineRule="atLeast"/>
        <w:rPr>
          <w:rFonts w:ascii="Verdana" w:hAnsi="Verdana" w:cs="Arial"/>
          <w:sz w:val="18"/>
          <w:szCs w:val="18"/>
        </w:rPr>
      </w:pPr>
      <w:r w:rsidRPr="007A5099">
        <w:rPr>
          <w:rFonts w:ascii="Verdana" w:hAnsi="Verdana" w:cs="Arial"/>
          <w:sz w:val="18"/>
          <w:szCs w:val="18"/>
        </w:rPr>
        <w:t>Dit</w:t>
      </w:r>
      <w:r w:rsidRPr="007A5099" w:rsidR="0027319E">
        <w:rPr>
          <w:rFonts w:ascii="Verdana" w:hAnsi="Verdana" w:cs="Arial"/>
          <w:sz w:val="18"/>
          <w:szCs w:val="18"/>
        </w:rPr>
        <w:t xml:space="preserve"> wetsvoorstel bevat voornamelijk herstel van de implementatie van de eerdere wijziging van de Richtlijn 2014/59/EU</w:t>
      </w:r>
      <w:r w:rsidR="00784B49">
        <w:rPr>
          <w:rFonts w:ascii="Verdana" w:hAnsi="Verdana" w:cs="Arial"/>
          <w:sz w:val="18"/>
          <w:szCs w:val="18"/>
        </w:rPr>
        <w:t xml:space="preserve"> betreffende herstel en afwikkeling van banken en beleggingsondernemingen</w:t>
      </w:r>
      <w:r w:rsidRPr="007A5099" w:rsidR="0027319E">
        <w:rPr>
          <w:rFonts w:ascii="Verdana" w:hAnsi="Verdana" w:cs="Arial"/>
          <w:sz w:val="18"/>
          <w:szCs w:val="18"/>
        </w:rPr>
        <w:t xml:space="preserve"> (BRRD I) en Richtlijn (EU) 2019/879</w:t>
      </w:r>
      <w:r w:rsidR="00784B49">
        <w:rPr>
          <w:rFonts w:ascii="Verdana" w:hAnsi="Verdana" w:cs="Arial"/>
          <w:sz w:val="18"/>
          <w:szCs w:val="18"/>
        </w:rPr>
        <w:t xml:space="preserve"> betreffende verliesabsorptie en herkapitalisatiecapaciteit van banken en beleggingsondernemingen</w:t>
      </w:r>
      <w:r w:rsidRPr="007A5099" w:rsidR="0027319E">
        <w:rPr>
          <w:rFonts w:ascii="Verdana" w:hAnsi="Verdana" w:cs="Arial"/>
          <w:sz w:val="18"/>
          <w:szCs w:val="18"/>
        </w:rPr>
        <w:t xml:space="preserve"> (BRRD II).</w:t>
      </w:r>
      <w:r w:rsidR="00784B49">
        <w:rPr>
          <w:rStyle w:val="Voetnootmarkering"/>
          <w:rFonts w:ascii="Verdana" w:hAnsi="Verdana" w:cs="Arial"/>
          <w:sz w:val="18"/>
          <w:szCs w:val="18"/>
        </w:rPr>
        <w:footnoteReference w:id="1"/>
      </w:r>
      <w:r w:rsidRPr="007A5099" w:rsidR="0027319E">
        <w:rPr>
          <w:rFonts w:ascii="Verdana" w:hAnsi="Verdana" w:cs="Arial"/>
          <w:sz w:val="18"/>
          <w:szCs w:val="18"/>
        </w:rPr>
        <w:t xml:space="preserve"> </w:t>
      </w:r>
      <w:r w:rsidRPr="007A5099" w:rsidR="00DF5E4B">
        <w:rPr>
          <w:rFonts w:ascii="Verdana" w:hAnsi="Verdana" w:cs="Arial"/>
          <w:sz w:val="18"/>
          <w:szCs w:val="18"/>
        </w:rPr>
        <w:t xml:space="preserve">Gezien de lange duur van de onderhandelingen rondom de aankomende wijzigingen en de daarmee gepaard gaande implementatietermijn is ervoor gekozen de aanpassingen </w:t>
      </w:r>
      <w:r w:rsidR="00404594">
        <w:rPr>
          <w:rFonts w:ascii="Verdana" w:hAnsi="Verdana" w:cs="Arial"/>
          <w:sz w:val="18"/>
          <w:szCs w:val="18"/>
        </w:rPr>
        <w:t xml:space="preserve">naar aanleiding van de opmerkingen van DNB en de vragen van </w:t>
      </w:r>
      <w:r w:rsidRPr="007A5099" w:rsidR="00DF5E4B">
        <w:rPr>
          <w:rFonts w:ascii="Verdana" w:hAnsi="Verdana" w:cs="Arial"/>
          <w:sz w:val="18"/>
          <w:szCs w:val="18"/>
        </w:rPr>
        <w:t>de Europese Commissie nu al met een wetsvoorstel te adresseren. De verwachting is ook dat dit wetsvoorstel het makkelijker maakt om de nieuwe wijzigingen die in 2026 worden verwacht door te voeren.</w:t>
      </w:r>
    </w:p>
    <w:p w:rsidRPr="007A5099" w:rsidR="00DF5E4B" w:rsidP="00FD08DB" w:rsidRDefault="00DF5E4B" w14:paraId="5F3D39F0" w14:textId="77777777">
      <w:pPr>
        <w:widowControl w:val="0"/>
        <w:tabs>
          <w:tab w:val="num" w:pos="720"/>
        </w:tabs>
        <w:spacing w:line="240" w:lineRule="atLeast"/>
        <w:rPr>
          <w:rFonts w:ascii="Verdana" w:hAnsi="Verdana" w:cs="Arial"/>
          <w:sz w:val="18"/>
          <w:szCs w:val="18"/>
        </w:rPr>
      </w:pPr>
    </w:p>
    <w:p w:rsidRPr="007A5099" w:rsidR="0027319E" w:rsidP="00FD08DB" w:rsidRDefault="00DF5E4B" w14:paraId="1F3D7E12" w14:textId="38A1B36C">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PVV-fractie willen van de regering verduidelijking over hoe de Stichting Administratiekantoor Afwikkeling (SAA) eruit zal zien met betrekking tot personeel en bezetting, in hoeverre de stichting op afstand staat van DNB, wat de kosten zullen zijn en wie die gaan betalen.</w:t>
      </w:r>
      <w:r w:rsidR="001B3F26">
        <w:rPr>
          <w:rFonts w:ascii="Verdana" w:hAnsi="Verdana" w:cs="Arial"/>
          <w:i/>
          <w:iCs/>
          <w:sz w:val="18"/>
          <w:szCs w:val="18"/>
        </w:rPr>
        <w:t xml:space="preserve"> </w:t>
      </w:r>
      <w:r w:rsidRPr="007A5099" w:rsidR="0027319E">
        <w:rPr>
          <w:rFonts w:ascii="Verdana" w:hAnsi="Verdana" w:cs="Arial"/>
          <w:i/>
          <w:iCs/>
          <w:sz w:val="18"/>
          <w:szCs w:val="18"/>
        </w:rPr>
        <w:t xml:space="preserve"> </w:t>
      </w:r>
    </w:p>
    <w:p w:rsidRPr="007A5099" w:rsidR="00DB522E" w:rsidP="00FD08DB" w:rsidRDefault="00DB522E" w14:paraId="3B079F8A" w14:textId="77777777">
      <w:pPr>
        <w:widowControl w:val="0"/>
        <w:tabs>
          <w:tab w:val="num" w:pos="720"/>
        </w:tabs>
        <w:spacing w:line="240" w:lineRule="atLeast"/>
        <w:rPr>
          <w:rFonts w:ascii="Verdana" w:hAnsi="Verdana" w:cs="Arial"/>
          <w:sz w:val="18"/>
          <w:szCs w:val="18"/>
        </w:rPr>
      </w:pPr>
    </w:p>
    <w:p w:rsidRPr="007A5099" w:rsidR="00226D42" w:rsidP="00226D42" w:rsidRDefault="00550989" w14:paraId="55D02D7A" w14:textId="32AA2B4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Een Stichting Administratiekantoor Afwikkeling (SAA) kan worden opgericht door DNB ten behoeve van het uitvoeren van afwikkeling. DNB richt de stichting op, en kan de stichting aanwijzingen geven </w:t>
      </w:r>
      <w:proofErr w:type="gramStart"/>
      <w:r>
        <w:rPr>
          <w:rFonts w:ascii="Verdana" w:hAnsi="Verdana" w:cs="Arial"/>
          <w:sz w:val="18"/>
          <w:szCs w:val="18"/>
        </w:rPr>
        <w:t>betreffende</w:t>
      </w:r>
      <w:proofErr w:type="gramEnd"/>
      <w:r>
        <w:rPr>
          <w:rFonts w:ascii="Verdana" w:hAnsi="Verdana" w:cs="Arial"/>
          <w:sz w:val="18"/>
          <w:szCs w:val="18"/>
        </w:rPr>
        <w:t xml:space="preserve"> de taakuitoefening. </w:t>
      </w:r>
      <w:r w:rsidR="00226D42">
        <w:rPr>
          <w:rFonts w:ascii="Verdana" w:hAnsi="Verdana" w:cs="Arial"/>
          <w:sz w:val="18"/>
          <w:szCs w:val="18"/>
        </w:rPr>
        <w:t xml:space="preserve">Het is mogelijk dat er medewerkers van DNB plaatsnemen in het bestuur van de stichting. </w:t>
      </w:r>
      <w:r w:rsidRPr="00E153E3" w:rsidR="00226D42">
        <w:rPr>
          <w:rFonts w:ascii="Verdana" w:hAnsi="Verdana" w:cs="Arial"/>
          <w:sz w:val="18"/>
          <w:szCs w:val="18"/>
        </w:rPr>
        <w:t xml:space="preserve">Nadere invulling voor de inrichting van de SAA zal worden </w:t>
      </w:r>
      <w:r w:rsidR="00C10775">
        <w:rPr>
          <w:rFonts w:ascii="Verdana" w:hAnsi="Verdana" w:cs="Arial"/>
          <w:sz w:val="18"/>
          <w:szCs w:val="18"/>
        </w:rPr>
        <w:t>opgenomen</w:t>
      </w:r>
      <w:r w:rsidRPr="00E153E3" w:rsidR="00226D42">
        <w:rPr>
          <w:rFonts w:ascii="Verdana" w:hAnsi="Verdana" w:cs="Arial"/>
          <w:sz w:val="18"/>
          <w:szCs w:val="18"/>
        </w:rPr>
        <w:t xml:space="preserve"> in het</w:t>
      </w:r>
      <w:r w:rsidRPr="0001626C" w:rsidR="00226D42">
        <w:t xml:space="preserve"> </w:t>
      </w:r>
      <w:r w:rsidRPr="0001626C" w:rsidR="00226D42">
        <w:rPr>
          <w:rFonts w:ascii="Verdana" w:hAnsi="Verdana" w:cs="Arial"/>
          <w:sz w:val="18"/>
          <w:szCs w:val="18"/>
        </w:rPr>
        <w:t xml:space="preserve">Besluit bijzondere </w:t>
      </w:r>
      <w:proofErr w:type="spellStart"/>
      <w:r w:rsidRPr="0001626C" w:rsidR="00226D42">
        <w:rPr>
          <w:rFonts w:ascii="Verdana" w:hAnsi="Verdana" w:cs="Arial"/>
          <w:sz w:val="18"/>
          <w:szCs w:val="18"/>
        </w:rPr>
        <w:t>prudentiële</w:t>
      </w:r>
      <w:proofErr w:type="spellEnd"/>
      <w:r w:rsidRPr="0001626C" w:rsidR="00226D42">
        <w:rPr>
          <w:rFonts w:ascii="Verdana" w:hAnsi="Verdana" w:cs="Arial"/>
          <w:sz w:val="18"/>
          <w:szCs w:val="18"/>
        </w:rPr>
        <w:t xml:space="preserve"> maatregelen, beleggerscompensatie en depositogarantie </w:t>
      </w:r>
      <w:proofErr w:type="spellStart"/>
      <w:r w:rsidRPr="0001626C" w:rsidR="00226D42">
        <w:rPr>
          <w:rFonts w:ascii="Verdana" w:hAnsi="Verdana" w:cs="Arial"/>
          <w:sz w:val="18"/>
          <w:szCs w:val="18"/>
        </w:rPr>
        <w:t>Wft</w:t>
      </w:r>
      <w:proofErr w:type="spellEnd"/>
      <w:r w:rsidRPr="0001626C" w:rsidR="00226D42">
        <w:rPr>
          <w:rFonts w:ascii="Verdana" w:hAnsi="Verdana" w:cs="Arial"/>
          <w:sz w:val="18"/>
          <w:szCs w:val="18"/>
        </w:rPr>
        <w:t>.</w:t>
      </w:r>
      <w:r w:rsidR="00226D42">
        <w:rPr>
          <w:rFonts w:ascii="Verdana" w:hAnsi="Verdana" w:cs="Arial"/>
          <w:sz w:val="18"/>
          <w:szCs w:val="18"/>
        </w:rPr>
        <w:t xml:space="preserve"> </w:t>
      </w:r>
      <w:r w:rsidR="00C10775">
        <w:rPr>
          <w:rFonts w:ascii="Verdana" w:hAnsi="Verdana" w:cs="Arial"/>
          <w:sz w:val="18"/>
          <w:szCs w:val="18"/>
        </w:rPr>
        <w:t>In dit besluit</w:t>
      </w:r>
      <w:r w:rsidR="00226D42">
        <w:rPr>
          <w:rFonts w:ascii="Verdana" w:hAnsi="Verdana" w:cs="Arial"/>
          <w:sz w:val="18"/>
          <w:szCs w:val="18"/>
        </w:rPr>
        <w:t xml:space="preserve"> zijn al organisatorische regels opgenomen voor het (doen) oprichten door DNB van een overbruggingsinstelling, overbruggingsonderneming en entiteit voor activa- en passivabeheer. </w:t>
      </w:r>
    </w:p>
    <w:p w:rsidR="00226D42" w:rsidP="00FD08DB" w:rsidRDefault="00226D42" w14:paraId="4DB9B0D9" w14:textId="2E6D8FFE">
      <w:pPr>
        <w:widowControl w:val="0"/>
        <w:tabs>
          <w:tab w:val="num" w:pos="720"/>
        </w:tabs>
        <w:spacing w:line="240" w:lineRule="atLeast"/>
        <w:rPr>
          <w:rFonts w:ascii="Verdana" w:hAnsi="Verdana" w:cs="Arial"/>
          <w:sz w:val="18"/>
          <w:szCs w:val="18"/>
        </w:rPr>
      </w:pPr>
    </w:p>
    <w:p w:rsidRPr="007A5099" w:rsidR="00226D42" w:rsidP="00226D42" w:rsidRDefault="00226D42" w14:paraId="0709DC1D" w14:textId="28C51348">
      <w:pPr>
        <w:widowControl w:val="0"/>
        <w:tabs>
          <w:tab w:val="num" w:pos="720"/>
        </w:tabs>
        <w:spacing w:line="240" w:lineRule="atLeast"/>
        <w:rPr>
          <w:rFonts w:ascii="Verdana" w:hAnsi="Verdana" w:cs="Arial"/>
          <w:sz w:val="18"/>
          <w:szCs w:val="18"/>
        </w:rPr>
      </w:pPr>
      <w:r w:rsidRPr="0001626C">
        <w:rPr>
          <w:rFonts w:ascii="Verdana" w:hAnsi="Verdana" w:cs="Arial"/>
          <w:sz w:val="18"/>
          <w:szCs w:val="18"/>
        </w:rPr>
        <w:t xml:space="preserve">De kosten van </w:t>
      </w:r>
      <w:r w:rsidR="00876022">
        <w:rPr>
          <w:rFonts w:ascii="Verdana" w:hAnsi="Verdana" w:cs="Arial"/>
          <w:sz w:val="18"/>
          <w:szCs w:val="18"/>
        </w:rPr>
        <w:t>afwikkeling</w:t>
      </w:r>
      <w:r w:rsidRPr="0001626C">
        <w:rPr>
          <w:rFonts w:ascii="Verdana" w:hAnsi="Verdana" w:cs="Arial"/>
          <w:sz w:val="18"/>
          <w:szCs w:val="18"/>
        </w:rPr>
        <w:t xml:space="preserve"> worden door de financiële sector zelf gedragen door de bijdrage aan de ZBO-begroting van DNB</w:t>
      </w:r>
      <w:r w:rsidRPr="007B2B14">
        <w:rPr>
          <w:rFonts w:ascii="Verdana" w:hAnsi="Verdana" w:cs="Arial"/>
          <w:sz w:val="18"/>
          <w:szCs w:val="18"/>
        </w:rPr>
        <w:t>.</w:t>
      </w:r>
      <w:r>
        <w:rPr>
          <w:rStyle w:val="Voetnootmarkering"/>
          <w:rFonts w:ascii="Verdana" w:hAnsi="Verdana" w:cs="Arial"/>
          <w:sz w:val="18"/>
          <w:szCs w:val="18"/>
        </w:rPr>
        <w:footnoteReference w:id="2"/>
      </w:r>
      <w:r w:rsidRPr="007B2B14">
        <w:rPr>
          <w:rFonts w:ascii="Verdana" w:hAnsi="Verdana" w:cs="Arial"/>
          <w:sz w:val="18"/>
          <w:szCs w:val="18"/>
        </w:rPr>
        <w:t xml:space="preserve"> </w:t>
      </w:r>
      <w:r w:rsidRPr="008D78D8">
        <w:rPr>
          <w:rFonts w:ascii="Verdana" w:hAnsi="Verdana" w:cs="Arial"/>
          <w:sz w:val="18"/>
          <w:szCs w:val="18"/>
        </w:rPr>
        <w:t>Op grond van artikel 3</w:t>
      </w:r>
      <w:r>
        <w:rPr>
          <w:rFonts w:ascii="Verdana" w:hAnsi="Verdana" w:cs="Arial"/>
          <w:sz w:val="18"/>
          <w:szCs w:val="18"/>
        </w:rPr>
        <w:t>A</w:t>
      </w:r>
      <w:r w:rsidRPr="008D78D8">
        <w:rPr>
          <w:rFonts w:ascii="Verdana" w:hAnsi="Verdana" w:cs="Arial"/>
          <w:sz w:val="18"/>
          <w:szCs w:val="18"/>
        </w:rPr>
        <w:t>:</w:t>
      </w:r>
      <w:r>
        <w:rPr>
          <w:rFonts w:ascii="Verdana" w:hAnsi="Verdana" w:cs="Arial"/>
          <w:sz w:val="18"/>
          <w:szCs w:val="18"/>
        </w:rPr>
        <w:t>62</w:t>
      </w:r>
      <w:r w:rsidRPr="008D78D8">
        <w:rPr>
          <w:rFonts w:ascii="Verdana" w:hAnsi="Verdana" w:cs="Arial"/>
          <w:sz w:val="18"/>
          <w:szCs w:val="18"/>
        </w:rPr>
        <w:t xml:space="preserve"> </w:t>
      </w:r>
      <w:r w:rsidRPr="06567872">
        <w:rPr>
          <w:rFonts w:ascii="Verdana" w:hAnsi="Verdana" w:cs="Arial"/>
          <w:sz w:val="18"/>
          <w:szCs w:val="18"/>
        </w:rPr>
        <w:t>van de Wet op het financieel toezicht (</w:t>
      </w:r>
      <w:proofErr w:type="spellStart"/>
      <w:r w:rsidRPr="008D78D8">
        <w:rPr>
          <w:rFonts w:ascii="Verdana" w:hAnsi="Verdana" w:cs="Arial"/>
          <w:sz w:val="18"/>
          <w:szCs w:val="18"/>
        </w:rPr>
        <w:t>Wft</w:t>
      </w:r>
      <w:proofErr w:type="spellEnd"/>
      <w:r w:rsidRPr="06567872">
        <w:rPr>
          <w:rFonts w:ascii="Verdana" w:hAnsi="Verdana" w:cs="Arial"/>
          <w:sz w:val="18"/>
          <w:szCs w:val="18"/>
        </w:rPr>
        <w:t>)</w:t>
      </w:r>
      <w:r w:rsidRPr="008D78D8">
        <w:rPr>
          <w:rFonts w:ascii="Verdana" w:hAnsi="Verdana" w:cs="Arial"/>
          <w:sz w:val="18"/>
          <w:szCs w:val="18"/>
        </w:rPr>
        <w:t xml:space="preserve"> kunnen kosten van afwikkeling van een specifieke </w:t>
      </w:r>
      <w:r w:rsidR="00AA32D6">
        <w:rPr>
          <w:rFonts w:ascii="Verdana" w:hAnsi="Verdana" w:cs="Arial"/>
          <w:sz w:val="18"/>
          <w:szCs w:val="18"/>
        </w:rPr>
        <w:t>instelling</w:t>
      </w:r>
      <w:r w:rsidRPr="008D78D8">
        <w:rPr>
          <w:rFonts w:ascii="Verdana" w:hAnsi="Verdana" w:cs="Arial"/>
          <w:sz w:val="18"/>
          <w:szCs w:val="18"/>
        </w:rPr>
        <w:t xml:space="preserve"> worden verhaald op de daarin genoemde wijze.</w:t>
      </w:r>
      <w:r>
        <w:rPr>
          <w:rFonts w:ascii="Verdana" w:hAnsi="Verdana" w:cs="Arial"/>
          <w:sz w:val="18"/>
          <w:szCs w:val="18"/>
        </w:rPr>
        <w:t xml:space="preserve"> </w:t>
      </w:r>
    </w:p>
    <w:p w:rsidRPr="007A5099" w:rsidR="00DF5E4B" w:rsidP="00FD08DB" w:rsidRDefault="00DF5E4B" w14:paraId="0C80391D" w14:textId="77777777">
      <w:pPr>
        <w:widowControl w:val="0"/>
        <w:tabs>
          <w:tab w:val="num" w:pos="720"/>
        </w:tabs>
        <w:spacing w:line="240" w:lineRule="atLeast"/>
        <w:rPr>
          <w:rFonts w:ascii="Verdana" w:hAnsi="Verdana" w:cs="Arial"/>
          <w:sz w:val="18"/>
          <w:szCs w:val="18"/>
        </w:rPr>
      </w:pPr>
    </w:p>
    <w:p w:rsidRPr="007A5099" w:rsidR="00DF5E4B" w:rsidP="00FD08DB" w:rsidRDefault="00DF5E4B" w14:paraId="3B508036" w14:textId="77777777">
      <w:pPr>
        <w:widowControl w:val="0"/>
        <w:tabs>
          <w:tab w:val="num" w:pos="720"/>
        </w:tabs>
        <w:spacing w:line="240" w:lineRule="atLeast"/>
        <w:rPr>
          <w:rFonts w:ascii="Verdana" w:hAnsi="Verdana" w:cs="Arial"/>
          <w:b/>
          <w:bCs/>
          <w:i/>
          <w:iCs/>
          <w:sz w:val="18"/>
          <w:szCs w:val="18"/>
        </w:rPr>
      </w:pPr>
      <w:r w:rsidRPr="007A5099">
        <w:rPr>
          <w:rFonts w:ascii="Verdana" w:hAnsi="Verdana" w:cs="Arial"/>
          <w:b/>
          <w:bCs/>
          <w:i/>
          <w:iCs/>
          <w:sz w:val="18"/>
          <w:szCs w:val="18"/>
        </w:rPr>
        <w:t xml:space="preserve">§ 4.1 Praktische uitvoering afwikkeling </w:t>
      </w:r>
    </w:p>
    <w:p w:rsidRPr="007A5099" w:rsidR="00DF5E4B" w:rsidP="00FD08DB" w:rsidRDefault="00DF5E4B" w14:paraId="1A53629F" w14:textId="77777777">
      <w:pPr>
        <w:widowControl w:val="0"/>
        <w:tabs>
          <w:tab w:val="num" w:pos="720"/>
        </w:tabs>
        <w:spacing w:line="240" w:lineRule="atLeast"/>
        <w:rPr>
          <w:rFonts w:ascii="Verdana" w:hAnsi="Verdana" w:cs="Arial"/>
          <w:sz w:val="18"/>
          <w:szCs w:val="18"/>
        </w:rPr>
      </w:pPr>
    </w:p>
    <w:p w:rsidRPr="007A5099" w:rsidR="00DF5E4B" w:rsidP="00FD08DB" w:rsidRDefault="00DF5E4B" w14:paraId="7BB10BC6" w14:textId="0BFB40C9">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PVV-fractie lezen in de memorie van toelichting “De SAA gaat de aandelen of certificaten tijdelijk houden ten behoeve van de houders van de claimrechten. Op het moment dat de definitieve waardering en de conversiekoers bepaald is, zullen de claimrechten worden omgewisseld in de aandelen of certificaten”. Deze leden vragen de regering of er een wettelijke termijn wordt vastgelegd waarbinnen de afwikkelingsmaatregelen moeten worden uitgevoerd.</w:t>
      </w:r>
    </w:p>
    <w:p w:rsidRPr="007A5099" w:rsidR="00DB522E" w:rsidP="00FD08DB" w:rsidRDefault="00DB522E" w14:paraId="2E805790" w14:textId="77777777">
      <w:pPr>
        <w:widowControl w:val="0"/>
        <w:tabs>
          <w:tab w:val="num" w:pos="720"/>
        </w:tabs>
        <w:spacing w:line="240" w:lineRule="atLeast"/>
        <w:rPr>
          <w:rFonts w:ascii="Verdana" w:hAnsi="Verdana" w:cs="Arial"/>
          <w:sz w:val="18"/>
          <w:szCs w:val="18"/>
        </w:rPr>
      </w:pPr>
    </w:p>
    <w:p w:rsidRPr="007A5099" w:rsidR="00DF5E4B" w:rsidP="00FD08DB" w:rsidRDefault="00550989" w14:paraId="575C2AEB" w14:textId="6A4FE628">
      <w:pPr>
        <w:widowControl w:val="0"/>
        <w:tabs>
          <w:tab w:val="num" w:pos="720"/>
        </w:tabs>
        <w:spacing w:line="240" w:lineRule="atLeast"/>
        <w:rPr>
          <w:rFonts w:ascii="Verdana" w:hAnsi="Verdana" w:cs="Arial"/>
          <w:sz w:val="18"/>
          <w:szCs w:val="18"/>
        </w:rPr>
      </w:pPr>
      <w:r>
        <w:rPr>
          <w:rFonts w:ascii="Verdana" w:hAnsi="Verdana" w:cs="Arial"/>
          <w:sz w:val="18"/>
          <w:szCs w:val="18"/>
        </w:rPr>
        <w:t>Het nemen van de afwikkelingsmaatregelen zelf zal vrij spoedig na de constatering dat een entiteit faalt of waarschijnlijk zal falen moeten gebeuren. De BRRD schrijft geen termijnen voor waarin de praktische uitvoe</w:t>
      </w:r>
      <w:r w:rsidR="00C10775">
        <w:rPr>
          <w:rFonts w:ascii="Verdana" w:hAnsi="Verdana" w:cs="Arial"/>
          <w:sz w:val="18"/>
          <w:szCs w:val="18"/>
        </w:rPr>
        <w:t>r</w:t>
      </w:r>
      <w:r>
        <w:rPr>
          <w:rFonts w:ascii="Verdana" w:hAnsi="Verdana" w:cs="Arial"/>
          <w:sz w:val="18"/>
          <w:szCs w:val="18"/>
        </w:rPr>
        <w:t xml:space="preserve">ing van de inzet van een afwikkelingsinstrument of het nemen van een afwikkelingsmaatregel voltooid moet zijn. Dat is ook lastig te voorspellen, en </w:t>
      </w:r>
      <w:r>
        <w:rPr>
          <w:rFonts w:ascii="Verdana" w:hAnsi="Verdana" w:cs="Arial"/>
          <w:sz w:val="18"/>
          <w:szCs w:val="18"/>
        </w:rPr>
        <w:lastRenderedPageBreak/>
        <w:t xml:space="preserve">afhankelijk van het type instrument of maatregel dat zal worden ingezet </w:t>
      </w:r>
      <w:proofErr w:type="gramStart"/>
      <w:r>
        <w:rPr>
          <w:rFonts w:ascii="Verdana" w:hAnsi="Verdana" w:cs="Arial"/>
          <w:sz w:val="18"/>
          <w:szCs w:val="18"/>
        </w:rPr>
        <w:t>indien</w:t>
      </w:r>
      <w:proofErr w:type="gramEnd"/>
      <w:r>
        <w:rPr>
          <w:rFonts w:ascii="Verdana" w:hAnsi="Verdana" w:cs="Arial"/>
          <w:sz w:val="18"/>
          <w:szCs w:val="18"/>
        </w:rPr>
        <w:t xml:space="preserve"> er sprake is van afwikkeling van een entiteit.</w:t>
      </w:r>
      <w:r w:rsidR="00784B49">
        <w:rPr>
          <w:rFonts w:ascii="Verdana" w:hAnsi="Verdana" w:cs="Arial"/>
          <w:sz w:val="18"/>
          <w:szCs w:val="18"/>
        </w:rPr>
        <w:t xml:space="preserve"> Een wettelijke termijn opnemen waarbinnen een afwikkelingsmaatregel uitgevoerd moet zijn kan de goede werking van het afwikkelingsraamwerk verstoren.</w:t>
      </w:r>
    </w:p>
    <w:p w:rsidRPr="007A5099" w:rsidR="00DB27E6" w:rsidP="00FD08DB" w:rsidRDefault="00DB27E6" w14:paraId="1A0561F0" w14:textId="77777777">
      <w:pPr>
        <w:widowControl w:val="0"/>
        <w:tabs>
          <w:tab w:val="num" w:pos="720"/>
        </w:tabs>
        <w:spacing w:line="240" w:lineRule="atLeast"/>
        <w:rPr>
          <w:rFonts w:ascii="Verdana" w:hAnsi="Verdana" w:cs="Arial"/>
          <w:sz w:val="18"/>
          <w:szCs w:val="18"/>
        </w:rPr>
      </w:pPr>
    </w:p>
    <w:p w:rsidRPr="007A5099" w:rsidR="00DB27E6" w:rsidP="00FD08DB" w:rsidRDefault="00DB27E6" w14:paraId="7E1F314F" w14:textId="178CA1EE">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De leden van de VVD-fractie constateren dat het wetsvoorstel een oplossing biedt voor het geval bestaande (of nieuw uitgegeven) aandelen of certificaten op het moment van afwikkeling van een instelling nog niet kunnen worden toegekend aan de houders van de claimrechten. Het voorliggende wetsvoorstel wil dat doen door te regelen dat DNB in dat geval een instructie afgeeft aan de instelling in afwikkeling om de aandelen of certificaten uit te (doen) geven aan een door DNB opgerichte SAA of door DNB deze bestaande aandelen te doen laten overgaan aan de SAA. De SAA gaat de aandelen of certificaten dan tijdelijk houden ten behoeve van de houders van de claimrechten. Op het moment dat de definitieve waardering en de conversiekoers bepaald is, zullen de claimrechten dan worden omgewisseld in de aandelen of certificaten. Graag ontvangen deze leden een uitgebreide toelichting op de volgens de regering te verwachten gevolgen van deze wetswijziging voor de claimhouders.</w:t>
      </w:r>
    </w:p>
    <w:p w:rsidRPr="007A5099" w:rsidR="00DF5E4B" w:rsidP="00FD08DB" w:rsidRDefault="00DF5E4B" w14:paraId="7CDAD2BC" w14:textId="77777777">
      <w:pPr>
        <w:widowControl w:val="0"/>
        <w:tabs>
          <w:tab w:val="num" w:pos="720"/>
        </w:tabs>
        <w:spacing w:line="240" w:lineRule="atLeast"/>
        <w:rPr>
          <w:rFonts w:ascii="Verdana" w:hAnsi="Verdana" w:cs="Arial"/>
          <w:sz w:val="18"/>
          <w:szCs w:val="18"/>
        </w:rPr>
      </w:pPr>
    </w:p>
    <w:p w:rsidRPr="007A5099" w:rsidR="00DB27E6" w:rsidP="00FD08DB" w:rsidRDefault="00E96FE5" w14:paraId="7D905375" w14:textId="05E86247">
      <w:pPr>
        <w:widowControl w:val="0"/>
        <w:tabs>
          <w:tab w:val="num" w:pos="720"/>
        </w:tabs>
        <w:spacing w:line="240" w:lineRule="atLeast"/>
        <w:rPr>
          <w:rFonts w:ascii="Verdana" w:hAnsi="Verdana" w:cs="Arial"/>
          <w:sz w:val="18"/>
          <w:szCs w:val="18"/>
        </w:rPr>
      </w:pPr>
      <w:r w:rsidRPr="007A5099">
        <w:rPr>
          <w:rFonts w:ascii="Verdana" w:hAnsi="Verdana" w:cs="Arial"/>
          <w:sz w:val="18"/>
          <w:szCs w:val="18"/>
        </w:rPr>
        <w:t>Er zijn geen gevolgen voor claim</w:t>
      </w:r>
      <w:r w:rsidR="00784B49">
        <w:rPr>
          <w:rFonts w:ascii="Verdana" w:hAnsi="Verdana" w:cs="Arial"/>
          <w:sz w:val="18"/>
          <w:szCs w:val="18"/>
        </w:rPr>
        <w:t>recht</w:t>
      </w:r>
      <w:r w:rsidRPr="007A5099">
        <w:rPr>
          <w:rFonts w:ascii="Verdana" w:hAnsi="Verdana" w:cs="Arial"/>
          <w:sz w:val="18"/>
          <w:szCs w:val="18"/>
        </w:rPr>
        <w:t>houders van deze wetswijziging</w:t>
      </w:r>
      <w:r w:rsidRPr="007A5099" w:rsidR="009F2DEC">
        <w:rPr>
          <w:rFonts w:ascii="Verdana" w:hAnsi="Verdana" w:cs="Arial"/>
          <w:sz w:val="18"/>
          <w:szCs w:val="18"/>
        </w:rPr>
        <w:t xml:space="preserve"> ten opzichte van het </w:t>
      </w:r>
      <w:proofErr w:type="gramStart"/>
      <w:r w:rsidRPr="007A5099" w:rsidR="009F2DEC">
        <w:rPr>
          <w:rFonts w:ascii="Verdana" w:hAnsi="Verdana" w:cs="Arial"/>
          <w:sz w:val="18"/>
          <w:szCs w:val="18"/>
        </w:rPr>
        <w:t>reeds</w:t>
      </w:r>
      <w:proofErr w:type="gramEnd"/>
      <w:r w:rsidRPr="007A5099" w:rsidR="009F2DEC">
        <w:rPr>
          <w:rFonts w:ascii="Verdana" w:hAnsi="Verdana" w:cs="Arial"/>
          <w:sz w:val="18"/>
          <w:szCs w:val="18"/>
        </w:rPr>
        <w:t xml:space="preserve"> bestaande wettelijke kader voor afwikkeling</w:t>
      </w:r>
      <w:r w:rsidRPr="007A5099">
        <w:rPr>
          <w:rFonts w:ascii="Verdana" w:hAnsi="Verdana" w:cs="Arial"/>
          <w:sz w:val="18"/>
          <w:szCs w:val="18"/>
        </w:rPr>
        <w:t xml:space="preserve">. De in de memorie van toelichting beschreven gang van zaken zou ook zonder dit wetsvoorstel </w:t>
      </w:r>
      <w:r w:rsidR="00404594">
        <w:rPr>
          <w:rFonts w:ascii="Verdana" w:hAnsi="Verdana" w:cs="Arial"/>
          <w:sz w:val="18"/>
          <w:szCs w:val="18"/>
        </w:rPr>
        <w:t xml:space="preserve">reeds </w:t>
      </w:r>
      <w:r w:rsidR="00986A32">
        <w:rPr>
          <w:rFonts w:ascii="Verdana" w:hAnsi="Verdana" w:cs="Arial"/>
          <w:sz w:val="18"/>
          <w:szCs w:val="18"/>
        </w:rPr>
        <w:t xml:space="preserve">kunnen </w:t>
      </w:r>
      <w:r w:rsidRPr="007A5099">
        <w:rPr>
          <w:rFonts w:ascii="Verdana" w:hAnsi="Verdana" w:cs="Arial"/>
          <w:sz w:val="18"/>
          <w:szCs w:val="18"/>
        </w:rPr>
        <w:t xml:space="preserve">plaatsvinden, in de zin dat </w:t>
      </w:r>
      <w:r w:rsidR="00404594">
        <w:rPr>
          <w:rFonts w:ascii="Verdana" w:hAnsi="Verdana" w:cs="Arial"/>
          <w:sz w:val="18"/>
          <w:szCs w:val="18"/>
        </w:rPr>
        <w:t xml:space="preserve">al </w:t>
      </w:r>
      <w:r w:rsidRPr="007A5099">
        <w:rPr>
          <w:rFonts w:ascii="Verdana" w:hAnsi="Verdana" w:cs="Arial"/>
          <w:sz w:val="18"/>
          <w:szCs w:val="18"/>
        </w:rPr>
        <w:t>voorzien was dat een indirecte omzetting plaats zou moeten vinden omdat niet altijd de conversiekoers bepaald kan worden bij gebrek aan</w:t>
      </w:r>
      <w:r w:rsidR="00784B49">
        <w:rPr>
          <w:rFonts w:ascii="Verdana" w:hAnsi="Verdana" w:cs="Arial"/>
          <w:sz w:val="18"/>
          <w:szCs w:val="18"/>
        </w:rPr>
        <w:t xml:space="preserve"> een</w:t>
      </w:r>
      <w:r w:rsidRPr="007A5099">
        <w:rPr>
          <w:rFonts w:ascii="Verdana" w:hAnsi="Verdana" w:cs="Arial"/>
          <w:sz w:val="18"/>
          <w:szCs w:val="18"/>
        </w:rPr>
        <w:t xml:space="preserve"> definitieve waardering.</w:t>
      </w:r>
      <w:r w:rsidR="00404594">
        <w:rPr>
          <w:rFonts w:ascii="Verdana" w:hAnsi="Verdana" w:cs="Arial"/>
          <w:sz w:val="18"/>
          <w:szCs w:val="18"/>
        </w:rPr>
        <w:t xml:space="preserve"> DNB zou ook zonder dit wetsvoorstel bevoegd zijn om ter uitvoering van haar taken als afwikkelingsautoriteit een stichting op te richten </w:t>
      </w:r>
      <w:proofErr w:type="gramStart"/>
      <w:r w:rsidR="00404594">
        <w:rPr>
          <w:rFonts w:ascii="Verdana" w:hAnsi="Verdana" w:cs="Arial"/>
          <w:sz w:val="18"/>
          <w:szCs w:val="18"/>
        </w:rPr>
        <w:t>teneinde</w:t>
      </w:r>
      <w:proofErr w:type="gramEnd"/>
      <w:r w:rsidR="00404594">
        <w:rPr>
          <w:rFonts w:ascii="Verdana" w:hAnsi="Verdana" w:cs="Arial"/>
          <w:sz w:val="18"/>
          <w:szCs w:val="18"/>
        </w:rPr>
        <w:t xml:space="preserve"> de indirecte conversie te bewerkstelligen.</w:t>
      </w:r>
      <w:r w:rsidRPr="007A5099">
        <w:rPr>
          <w:rFonts w:ascii="Verdana" w:hAnsi="Verdana" w:cs="Arial"/>
          <w:sz w:val="18"/>
          <w:szCs w:val="18"/>
        </w:rPr>
        <w:t xml:space="preserve"> </w:t>
      </w:r>
      <w:r w:rsidRPr="007A5099" w:rsidR="00784B49">
        <w:rPr>
          <w:rFonts w:ascii="Verdana" w:hAnsi="Verdana" w:cs="Arial"/>
          <w:sz w:val="18"/>
          <w:szCs w:val="18"/>
        </w:rPr>
        <w:t xml:space="preserve">Dit wetsvoorstel verduidelijkt dat DNB de expliciete bevoegdheid heeft om een SAA op te richten </w:t>
      </w:r>
      <w:proofErr w:type="gramStart"/>
      <w:r w:rsidRPr="007A5099" w:rsidR="00784B49">
        <w:rPr>
          <w:rFonts w:ascii="Verdana" w:hAnsi="Verdana" w:cs="Arial"/>
          <w:sz w:val="18"/>
          <w:szCs w:val="18"/>
        </w:rPr>
        <w:t>teneinde</w:t>
      </w:r>
      <w:proofErr w:type="gramEnd"/>
      <w:r w:rsidRPr="007A5099" w:rsidR="00784B49">
        <w:rPr>
          <w:rFonts w:ascii="Verdana" w:hAnsi="Verdana" w:cs="Arial"/>
          <w:sz w:val="18"/>
          <w:szCs w:val="18"/>
        </w:rPr>
        <w:t xml:space="preserve"> deze indirecte omzetting </w:t>
      </w:r>
      <w:r w:rsidRPr="534B3241" w:rsidR="00784B49">
        <w:rPr>
          <w:rFonts w:ascii="Verdana" w:hAnsi="Verdana" w:cs="Arial"/>
          <w:sz w:val="18"/>
          <w:szCs w:val="18"/>
        </w:rPr>
        <w:t xml:space="preserve">bij de uitoefening van </w:t>
      </w:r>
      <w:r w:rsidRPr="4EC668F9" w:rsidR="00784B49">
        <w:rPr>
          <w:rFonts w:ascii="Verdana" w:hAnsi="Verdana" w:cs="Arial"/>
          <w:sz w:val="18"/>
          <w:szCs w:val="18"/>
        </w:rPr>
        <w:t xml:space="preserve">de </w:t>
      </w:r>
      <w:r w:rsidR="00784B49">
        <w:rPr>
          <w:rFonts w:ascii="Verdana" w:hAnsi="Verdana" w:cs="Arial"/>
          <w:sz w:val="18"/>
          <w:szCs w:val="18"/>
        </w:rPr>
        <w:t>afschrijving en omzetting van kapitaalinstrumenten</w:t>
      </w:r>
      <w:r w:rsidRPr="3624580E" w:rsidR="00784B49">
        <w:rPr>
          <w:rFonts w:ascii="Verdana" w:hAnsi="Verdana" w:cs="Arial"/>
          <w:sz w:val="18"/>
          <w:szCs w:val="18"/>
        </w:rPr>
        <w:t>-</w:t>
      </w:r>
      <w:r w:rsidRPr="321DAD4B" w:rsidR="00784B49">
        <w:rPr>
          <w:rFonts w:ascii="Verdana" w:hAnsi="Verdana" w:cs="Arial"/>
          <w:sz w:val="18"/>
          <w:szCs w:val="18"/>
        </w:rPr>
        <w:t>bevoegdheden</w:t>
      </w:r>
      <w:r w:rsidRPr="29876C39" w:rsidR="00784B49">
        <w:rPr>
          <w:rFonts w:ascii="Verdana" w:hAnsi="Verdana" w:cs="Arial"/>
          <w:sz w:val="18"/>
          <w:szCs w:val="18"/>
        </w:rPr>
        <w:t xml:space="preserve"> </w:t>
      </w:r>
      <w:r w:rsidRPr="4EC668F9" w:rsidR="00784B49">
        <w:rPr>
          <w:rFonts w:ascii="Verdana" w:hAnsi="Verdana" w:cs="Arial"/>
          <w:sz w:val="18"/>
          <w:szCs w:val="18"/>
        </w:rPr>
        <w:t xml:space="preserve">en </w:t>
      </w:r>
      <w:r w:rsidRPr="470290B6" w:rsidR="00784B49">
        <w:rPr>
          <w:rFonts w:ascii="Verdana" w:hAnsi="Verdana" w:cs="Arial"/>
          <w:sz w:val="18"/>
          <w:szCs w:val="18"/>
        </w:rPr>
        <w:t xml:space="preserve">de </w:t>
      </w:r>
      <w:r w:rsidRPr="13D0F839" w:rsidR="00784B49">
        <w:rPr>
          <w:rFonts w:ascii="Verdana" w:hAnsi="Verdana" w:cs="Arial"/>
          <w:sz w:val="18"/>
          <w:szCs w:val="18"/>
        </w:rPr>
        <w:t>uitvoering van het</w:t>
      </w:r>
      <w:r w:rsidRPr="61CE61DF" w:rsidR="00784B49">
        <w:rPr>
          <w:rFonts w:ascii="Verdana" w:hAnsi="Verdana" w:cs="Arial"/>
          <w:sz w:val="18"/>
          <w:szCs w:val="18"/>
        </w:rPr>
        <w:t xml:space="preserve"> </w:t>
      </w:r>
      <w:r w:rsidR="00784B49">
        <w:rPr>
          <w:rFonts w:ascii="Verdana" w:hAnsi="Verdana" w:cs="Arial"/>
          <w:sz w:val="18"/>
          <w:szCs w:val="18"/>
        </w:rPr>
        <w:t xml:space="preserve">afwikkelingsinstrument van </w:t>
      </w:r>
      <w:proofErr w:type="spellStart"/>
      <w:r w:rsidRPr="61CE61DF" w:rsidR="00784B49">
        <w:rPr>
          <w:rFonts w:ascii="Verdana" w:hAnsi="Verdana" w:cs="Arial"/>
          <w:sz w:val="18"/>
          <w:szCs w:val="18"/>
        </w:rPr>
        <w:t>bail</w:t>
      </w:r>
      <w:proofErr w:type="spellEnd"/>
      <w:r w:rsidRPr="22B5F424" w:rsidR="00784B49">
        <w:rPr>
          <w:rFonts w:ascii="Verdana" w:hAnsi="Verdana" w:cs="Arial"/>
          <w:sz w:val="18"/>
          <w:szCs w:val="18"/>
        </w:rPr>
        <w:t>-in</w:t>
      </w:r>
      <w:r w:rsidRPr="107BDD07" w:rsidR="00784B49">
        <w:rPr>
          <w:rFonts w:ascii="Verdana" w:hAnsi="Verdana" w:cs="Arial"/>
          <w:sz w:val="18"/>
          <w:szCs w:val="18"/>
        </w:rPr>
        <w:t xml:space="preserve"> </w:t>
      </w:r>
      <w:r w:rsidRPr="007A5099" w:rsidR="00784B49">
        <w:rPr>
          <w:rFonts w:ascii="Verdana" w:hAnsi="Verdana" w:cs="Arial"/>
          <w:sz w:val="18"/>
          <w:szCs w:val="18"/>
        </w:rPr>
        <w:t xml:space="preserve">te </w:t>
      </w:r>
      <w:r w:rsidRPr="4547514B" w:rsidR="00784B49">
        <w:rPr>
          <w:rFonts w:ascii="Verdana" w:hAnsi="Verdana" w:cs="Arial"/>
          <w:sz w:val="18"/>
          <w:szCs w:val="18"/>
        </w:rPr>
        <w:t>faciliteren</w:t>
      </w:r>
      <w:r w:rsidRPr="007A5099" w:rsidR="00784B49">
        <w:rPr>
          <w:rFonts w:ascii="Verdana" w:hAnsi="Verdana" w:cs="Arial"/>
          <w:sz w:val="18"/>
          <w:szCs w:val="18"/>
        </w:rPr>
        <w:t>.</w:t>
      </w:r>
    </w:p>
    <w:p w:rsidRPr="007A5099" w:rsidR="00DB27E6" w:rsidP="00FD08DB" w:rsidRDefault="00DB27E6" w14:paraId="020FADC4" w14:textId="77777777">
      <w:pPr>
        <w:widowControl w:val="0"/>
        <w:tabs>
          <w:tab w:val="num" w:pos="720"/>
        </w:tabs>
        <w:spacing w:line="240" w:lineRule="atLeast"/>
        <w:rPr>
          <w:rFonts w:ascii="Verdana" w:hAnsi="Verdana" w:cs="Arial"/>
          <w:sz w:val="18"/>
          <w:szCs w:val="18"/>
        </w:rPr>
      </w:pPr>
    </w:p>
    <w:p w:rsidRPr="007A5099" w:rsidR="00DB27E6" w:rsidP="00FD08DB" w:rsidRDefault="00DB27E6" w14:paraId="358C88D0" w14:textId="70D1B29A">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 xml:space="preserve">De leden van de VVD-fractie begrijpen uit de memorie van toelichting hoe de omzetting van een schuld in eigen vermogen vormgegeven kan worden. Daarbij wordt uitdrukkelijk opgemerkt dat de regeling niet de werkwijze zoals deze in de toelichting staat beschreven, voorschrijft. En dat het DNB </w:t>
      </w:r>
      <w:proofErr w:type="gramStart"/>
      <w:r w:rsidRPr="007A5099">
        <w:rPr>
          <w:rFonts w:ascii="Verdana" w:hAnsi="Verdana" w:cs="Arial"/>
          <w:i/>
          <w:iCs/>
          <w:sz w:val="18"/>
          <w:szCs w:val="18"/>
        </w:rPr>
        <w:t>derhalve</w:t>
      </w:r>
      <w:proofErr w:type="gramEnd"/>
      <w:r w:rsidRPr="007A5099">
        <w:rPr>
          <w:rFonts w:ascii="Verdana" w:hAnsi="Verdana" w:cs="Arial"/>
          <w:i/>
          <w:iCs/>
          <w:sz w:val="18"/>
          <w:szCs w:val="18"/>
        </w:rPr>
        <w:t xml:space="preserve"> vrijstaat de omzetting ook op andere wijze vorm te geven (in het licht van de afwikkelingsdoelstellingen of de omstandigheden van het geval). Kan de regering verduidelijken aan de hand van (praktische) voorbeelden hoe die omzetting dan op andere wijze vorm kan worden gegeven?</w:t>
      </w:r>
    </w:p>
    <w:p w:rsidRPr="007A5099" w:rsidR="00E96FE5" w:rsidP="00FD08DB" w:rsidRDefault="00E96FE5" w14:paraId="1F5F8AE8" w14:textId="77777777">
      <w:pPr>
        <w:widowControl w:val="0"/>
        <w:tabs>
          <w:tab w:val="num" w:pos="720"/>
        </w:tabs>
        <w:spacing w:line="240" w:lineRule="atLeast"/>
        <w:rPr>
          <w:rFonts w:ascii="Verdana" w:hAnsi="Verdana" w:cs="Arial"/>
          <w:i/>
          <w:iCs/>
          <w:sz w:val="18"/>
          <w:szCs w:val="18"/>
        </w:rPr>
      </w:pPr>
    </w:p>
    <w:p w:rsidRPr="007A5099" w:rsidR="00E96FE5" w:rsidP="00FD08DB" w:rsidRDefault="00784B49" w14:paraId="2975C7F3" w14:textId="20F91841">
      <w:pPr>
        <w:widowControl w:val="0"/>
        <w:tabs>
          <w:tab w:val="num" w:pos="720"/>
        </w:tabs>
        <w:spacing w:line="240" w:lineRule="atLeast"/>
        <w:rPr>
          <w:rFonts w:ascii="Verdana" w:hAnsi="Verdana" w:cs="Arial"/>
          <w:sz w:val="18"/>
          <w:szCs w:val="18"/>
        </w:rPr>
      </w:pPr>
      <w:r>
        <w:rPr>
          <w:rFonts w:ascii="Verdana" w:hAnsi="Verdana" w:cs="Arial"/>
          <w:sz w:val="18"/>
          <w:szCs w:val="18"/>
        </w:rPr>
        <w:t>De werkwijze is niet dwingend vormgegeven omdat deze aangepast moet kunnen worden naar gelang de omstandigheden van het geval bij de specifieke entiteit die in afwikkeling wordt genomen. Omzetting naar claimrechten was wel altijd voorzien. Hoe vervolgens de omzetting van de claimrechten naar aandelen of andere eigendomsinstrumenten plaatsvindt, is aan DNB. DNB kan bijvoorbeeld besluiten tot het toekennen van bestaande aandelen, of uitgifte van nieuwe aandelen. Of besluiten dat deze aandelen eerst worden ondergebracht bij de SAA totdat een definitieve waardering beschikbaar is.</w:t>
      </w:r>
    </w:p>
    <w:p w:rsidRPr="007A5099" w:rsidR="00DB27E6" w:rsidP="00FD08DB" w:rsidRDefault="00DB27E6" w14:paraId="0DB70820" w14:textId="77777777">
      <w:pPr>
        <w:widowControl w:val="0"/>
        <w:tabs>
          <w:tab w:val="num" w:pos="720"/>
        </w:tabs>
        <w:spacing w:line="240" w:lineRule="atLeast"/>
        <w:rPr>
          <w:rFonts w:ascii="Verdana" w:hAnsi="Verdana" w:cs="Arial"/>
          <w:i/>
          <w:iCs/>
          <w:sz w:val="18"/>
          <w:szCs w:val="18"/>
        </w:rPr>
      </w:pPr>
    </w:p>
    <w:p w:rsidRPr="007A5099" w:rsidR="00DB27E6" w:rsidP="00FD08DB" w:rsidRDefault="00DB27E6" w14:paraId="6417B54C" w14:textId="77777777">
      <w:pPr>
        <w:widowControl w:val="0"/>
        <w:tabs>
          <w:tab w:val="num" w:pos="720"/>
        </w:tabs>
        <w:spacing w:line="240" w:lineRule="atLeast"/>
        <w:rPr>
          <w:rFonts w:ascii="Verdana" w:hAnsi="Verdana" w:cs="Arial"/>
          <w:b/>
          <w:bCs/>
          <w:i/>
          <w:iCs/>
          <w:sz w:val="18"/>
          <w:szCs w:val="18"/>
        </w:rPr>
      </w:pPr>
      <w:r w:rsidRPr="007A5099">
        <w:rPr>
          <w:rFonts w:ascii="Verdana" w:hAnsi="Verdana" w:cs="Arial"/>
          <w:b/>
          <w:bCs/>
          <w:i/>
          <w:iCs/>
          <w:sz w:val="18"/>
          <w:szCs w:val="18"/>
        </w:rPr>
        <w:t xml:space="preserve">§5. Financiële gevolgen en regeldruk </w:t>
      </w:r>
    </w:p>
    <w:p w:rsidRPr="007A5099" w:rsidR="00DB27E6" w:rsidP="00FD08DB" w:rsidRDefault="00DB27E6" w14:paraId="7C93045D" w14:textId="77777777">
      <w:pPr>
        <w:widowControl w:val="0"/>
        <w:tabs>
          <w:tab w:val="num" w:pos="720"/>
        </w:tabs>
        <w:spacing w:line="240" w:lineRule="atLeast"/>
        <w:rPr>
          <w:rFonts w:ascii="Verdana" w:hAnsi="Verdana" w:cs="Arial"/>
          <w:sz w:val="18"/>
          <w:szCs w:val="18"/>
        </w:rPr>
      </w:pPr>
    </w:p>
    <w:p w:rsidRPr="007A5099" w:rsidR="00DB27E6" w:rsidP="00FD08DB" w:rsidRDefault="00DB27E6" w14:paraId="67E8B659" w14:textId="2F1B693C">
      <w:pPr>
        <w:widowControl w:val="0"/>
        <w:tabs>
          <w:tab w:val="num" w:pos="720"/>
        </w:tabs>
        <w:spacing w:line="240" w:lineRule="atLeast"/>
        <w:rPr>
          <w:rFonts w:ascii="Verdana" w:hAnsi="Verdana" w:cs="Arial"/>
          <w:i/>
          <w:iCs/>
          <w:sz w:val="18"/>
          <w:szCs w:val="18"/>
        </w:rPr>
      </w:pPr>
      <w:r w:rsidRPr="007A5099">
        <w:rPr>
          <w:rFonts w:ascii="Verdana" w:hAnsi="Verdana" w:cs="Arial"/>
          <w:i/>
          <w:iCs/>
          <w:sz w:val="18"/>
          <w:szCs w:val="18"/>
        </w:rPr>
        <w:t xml:space="preserve">De leden van de PVV-fractie lezen in de memorie van toelichting dat er een nieuwe verplichting met het voorliggende wetvoorstel wordt ingevoerd, namelijk de verplichting dat het bestuur of de raad van commissarissen van een dergelijke entiteit (waarbij ervan wordt uitgegaan dat hiermee een onder de BRRD vallende instelling wordt bedoeld) melding maakt als zij van oordeel is </w:t>
      </w:r>
      <w:r w:rsidRPr="007A5099">
        <w:rPr>
          <w:rFonts w:ascii="Verdana" w:hAnsi="Verdana" w:cs="Arial"/>
          <w:i/>
          <w:iCs/>
          <w:sz w:val="18"/>
          <w:szCs w:val="18"/>
        </w:rPr>
        <w:lastRenderedPageBreak/>
        <w:t xml:space="preserve">dat de entiteit faalt of waarschijnlijk zal falen. Deze leden verzoeken de regering om toe te lichten wat de gevolgen zijn wanneer deze melding niet wordt gedaan, welke handhavings- of </w:t>
      </w:r>
      <w:proofErr w:type="spellStart"/>
      <w:r w:rsidRPr="007A5099">
        <w:rPr>
          <w:rFonts w:ascii="Verdana" w:hAnsi="Verdana" w:cs="Arial"/>
          <w:i/>
          <w:iCs/>
          <w:sz w:val="18"/>
          <w:szCs w:val="18"/>
        </w:rPr>
        <w:t>toezichtsinstrumenten</w:t>
      </w:r>
      <w:proofErr w:type="spellEnd"/>
      <w:r w:rsidRPr="007A5099">
        <w:rPr>
          <w:rFonts w:ascii="Verdana" w:hAnsi="Verdana" w:cs="Arial"/>
          <w:i/>
          <w:iCs/>
          <w:sz w:val="18"/>
          <w:szCs w:val="18"/>
        </w:rPr>
        <w:t xml:space="preserve"> in dat geval beschikbaar zijn en hoe precies wordt bepaald wanneer sprake is van de situatie waarin een entiteit “faalt of waarschijnlijk zal falen”.</w:t>
      </w:r>
    </w:p>
    <w:p w:rsidR="00DB27E6" w:rsidP="00FD08DB" w:rsidRDefault="00DB27E6" w14:paraId="1AFA224A" w14:textId="77777777">
      <w:pPr>
        <w:widowControl w:val="0"/>
        <w:tabs>
          <w:tab w:val="num" w:pos="720"/>
        </w:tabs>
        <w:spacing w:line="240" w:lineRule="atLeast"/>
        <w:rPr>
          <w:rFonts w:ascii="Verdana" w:hAnsi="Verdana" w:cs="Arial"/>
          <w:sz w:val="18"/>
          <w:szCs w:val="18"/>
        </w:rPr>
      </w:pPr>
    </w:p>
    <w:p w:rsidRPr="007A5099" w:rsidR="00784B49" w:rsidP="00784B49" w:rsidRDefault="00784B49" w14:paraId="209B031C" w14:textId="4610F06A">
      <w:pPr>
        <w:widowControl w:val="0"/>
        <w:tabs>
          <w:tab w:val="num" w:pos="720"/>
        </w:tabs>
        <w:spacing w:line="240" w:lineRule="atLeast"/>
        <w:rPr>
          <w:rFonts w:ascii="Verdana" w:hAnsi="Verdana" w:cs="Arial"/>
          <w:sz w:val="18"/>
          <w:szCs w:val="18"/>
        </w:rPr>
      </w:pPr>
      <w:r>
        <w:rPr>
          <w:rFonts w:ascii="Verdana" w:hAnsi="Verdana" w:cs="Arial"/>
          <w:sz w:val="18"/>
          <w:szCs w:val="18"/>
        </w:rPr>
        <w:t>Artikel 81, eerste lid, BRRD voorziet in deze verplichting, die nu ook in de Nederlandse wet wordt geïmplementeerd.</w:t>
      </w:r>
      <w:r w:rsidRPr="00784B49">
        <w:rPr>
          <w:rFonts w:ascii="Verdana" w:hAnsi="Verdana" w:cs="Arial"/>
          <w:sz w:val="18"/>
          <w:szCs w:val="18"/>
        </w:rPr>
        <w:t xml:space="preserve"> </w:t>
      </w:r>
      <w:r w:rsidRPr="007A5099">
        <w:rPr>
          <w:rFonts w:ascii="Verdana" w:hAnsi="Verdana" w:cs="Arial"/>
          <w:sz w:val="18"/>
          <w:szCs w:val="18"/>
        </w:rPr>
        <w:t xml:space="preserve">Artikel 32, vierde lid, BRRD schrijft voor wanneer een entiteit faalt of waarschijnlijk zal falen. Dit zal het geval zijn </w:t>
      </w:r>
      <w:proofErr w:type="gramStart"/>
      <w:r w:rsidRPr="007A5099">
        <w:rPr>
          <w:rFonts w:ascii="Verdana" w:hAnsi="Verdana" w:cs="Arial"/>
          <w:sz w:val="18"/>
          <w:szCs w:val="18"/>
        </w:rPr>
        <w:t>indien</w:t>
      </w:r>
      <w:proofErr w:type="gramEnd"/>
      <w:r w:rsidRPr="007A5099">
        <w:rPr>
          <w:rFonts w:ascii="Verdana" w:hAnsi="Verdana" w:cs="Arial"/>
          <w:sz w:val="18"/>
          <w:szCs w:val="18"/>
        </w:rPr>
        <w:t xml:space="preserve"> de onderneming bijvoorbeeld haar vergunningvereisten </w:t>
      </w:r>
      <w:r w:rsidR="00C04A61">
        <w:rPr>
          <w:rFonts w:ascii="Verdana" w:hAnsi="Verdana" w:cs="Arial"/>
          <w:sz w:val="18"/>
          <w:szCs w:val="18"/>
        </w:rPr>
        <w:t>over</w:t>
      </w:r>
      <w:r w:rsidRPr="007A5099">
        <w:rPr>
          <w:rFonts w:ascii="Verdana" w:hAnsi="Verdana" w:cs="Arial"/>
          <w:sz w:val="18"/>
          <w:szCs w:val="18"/>
        </w:rPr>
        <w:t xml:space="preserve">treedt of zal overtreden, de activa van de entiteit geringer zijn dan haar passiva, de entiteit niet in staat is om haar schulden of andere passiva te betalen, of dat er buitengewone openbare financiële steun nodig is. </w:t>
      </w:r>
    </w:p>
    <w:p w:rsidR="00784B49" w:rsidP="00784B49" w:rsidRDefault="00784B49" w14:paraId="2A23009F" w14:textId="75D30F60">
      <w:pPr>
        <w:widowControl w:val="0"/>
        <w:tabs>
          <w:tab w:val="num" w:pos="720"/>
        </w:tabs>
        <w:spacing w:line="240" w:lineRule="atLeast"/>
        <w:rPr>
          <w:rFonts w:ascii="Verdana" w:hAnsi="Verdana" w:cs="Arial"/>
          <w:sz w:val="18"/>
          <w:szCs w:val="18"/>
        </w:rPr>
      </w:pPr>
    </w:p>
    <w:p w:rsidRPr="007A5099" w:rsidR="00DB27E6" w:rsidP="00FD08DB" w:rsidRDefault="00DB27E6" w14:paraId="2452EF48" w14:textId="28F6AADD">
      <w:pPr>
        <w:widowControl w:val="0"/>
        <w:tabs>
          <w:tab w:val="num" w:pos="720"/>
        </w:tabs>
        <w:spacing w:line="240" w:lineRule="atLeast"/>
        <w:rPr>
          <w:rFonts w:ascii="Verdana" w:hAnsi="Verdana" w:cs="Arial"/>
          <w:sz w:val="18"/>
          <w:szCs w:val="18"/>
        </w:rPr>
      </w:pPr>
      <w:proofErr w:type="gramStart"/>
      <w:r w:rsidRPr="007A5099">
        <w:rPr>
          <w:rFonts w:ascii="Verdana" w:hAnsi="Verdana" w:cs="Arial"/>
          <w:sz w:val="18"/>
          <w:szCs w:val="18"/>
        </w:rPr>
        <w:t>Indien</w:t>
      </w:r>
      <w:proofErr w:type="gramEnd"/>
      <w:r w:rsidRPr="007A5099">
        <w:rPr>
          <w:rFonts w:ascii="Verdana" w:hAnsi="Verdana" w:cs="Arial"/>
          <w:sz w:val="18"/>
          <w:szCs w:val="18"/>
        </w:rPr>
        <w:t xml:space="preserve"> </w:t>
      </w:r>
      <w:r w:rsidR="00784B49">
        <w:rPr>
          <w:rFonts w:ascii="Verdana" w:hAnsi="Verdana" w:cs="Arial"/>
          <w:sz w:val="18"/>
          <w:szCs w:val="18"/>
        </w:rPr>
        <w:t xml:space="preserve">ten </w:t>
      </w:r>
      <w:r w:rsidR="00876022">
        <w:rPr>
          <w:rFonts w:ascii="Verdana" w:hAnsi="Verdana" w:cs="Arial"/>
          <w:sz w:val="18"/>
          <w:szCs w:val="18"/>
        </w:rPr>
        <w:t>onrechte g</w:t>
      </w:r>
      <w:r w:rsidRPr="007A5099">
        <w:rPr>
          <w:rFonts w:ascii="Verdana" w:hAnsi="Verdana" w:cs="Arial"/>
          <w:sz w:val="18"/>
          <w:szCs w:val="18"/>
        </w:rPr>
        <w:t>een melding dat een entiteit faalt of waarschijnlijk zal falen gemaakt wordt</w:t>
      </w:r>
      <w:r w:rsidR="00876022">
        <w:rPr>
          <w:rFonts w:ascii="Verdana" w:hAnsi="Verdana" w:cs="Arial"/>
          <w:sz w:val="18"/>
          <w:szCs w:val="18"/>
        </w:rPr>
        <w:t>,</w:t>
      </w:r>
      <w:r w:rsidRPr="007A5099">
        <w:rPr>
          <w:rFonts w:ascii="Verdana" w:hAnsi="Verdana" w:cs="Arial"/>
          <w:sz w:val="18"/>
          <w:szCs w:val="18"/>
        </w:rPr>
        <w:t xml:space="preserve"> is het mogelijk dat DNB het handhavingsinstrumentarium uit de </w:t>
      </w:r>
      <w:proofErr w:type="spellStart"/>
      <w:r w:rsidRPr="007A5099">
        <w:rPr>
          <w:rFonts w:ascii="Verdana" w:hAnsi="Verdana" w:cs="Arial"/>
          <w:sz w:val="18"/>
          <w:szCs w:val="18"/>
        </w:rPr>
        <w:t>Wft</w:t>
      </w:r>
      <w:proofErr w:type="spellEnd"/>
      <w:r w:rsidRPr="007A5099">
        <w:rPr>
          <w:rFonts w:ascii="Verdana" w:hAnsi="Verdana" w:cs="Arial"/>
          <w:sz w:val="18"/>
          <w:szCs w:val="18"/>
        </w:rPr>
        <w:t xml:space="preserve"> inzet. Dit betreft onder meer het opleggen van een last onder dwangsom (1:79 </w:t>
      </w:r>
      <w:proofErr w:type="spellStart"/>
      <w:r w:rsidRPr="007A5099">
        <w:rPr>
          <w:rFonts w:ascii="Verdana" w:hAnsi="Verdana" w:cs="Arial"/>
          <w:sz w:val="18"/>
          <w:szCs w:val="18"/>
        </w:rPr>
        <w:t>Wft</w:t>
      </w:r>
      <w:proofErr w:type="spellEnd"/>
      <w:r w:rsidRPr="007A5099">
        <w:rPr>
          <w:rFonts w:ascii="Verdana" w:hAnsi="Verdana" w:cs="Arial"/>
          <w:sz w:val="18"/>
          <w:szCs w:val="18"/>
        </w:rPr>
        <w:t>)</w:t>
      </w:r>
      <w:r w:rsidRPr="007A5099" w:rsidR="00445299">
        <w:rPr>
          <w:rFonts w:ascii="Verdana" w:hAnsi="Verdana" w:cs="Arial"/>
          <w:sz w:val="18"/>
          <w:szCs w:val="18"/>
        </w:rPr>
        <w:t xml:space="preserve"> of</w:t>
      </w:r>
      <w:r w:rsidRPr="007A5099">
        <w:rPr>
          <w:rFonts w:ascii="Verdana" w:hAnsi="Verdana" w:cs="Arial"/>
          <w:sz w:val="18"/>
          <w:szCs w:val="18"/>
        </w:rPr>
        <w:t xml:space="preserve"> een bestuurlijk boete (1:80</w:t>
      </w:r>
      <w:r w:rsidRPr="007A5099" w:rsidR="00445299">
        <w:rPr>
          <w:rFonts w:ascii="Verdana" w:hAnsi="Verdana" w:cs="Arial"/>
          <w:sz w:val="18"/>
          <w:szCs w:val="18"/>
        </w:rPr>
        <w:t xml:space="preserve"> </w:t>
      </w:r>
      <w:proofErr w:type="spellStart"/>
      <w:r w:rsidRPr="007A5099" w:rsidR="00445299">
        <w:rPr>
          <w:rFonts w:ascii="Verdana" w:hAnsi="Verdana" w:cs="Arial"/>
          <w:sz w:val="18"/>
          <w:szCs w:val="18"/>
        </w:rPr>
        <w:t>Wft</w:t>
      </w:r>
      <w:proofErr w:type="spellEnd"/>
      <w:r w:rsidRPr="007A5099">
        <w:rPr>
          <w:rFonts w:ascii="Verdana" w:hAnsi="Verdana" w:cs="Arial"/>
          <w:sz w:val="18"/>
          <w:szCs w:val="18"/>
        </w:rPr>
        <w:t xml:space="preserve">). Ook mogelijk, maar minder denkbaar in een dergelijke situatie, is een aanwijzing (1:75 </w:t>
      </w:r>
      <w:proofErr w:type="spellStart"/>
      <w:r w:rsidRPr="007A5099">
        <w:rPr>
          <w:rFonts w:ascii="Verdana" w:hAnsi="Verdana" w:cs="Arial"/>
          <w:sz w:val="18"/>
          <w:szCs w:val="18"/>
        </w:rPr>
        <w:t>Wft</w:t>
      </w:r>
      <w:proofErr w:type="spellEnd"/>
      <w:r w:rsidRPr="007A5099">
        <w:rPr>
          <w:rFonts w:ascii="Verdana" w:hAnsi="Verdana" w:cs="Arial"/>
          <w:sz w:val="18"/>
          <w:szCs w:val="18"/>
        </w:rPr>
        <w:t>)</w:t>
      </w:r>
      <w:r w:rsidRPr="007A5099" w:rsidR="00445299">
        <w:rPr>
          <w:rFonts w:ascii="Verdana" w:hAnsi="Verdana" w:cs="Arial"/>
          <w:sz w:val="18"/>
          <w:szCs w:val="18"/>
        </w:rPr>
        <w:t xml:space="preserve">, of een verbod op het uitoefenen van de functie bij een ander type onderneming (1:87 </w:t>
      </w:r>
      <w:proofErr w:type="spellStart"/>
      <w:r w:rsidRPr="007A5099" w:rsidR="00445299">
        <w:rPr>
          <w:rFonts w:ascii="Verdana" w:hAnsi="Verdana" w:cs="Arial"/>
          <w:sz w:val="18"/>
          <w:szCs w:val="18"/>
        </w:rPr>
        <w:t>Wft</w:t>
      </w:r>
      <w:proofErr w:type="spellEnd"/>
      <w:r w:rsidRPr="007A5099" w:rsidR="00445299">
        <w:rPr>
          <w:rFonts w:ascii="Verdana" w:hAnsi="Verdana" w:cs="Arial"/>
          <w:sz w:val="18"/>
          <w:szCs w:val="18"/>
        </w:rPr>
        <w:t>)</w:t>
      </w:r>
      <w:r w:rsidRPr="007A5099">
        <w:rPr>
          <w:rFonts w:ascii="Verdana" w:hAnsi="Verdana" w:cs="Arial"/>
          <w:sz w:val="18"/>
          <w:szCs w:val="18"/>
        </w:rPr>
        <w:t xml:space="preserve">. </w:t>
      </w:r>
    </w:p>
    <w:p w:rsidRPr="007A5099" w:rsidR="003B4F3D" w:rsidP="00FD08DB" w:rsidRDefault="003B4F3D" w14:paraId="3762E100" w14:textId="77777777">
      <w:pPr>
        <w:widowControl w:val="0"/>
        <w:tabs>
          <w:tab w:val="num" w:pos="720"/>
        </w:tabs>
        <w:spacing w:line="240" w:lineRule="atLeast"/>
        <w:rPr>
          <w:rFonts w:ascii="Verdana" w:hAnsi="Verdana" w:cs="Arial"/>
          <w:sz w:val="18"/>
          <w:szCs w:val="18"/>
        </w:rPr>
      </w:pPr>
    </w:p>
    <w:p w:rsidRPr="007A5099" w:rsidR="003B4F3D" w:rsidP="00FD08DB" w:rsidRDefault="00A76505" w14:paraId="23CDE300" w14:textId="429B449D">
      <w:pPr>
        <w:widowControl w:val="0"/>
        <w:tabs>
          <w:tab w:val="num" w:pos="720"/>
        </w:tabs>
        <w:spacing w:line="240" w:lineRule="atLeast"/>
        <w:rPr>
          <w:rFonts w:ascii="Verdana" w:hAnsi="Verdana" w:cs="Arial"/>
          <w:sz w:val="18"/>
          <w:szCs w:val="18"/>
        </w:rPr>
      </w:pPr>
      <w:r w:rsidRPr="007A5099">
        <w:rPr>
          <w:rFonts w:ascii="Verdana" w:hAnsi="Verdana" w:cs="Arial"/>
          <w:sz w:val="18"/>
          <w:szCs w:val="18"/>
        </w:rPr>
        <w:t xml:space="preserve">Op grond van artikel 46, eerste lid, onderdelen c en d, van </w:t>
      </w:r>
      <w:r w:rsidR="00404594">
        <w:rPr>
          <w:rFonts w:ascii="Verdana" w:hAnsi="Verdana" w:cs="Arial"/>
          <w:sz w:val="18"/>
          <w:szCs w:val="18"/>
        </w:rPr>
        <w:t>G</w:t>
      </w:r>
      <w:r w:rsidRPr="007A5099">
        <w:rPr>
          <w:rFonts w:ascii="Verdana" w:hAnsi="Verdana" w:cs="Arial"/>
          <w:sz w:val="18"/>
          <w:szCs w:val="18"/>
        </w:rPr>
        <w:t xml:space="preserve">edelegeerde </w:t>
      </w:r>
      <w:r w:rsidR="00404594">
        <w:rPr>
          <w:rFonts w:ascii="Verdana" w:hAnsi="Verdana" w:cs="Arial"/>
          <w:sz w:val="18"/>
          <w:szCs w:val="18"/>
        </w:rPr>
        <w:t>V</w:t>
      </w:r>
      <w:r w:rsidRPr="007A5099">
        <w:rPr>
          <w:rFonts w:ascii="Verdana" w:hAnsi="Verdana" w:cs="Arial"/>
          <w:sz w:val="18"/>
          <w:szCs w:val="18"/>
        </w:rPr>
        <w:t xml:space="preserve">erordening (EU) 2016/1075 moet de entiteit bij een melding zoals bedoeld in artikel 3A:20aa </w:t>
      </w:r>
      <w:proofErr w:type="spellStart"/>
      <w:r w:rsidRPr="007A5099">
        <w:rPr>
          <w:rFonts w:ascii="Verdana" w:hAnsi="Verdana" w:cs="Arial"/>
          <w:sz w:val="18"/>
          <w:szCs w:val="18"/>
        </w:rPr>
        <w:t>Wft</w:t>
      </w:r>
      <w:proofErr w:type="spellEnd"/>
      <w:r w:rsidRPr="007A5099">
        <w:rPr>
          <w:rFonts w:ascii="Verdana" w:hAnsi="Verdana" w:cs="Arial"/>
          <w:sz w:val="18"/>
          <w:szCs w:val="18"/>
        </w:rPr>
        <w:t xml:space="preserve"> “relevante informatie en analyses die het leidinggevend orgaan in aanmerking heeft genomen bij de beoordeling om te bepalen dat aan de voorwaarden onder artikel 32, lid 4, van Richtlijn 2014/59/EU is voldaan” en “een kopie van het schriftelijk besluit van het leidinggevend orgaan ter bevestiging van zijn beoordeling dat de instelling of de entiteit faalt of waarschijnlijk zal falen” meezenden met de kennisgeving aan DNB als toezichthouder. Artikel 32, zesde lid, BRRD schrijft voor dat </w:t>
      </w:r>
      <w:r w:rsidRPr="007A5099" w:rsidR="003B4F3D">
        <w:rPr>
          <w:rFonts w:ascii="Verdana" w:hAnsi="Verdana" w:cs="Arial"/>
          <w:sz w:val="18"/>
          <w:szCs w:val="18"/>
        </w:rPr>
        <w:t>de Europese Bankenautoriteit (EBA) richtsnoeren uitvaardig</w:t>
      </w:r>
      <w:r w:rsidR="00876022">
        <w:rPr>
          <w:rFonts w:ascii="Verdana" w:hAnsi="Verdana" w:cs="Arial"/>
          <w:sz w:val="18"/>
          <w:szCs w:val="18"/>
        </w:rPr>
        <w:t>t</w:t>
      </w:r>
      <w:r w:rsidRPr="007A5099" w:rsidR="003B4F3D">
        <w:rPr>
          <w:rFonts w:ascii="Verdana" w:hAnsi="Verdana" w:cs="Arial"/>
          <w:sz w:val="18"/>
          <w:szCs w:val="18"/>
        </w:rPr>
        <w:t xml:space="preserve"> met daarin </w:t>
      </w:r>
      <w:r w:rsidRPr="007A5099">
        <w:rPr>
          <w:rFonts w:ascii="Verdana" w:hAnsi="Verdana" w:cs="Arial"/>
          <w:sz w:val="18"/>
          <w:szCs w:val="18"/>
        </w:rPr>
        <w:t>objectieve elementen om de vaststelling te ondersteunen dat een entiteit faalt of waarschijnlijk z</w:t>
      </w:r>
      <w:r w:rsidR="00876022">
        <w:rPr>
          <w:rFonts w:ascii="Verdana" w:hAnsi="Verdana" w:cs="Arial"/>
          <w:sz w:val="18"/>
          <w:szCs w:val="18"/>
        </w:rPr>
        <w:t>al</w:t>
      </w:r>
      <w:r w:rsidRPr="007A5099">
        <w:rPr>
          <w:rFonts w:ascii="Verdana" w:hAnsi="Verdana" w:cs="Arial"/>
          <w:sz w:val="18"/>
          <w:szCs w:val="18"/>
        </w:rPr>
        <w:t xml:space="preserve"> falen.</w:t>
      </w:r>
      <w:r w:rsidRPr="007A5099">
        <w:rPr>
          <w:rStyle w:val="Voetnootmarkering"/>
          <w:rFonts w:ascii="Verdana" w:hAnsi="Verdana" w:cs="Arial"/>
          <w:sz w:val="18"/>
          <w:szCs w:val="18"/>
        </w:rPr>
        <w:footnoteReference w:id="3"/>
      </w:r>
      <w:r w:rsidRPr="007A5099">
        <w:rPr>
          <w:rFonts w:ascii="Verdana" w:hAnsi="Verdana" w:cs="Arial"/>
          <w:sz w:val="18"/>
          <w:szCs w:val="18"/>
        </w:rPr>
        <w:t xml:space="preserve"> Een entiteit kan deze richtsnoeren gebruiken om te bepalen of zij faalt of waarschijnlijk zal falen en hiermee de relevante informatie en analyses</w:t>
      </w:r>
      <w:r w:rsidR="00986A32">
        <w:rPr>
          <w:rFonts w:ascii="Verdana" w:hAnsi="Verdana" w:cs="Arial"/>
          <w:sz w:val="18"/>
          <w:szCs w:val="18"/>
        </w:rPr>
        <w:t xml:space="preserve"> die zij moet aanleveren bij een melding van haar eigen falen of waarschijnlijke falen,</w:t>
      </w:r>
      <w:r w:rsidRPr="007A5099">
        <w:rPr>
          <w:rFonts w:ascii="Verdana" w:hAnsi="Verdana" w:cs="Arial"/>
          <w:sz w:val="18"/>
          <w:szCs w:val="18"/>
        </w:rPr>
        <w:t xml:space="preserve"> zoals voorgeschreven door de </w:t>
      </w:r>
      <w:r w:rsidR="00404594">
        <w:rPr>
          <w:rFonts w:ascii="Verdana" w:hAnsi="Verdana" w:cs="Arial"/>
          <w:sz w:val="18"/>
          <w:szCs w:val="18"/>
        </w:rPr>
        <w:t>G</w:t>
      </w:r>
      <w:r w:rsidRPr="007A5099">
        <w:rPr>
          <w:rFonts w:ascii="Verdana" w:hAnsi="Verdana" w:cs="Arial"/>
          <w:sz w:val="18"/>
          <w:szCs w:val="18"/>
        </w:rPr>
        <w:t xml:space="preserve">edelegeerde </w:t>
      </w:r>
      <w:r w:rsidR="00404594">
        <w:rPr>
          <w:rFonts w:ascii="Verdana" w:hAnsi="Verdana" w:cs="Arial"/>
          <w:sz w:val="18"/>
          <w:szCs w:val="18"/>
        </w:rPr>
        <w:t>V</w:t>
      </w:r>
      <w:r w:rsidRPr="007A5099">
        <w:rPr>
          <w:rFonts w:ascii="Verdana" w:hAnsi="Verdana" w:cs="Arial"/>
          <w:sz w:val="18"/>
          <w:szCs w:val="18"/>
        </w:rPr>
        <w:t>erordening (EU) 2016/1075</w:t>
      </w:r>
      <w:r w:rsidR="00986A32">
        <w:rPr>
          <w:rFonts w:ascii="Verdana" w:hAnsi="Verdana" w:cs="Arial"/>
          <w:sz w:val="18"/>
          <w:szCs w:val="18"/>
        </w:rPr>
        <w:t>,</w:t>
      </w:r>
      <w:r w:rsidR="00C04A61">
        <w:rPr>
          <w:rFonts w:ascii="Verdana" w:hAnsi="Verdana" w:cs="Arial"/>
          <w:sz w:val="18"/>
          <w:szCs w:val="18"/>
        </w:rPr>
        <w:t xml:space="preserve"> te</w:t>
      </w:r>
      <w:r w:rsidRPr="007A5099">
        <w:rPr>
          <w:rFonts w:ascii="Verdana" w:hAnsi="Verdana" w:cs="Arial"/>
          <w:sz w:val="18"/>
          <w:szCs w:val="18"/>
        </w:rPr>
        <w:t xml:space="preserve"> o</w:t>
      </w:r>
      <w:r w:rsidR="00986A32">
        <w:rPr>
          <w:rFonts w:ascii="Verdana" w:hAnsi="Verdana" w:cs="Arial"/>
          <w:sz w:val="18"/>
          <w:szCs w:val="18"/>
        </w:rPr>
        <w:t>nderbouwen</w:t>
      </w:r>
      <w:r w:rsidRPr="007A5099">
        <w:rPr>
          <w:rFonts w:ascii="Verdana" w:hAnsi="Verdana" w:cs="Arial"/>
          <w:sz w:val="18"/>
          <w:szCs w:val="18"/>
        </w:rPr>
        <w:t>.</w:t>
      </w:r>
    </w:p>
    <w:p w:rsidRPr="007A5099" w:rsidR="00DB27E6" w:rsidP="00FD08DB" w:rsidRDefault="00DB27E6" w14:paraId="3D2EABBC" w14:textId="77777777">
      <w:pPr>
        <w:widowControl w:val="0"/>
        <w:tabs>
          <w:tab w:val="num" w:pos="720"/>
        </w:tabs>
        <w:spacing w:line="240" w:lineRule="atLeast"/>
        <w:rPr>
          <w:rFonts w:ascii="Verdana" w:hAnsi="Verdana" w:cs="Arial"/>
          <w:sz w:val="18"/>
          <w:szCs w:val="18"/>
        </w:rPr>
      </w:pPr>
    </w:p>
    <w:p w:rsidRPr="007A5099" w:rsidR="00A76505" w:rsidP="00FD08DB" w:rsidRDefault="00A76505" w14:paraId="69930E39" w14:textId="77777777">
      <w:pPr>
        <w:spacing w:line="240" w:lineRule="atLeast"/>
        <w:rPr>
          <w:rFonts w:ascii="Verdana" w:hAnsi="Verdana" w:cs="Arial"/>
          <w:b/>
          <w:bCs/>
          <w:i/>
          <w:iCs/>
          <w:sz w:val="18"/>
          <w:szCs w:val="18"/>
        </w:rPr>
      </w:pPr>
      <w:r w:rsidRPr="007A5099">
        <w:rPr>
          <w:rFonts w:ascii="Verdana" w:hAnsi="Verdana" w:cs="Arial"/>
          <w:b/>
          <w:bCs/>
          <w:i/>
          <w:iCs/>
          <w:sz w:val="18"/>
          <w:szCs w:val="18"/>
        </w:rPr>
        <w:t>§ 7 Consultatie</w:t>
      </w:r>
    </w:p>
    <w:p w:rsidRPr="007A5099" w:rsidR="00A76505" w:rsidP="00FD08DB" w:rsidRDefault="00A76505" w14:paraId="499583C3" w14:textId="77777777">
      <w:pPr>
        <w:spacing w:line="240" w:lineRule="atLeast"/>
        <w:rPr>
          <w:rFonts w:ascii="Verdana" w:hAnsi="Verdana" w:cs="Arial"/>
          <w:sz w:val="18"/>
          <w:szCs w:val="18"/>
        </w:rPr>
      </w:pPr>
    </w:p>
    <w:p w:rsidRPr="007A5099" w:rsidR="00A76505" w:rsidP="00FD08DB" w:rsidRDefault="00A76505" w14:paraId="07ECAEA1" w14:textId="77777777">
      <w:pPr>
        <w:spacing w:line="240" w:lineRule="atLeast"/>
        <w:rPr>
          <w:rFonts w:ascii="Verdana" w:hAnsi="Verdana" w:cs="Arial"/>
          <w:i/>
          <w:iCs/>
          <w:sz w:val="18"/>
          <w:szCs w:val="18"/>
        </w:rPr>
      </w:pPr>
      <w:r w:rsidRPr="007A5099">
        <w:rPr>
          <w:rFonts w:ascii="Verdana" w:hAnsi="Verdana" w:cs="Arial"/>
          <w:i/>
          <w:iCs/>
          <w:sz w:val="18"/>
          <w:szCs w:val="18"/>
        </w:rPr>
        <w:t>Naar aanleiding van het advies van de Raad van State over de afbakening van bevoegdheden van de bijzonder bestuurder vragen de leden van de ChristenUnie-fractie de regering om precies aan te geven wat de regering heeft gedaan om tegemoet te komen aan het advies van de Raad van State en hierbij ook aan te geven of, en indien van toepassing ook hoe, de gewijzigde tekst nog afwijkt van het Raad van State-advies.</w:t>
      </w:r>
    </w:p>
    <w:p w:rsidRPr="007A5099" w:rsidR="00A76505" w:rsidP="00FD08DB" w:rsidRDefault="00A76505" w14:paraId="1DF4015A" w14:textId="77777777">
      <w:pPr>
        <w:spacing w:line="240" w:lineRule="atLeast"/>
        <w:rPr>
          <w:rFonts w:ascii="Verdana" w:hAnsi="Verdana" w:cs="Arial"/>
          <w:sz w:val="18"/>
          <w:szCs w:val="18"/>
        </w:rPr>
      </w:pPr>
    </w:p>
    <w:p w:rsidRPr="007A5099" w:rsidR="006A5D89" w:rsidP="00FD08DB" w:rsidRDefault="00A76505" w14:paraId="11B3B3CF" w14:textId="59A41ADE">
      <w:pPr>
        <w:spacing w:line="240" w:lineRule="atLeast"/>
        <w:rPr>
          <w:rFonts w:ascii="Verdana" w:hAnsi="Verdana" w:cs="Arial"/>
          <w:sz w:val="18"/>
          <w:szCs w:val="18"/>
        </w:rPr>
      </w:pPr>
      <w:r w:rsidRPr="007A5099">
        <w:rPr>
          <w:rFonts w:ascii="Verdana" w:hAnsi="Verdana" w:cs="Arial"/>
          <w:sz w:val="18"/>
          <w:szCs w:val="18"/>
        </w:rPr>
        <w:t>Naar aanleiding van het advies van de Raad van State is aan artikel 3A:4</w:t>
      </w:r>
      <w:r w:rsidRPr="007A5099" w:rsidR="006A5D89">
        <w:rPr>
          <w:rFonts w:ascii="Verdana" w:hAnsi="Verdana" w:cs="Arial"/>
          <w:sz w:val="18"/>
          <w:szCs w:val="18"/>
        </w:rPr>
        <w:t>9</w:t>
      </w:r>
      <w:r w:rsidRPr="007A5099">
        <w:rPr>
          <w:rFonts w:ascii="Verdana" w:hAnsi="Verdana" w:cs="Arial"/>
          <w:sz w:val="18"/>
          <w:szCs w:val="18"/>
        </w:rPr>
        <w:t>, vijfde lid,</w:t>
      </w:r>
      <w:r w:rsidRPr="007A5099" w:rsidR="00445299">
        <w:rPr>
          <w:rFonts w:ascii="Verdana" w:hAnsi="Verdana" w:cs="Arial"/>
          <w:sz w:val="18"/>
          <w:szCs w:val="18"/>
        </w:rPr>
        <w:t xml:space="preserve"> </w:t>
      </w:r>
      <w:proofErr w:type="spellStart"/>
      <w:r w:rsidRPr="007A5099" w:rsidR="00445299">
        <w:rPr>
          <w:rFonts w:ascii="Verdana" w:hAnsi="Verdana" w:cs="Arial"/>
          <w:sz w:val="18"/>
          <w:szCs w:val="18"/>
        </w:rPr>
        <w:t>Wft</w:t>
      </w:r>
      <w:proofErr w:type="spellEnd"/>
      <w:r w:rsidRPr="007A5099">
        <w:rPr>
          <w:rFonts w:ascii="Verdana" w:hAnsi="Verdana" w:cs="Arial"/>
          <w:sz w:val="18"/>
          <w:szCs w:val="18"/>
        </w:rPr>
        <w:t xml:space="preserve"> de zin “Indien van toepassing stelt de Nederlandsche Bank de bevoegdheidsverdeling tussen de bijzonder bestuurder en de organen van de entiteit in afwikkeling vast.” toegevoegd. Hiermee is juridisch vastgelegd op wetsniveau dat DNB in haar besluit waarmee zij de bijzonder bestuurder aanstelt de bevoegdheidsverdeling tussen een </w:t>
      </w:r>
      <w:r w:rsidR="00876022">
        <w:rPr>
          <w:rFonts w:ascii="Verdana" w:hAnsi="Verdana" w:cs="Arial"/>
          <w:sz w:val="18"/>
          <w:szCs w:val="18"/>
        </w:rPr>
        <w:t xml:space="preserve">eventueel </w:t>
      </w:r>
      <w:r w:rsidRPr="007A5099">
        <w:rPr>
          <w:rFonts w:ascii="Verdana" w:hAnsi="Verdana" w:cs="Arial"/>
          <w:sz w:val="18"/>
          <w:szCs w:val="18"/>
        </w:rPr>
        <w:t xml:space="preserve">zittenblijvend (deel van het) bestuur en de bijzonder bestuurder moet </w:t>
      </w:r>
      <w:r w:rsidRPr="007A5099" w:rsidR="006A5D89">
        <w:rPr>
          <w:rFonts w:ascii="Verdana" w:hAnsi="Verdana" w:cs="Arial"/>
          <w:sz w:val="18"/>
          <w:szCs w:val="18"/>
        </w:rPr>
        <w:t>vaststellen</w:t>
      </w:r>
      <w:r w:rsidRPr="007A5099" w:rsidR="00445299">
        <w:rPr>
          <w:rFonts w:ascii="Verdana" w:hAnsi="Verdana" w:cs="Arial"/>
          <w:sz w:val="18"/>
          <w:szCs w:val="18"/>
        </w:rPr>
        <w:t xml:space="preserve"> zodat duidelijk is </w:t>
      </w:r>
      <w:r w:rsidRPr="007A5099" w:rsidR="00445299">
        <w:rPr>
          <w:rFonts w:ascii="Verdana" w:hAnsi="Verdana" w:cs="Arial"/>
          <w:sz w:val="18"/>
          <w:szCs w:val="18"/>
        </w:rPr>
        <w:lastRenderedPageBreak/>
        <w:t>voor zowel het zittenblijvend bestuur als de bijzonder bestuur</w:t>
      </w:r>
      <w:r w:rsidR="00876022">
        <w:rPr>
          <w:rFonts w:ascii="Verdana" w:hAnsi="Verdana" w:cs="Arial"/>
          <w:sz w:val="18"/>
          <w:szCs w:val="18"/>
        </w:rPr>
        <w:t>der</w:t>
      </w:r>
      <w:r w:rsidRPr="007A5099" w:rsidR="00445299">
        <w:rPr>
          <w:rFonts w:ascii="Verdana" w:hAnsi="Verdana" w:cs="Arial"/>
          <w:sz w:val="18"/>
          <w:szCs w:val="18"/>
        </w:rPr>
        <w:t xml:space="preserve"> hoe ver hun bevoegdheden strekken en wie waarvoor verantwoordelijk is</w:t>
      </w:r>
      <w:r w:rsidRPr="007A5099" w:rsidR="006A5D89">
        <w:rPr>
          <w:rFonts w:ascii="Verdana" w:hAnsi="Verdana" w:cs="Arial"/>
          <w:sz w:val="18"/>
          <w:szCs w:val="18"/>
        </w:rPr>
        <w:t>.</w:t>
      </w:r>
      <w:r w:rsidR="00404594">
        <w:rPr>
          <w:rFonts w:ascii="Verdana" w:hAnsi="Verdana" w:cs="Arial"/>
          <w:sz w:val="18"/>
          <w:szCs w:val="18"/>
        </w:rPr>
        <w:t xml:space="preserve"> Hiermee is voldaan aan het advies van de Raad van State.</w:t>
      </w:r>
    </w:p>
    <w:p w:rsidRPr="007A5099" w:rsidR="00A76505" w:rsidP="00FD08DB" w:rsidRDefault="00A76505" w14:paraId="604540C1" w14:textId="77777777">
      <w:pPr>
        <w:spacing w:line="240" w:lineRule="atLeast"/>
        <w:rPr>
          <w:rFonts w:ascii="Verdana" w:hAnsi="Verdana" w:cs="Arial"/>
          <w:sz w:val="18"/>
          <w:szCs w:val="18"/>
        </w:rPr>
      </w:pPr>
    </w:p>
    <w:p w:rsidRPr="007A5099" w:rsidR="00A76505" w:rsidP="00FD08DB" w:rsidRDefault="00A76505" w14:paraId="34E48947" w14:textId="77777777">
      <w:pPr>
        <w:spacing w:line="240" w:lineRule="atLeast"/>
        <w:rPr>
          <w:rFonts w:ascii="Verdana" w:hAnsi="Verdana" w:cs="Arial"/>
          <w:i/>
          <w:iCs/>
          <w:sz w:val="18"/>
          <w:szCs w:val="18"/>
        </w:rPr>
      </w:pPr>
      <w:r w:rsidRPr="007A5099">
        <w:rPr>
          <w:rFonts w:ascii="Verdana" w:hAnsi="Verdana" w:cs="Arial"/>
          <w:i/>
          <w:iCs/>
          <w:sz w:val="18"/>
          <w:szCs w:val="18"/>
        </w:rPr>
        <w:t xml:space="preserve">1. 1:75/1:75a </w:t>
      </w:r>
      <w:proofErr w:type="spellStart"/>
      <w:r w:rsidRPr="007A5099">
        <w:rPr>
          <w:rFonts w:ascii="Verdana" w:hAnsi="Verdana" w:cs="Arial"/>
          <w:i/>
          <w:iCs/>
          <w:sz w:val="18"/>
          <w:szCs w:val="18"/>
        </w:rPr>
        <w:t>Wft</w:t>
      </w:r>
      <w:proofErr w:type="spellEnd"/>
    </w:p>
    <w:p w:rsidRPr="007A5099" w:rsidR="00A76505" w:rsidP="00FD08DB" w:rsidRDefault="00A76505" w14:paraId="3E732962" w14:textId="77777777">
      <w:pPr>
        <w:spacing w:line="240" w:lineRule="atLeast"/>
        <w:rPr>
          <w:rFonts w:ascii="Verdana" w:hAnsi="Verdana" w:cs="Arial"/>
          <w:i/>
          <w:iCs/>
          <w:sz w:val="18"/>
          <w:szCs w:val="18"/>
        </w:rPr>
      </w:pPr>
    </w:p>
    <w:p w:rsidRPr="007A5099" w:rsidR="00A76505" w:rsidP="00FD08DB" w:rsidRDefault="00A76505" w14:paraId="63075E1B" w14:textId="77777777">
      <w:pPr>
        <w:spacing w:line="240" w:lineRule="atLeast"/>
        <w:rPr>
          <w:rFonts w:ascii="Verdana" w:hAnsi="Verdana" w:cs="Arial"/>
          <w:i/>
          <w:iCs/>
          <w:sz w:val="18"/>
          <w:szCs w:val="18"/>
        </w:rPr>
      </w:pPr>
      <w:r w:rsidRPr="007A5099">
        <w:rPr>
          <w:rFonts w:ascii="Verdana" w:hAnsi="Verdana" w:cs="Arial"/>
          <w:i/>
          <w:iCs/>
          <w:sz w:val="18"/>
          <w:szCs w:val="18"/>
        </w:rPr>
        <w:t xml:space="preserve">De leden van de VVD-fractie lezen het volgende: “Op dit moment wordt onderhandeld door het Europees Parlement en de Raad over aanpassing van de BRRD, SRMR en DGSD. Niettemin is er nog geen definitief </w:t>
      </w:r>
      <w:proofErr w:type="spellStart"/>
      <w:r w:rsidRPr="007A5099">
        <w:rPr>
          <w:rFonts w:ascii="Verdana" w:hAnsi="Verdana" w:cs="Arial"/>
          <w:i/>
          <w:iCs/>
          <w:sz w:val="18"/>
          <w:szCs w:val="18"/>
        </w:rPr>
        <w:t>triloogakkoord</w:t>
      </w:r>
      <w:proofErr w:type="spellEnd"/>
      <w:r w:rsidRPr="007A5099">
        <w:rPr>
          <w:rFonts w:ascii="Verdana" w:hAnsi="Verdana" w:cs="Arial"/>
          <w:i/>
          <w:iCs/>
          <w:sz w:val="18"/>
          <w:szCs w:val="18"/>
        </w:rPr>
        <w:t xml:space="preserve"> bereikt”. In hoeverre is het de verwachting van de regering dat de uitkomst van dit </w:t>
      </w:r>
      <w:proofErr w:type="spellStart"/>
      <w:r w:rsidRPr="007A5099">
        <w:rPr>
          <w:rFonts w:ascii="Verdana" w:hAnsi="Verdana" w:cs="Arial"/>
          <w:i/>
          <w:iCs/>
          <w:sz w:val="18"/>
          <w:szCs w:val="18"/>
        </w:rPr>
        <w:t>triloogakkoord</w:t>
      </w:r>
      <w:proofErr w:type="spellEnd"/>
      <w:r w:rsidRPr="007A5099">
        <w:rPr>
          <w:rFonts w:ascii="Verdana" w:hAnsi="Verdana" w:cs="Arial"/>
          <w:i/>
          <w:iCs/>
          <w:sz w:val="18"/>
          <w:szCs w:val="18"/>
        </w:rPr>
        <w:t>, de wetswijzigingen van het voorliggende wetsvoorstel overhoopgooien?</w:t>
      </w:r>
    </w:p>
    <w:p w:rsidRPr="007A5099" w:rsidR="006A5D89" w:rsidP="00FD08DB" w:rsidRDefault="006A5D89" w14:paraId="2CA1E546" w14:textId="77777777">
      <w:pPr>
        <w:spacing w:line="240" w:lineRule="atLeast"/>
        <w:rPr>
          <w:rFonts w:ascii="Verdana" w:hAnsi="Verdana" w:cs="Arial"/>
          <w:i/>
          <w:iCs/>
          <w:sz w:val="18"/>
          <w:szCs w:val="18"/>
        </w:rPr>
      </w:pPr>
    </w:p>
    <w:p w:rsidRPr="007A5099" w:rsidR="006A5D89" w:rsidP="00FD08DB" w:rsidRDefault="00404594" w14:paraId="51FD9B07" w14:textId="2EF76953">
      <w:pPr>
        <w:spacing w:line="240" w:lineRule="atLeast"/>
        <w:rPr>
          <w:rFonts w:ascii="Verdana" w:hAnsi="Verdana" w:cs="Arial"/>
          <w:sz w:val="18"/>
          <w:szCs w:val="18"/>
        </w:rPr>
      </w:pPr>
      <w:r>
        <w:rPr>
          <w:rFonts w:ascii="Verdana" w:hAnsi="Verdana" w:cs="Arial"/>
          <w:sz w:val="18"/>
          <w:szCs w:val="18"/>
        </w:rPr>
        <w:t>Zoals eerder opgemerkt bij de vraag van de PVV-fractie over de samenloop met onderhandelingen over aanpassing van de BRRD, SRMR</w:t>
      </w:r>
      <w:r w:rsidR="001B3F26">
        <w:rPr>
          <w:rStyle w:val="Voetnootmarkering"/>
          <w:rFonts w:ascii="Verdana" w:hAnsi="Verdana" w:cs="Arial"/>
          <w:sz w:val="18"/>
          <w:szCs w:val="18"/>
        </w:rPr>
        <w:footnoteReference w:id="4"/>
      </w:r>
      <w:r>
        <w:rPr>
          <w:rFonts w:ascii="Verdana" w:hAnsi="Verdana" w:cs="Arial"/>
          <w:sz w:val="18"/>
          <w:szCs w:val="18"/>
        </w:rPr>
        <w:t xml:space="preserve"> en DGSD</w:t>
      </w:r>
      <w:r w:rsidR="001B3F26">
        <w:rPr>
          <w:rStyle w:val="Voetnootmarkering"/>
          <w:rFonts w:ascii="Verdana" w:hAnsi="Verdana" w:cs="Arial"/>
          <w:sz w:val="18"/>
          <w:szCs w:val="18"/>
        </w:rPr>
        <w:footnoteReference w:id="5"/>
      </w:r>
      <w:r>
        <w:rPr>
          <w:rFonts w:ascii="Verdana" w:hAnsi="Verdana" w:cs="Arial"/>
          <w:sz w:val="18"/>
          <w:szCs w:val="18"/>
        </w:rPr>
        <w:t xml:space="preserve">, zal dit wetsvoorstel die onderhandelingen en uitkomsten niet doorkruisen. </w:t>
      </w:r>
      <w:r w:rsidR="00AC12CA">
        <w:rPr>
          <w:rFonts w:ascii="Verdana" w:hAnsi="Verdana" w:cs="Arial"/>
          <w:sz w:val="18"/>
          <w:szCs w:val="18"/>
        </w:rPr>
        <w:t xml:space="preserve">Het </w:t>
      </w:r>
      <w:proofErr w:type="spellStart"/>
      <w:r w:rsidR="00AC12CA">
        <w:rPr>
          <w:rFonts w:ascii="Verdana" w:hAnsi="Verdana" w:cs="Arial"/>
          <w:sz w:val="18"/>
          <w:szCs w:val="18"/>
        </w:rPr>
        <w:t>triloogakkoord</w:t>
      </w:r>
      <w:proofErr w:type="spellEnd"/>
      <w:r w:rsidR="00AC12CA">
        <w:rPr>
          <w:rFonts w:ascii="Verdana" w:hAnsi="Verdana" w:cs="Arial"/>
          <w:sz w:val="18"/>
          <w:szCs w:val="18"/>
        </w:rPr>
        <w:t xml:space="preserve"> op de onderhandelingen wordt nu gecontroleerd door de juristen-</w:t>
      </w:r>
      <w:proofErr w:type="spellStart"/>
      <w:r w:rsidR="00AC12CA">
        <w:rPr>
          <w:rFonts w:ascii="Verdana" w:hAnsi="Verdana" w:cs="Arial"/>
          <w:sz w:val="18"/>
          <w:szCs w:val="18"/>
        </w:rPr>
        <w:t>linguisten</w:t>
      </w:r>
      <w:proofErr w:type="spellEnd"/>
      <w:r w:rsidR="00AC12CA">
        <w:rPr>
          <w:rFonts w:ascii="Verdana" w:hAnsi="Verdana" w:cs="Arial"/>
          <w:sz w:val="18"/>
          <w:szCs w:val="18"/>
        </w:rPr>
        <w:t xml:space="preserve"> en zal vermoedelijk eind maart/begin april 2026 gepubliceerd worden in het Publicatieblad van de Europese Unie, na finale goedkeuring door het Europees Parlement en de Raad. </w:t>
      </w:r>
      <w:r w:rsidRPr="007A5099" w:rsidR="006A5D89">
        <w:rPr>
          <w:rFonts w:ascii="Verdana" w:hAnsi="Verdana" w:cs="Arial"/>
          <w:sz w:val="18"/>
          <w:szCs w:val="18"/>
        </w:rPr>
        <w:t>De wetswijzigingen in dit wetsvoorstel zien voornamelijk op het herstel van onvolkomenheden uit de vorige implementaties</w:t>
      </w:r>
      <w:r w:rsidRPr="007A5099" w:rsidR="009F2DEC">
        <w:rPr>
          <w:rFonts w:ascii="Verdana" w:hAnsi="Verdana" w:cs="Arial"/>
          <w:sz w:val="18"/>
          <w:szCs w:val="18"/>
        </w:rPr>
        <w:t xml:space="preserve"> waardoor dit wetsvoorstel en een implementatievoorstel wat volgt uit de nog te publiceren wijzigingen elkaar niet zullen kruisen.</w:t>
      </w:r>
      <w:r>
        <w:rPr>
          <w:rFonts w:ascii="Verdana" w:hAnsi="Verdana" w:cs="Arial"/>
          <w:sz w:val="18"/>
          <w:szCs w:val="18"/>
        </w:rPr>
        <w:t xml:space="preserve"> Bovendien zal dit wetsvoorstel een nieuwe implementatie van wijzigingen aan de BRRD vergemakkelijken doordat onvolkomenheden uit de vorige implementaties </w:t>
      </w:r>
      <w:proofErr w:type="gramStart"/>
      <w:r>
        <w:rPr>
          <w:rFonts w:ascii="Verdana" w:hAnsi="Verdana" w:cs="Arial"/>
          <w:sz w:val="18"/>
          <w:szCs w:val="18"/>
        </w:rPr>
        <w:t>reeds</w:t>
      </w:r>
      <w:proofErr w:type="gramEnd"/>
      <w:r>
        <w:rPr>
          <w:rFonts w:ascii="Verdana" w:hAnsi="Verdana" w:cs="Arial"/>
          <w:sz w:val="18"/>
          <w:szCs w:val="18"/>
        </w:rPr>
        <w:t xml:space="preserve"> hersteld zijn.</w:t>
      </w:r>
    </w:p>
    <w:p w:rsidRPr="007A5099" w:rsidR="00A76505" w:rsidP="00FD08DB" w:rsidRDefault="00A76505" w14:paraId="2CB212EB" w14:textId="77777777">
      <w:pPr>
        <w:spacing w:line="240" w:lineRule="atLeast"/>
        <w:rPr>
          <w:rFonts w:ascii="Verdana" w:hAnsi="Verdana" w:cs="Arial"/>
          <w:sz w:val="18"/>
          <w:szCs w:val="18"/>
        </w:rPr>
      </w:pPr>
    </w:p>
    <w:p w:rsidRPr="007A5099" w:rsidR="00A76505" w:rsidP="00FD08DB" w:rsidRDefault="00A76505" w14:paraId="468C846F" w14:textId="77777777">
      <w:pPr>
        <w:spacing w:line="240" w:lineRule="atLeast"/>
        <w:rPr>
          <w:rFonts w:ascii="Verdana" w:hAnsi="Verdana" w:cs="Arial"/>
          <w:i/>
          <w:iCs/>
          <w:sz w:val="18"/>
          <w:szCs w:val="18"/>
        </w:rPr>
      </w:pPr>
      <w:r w:rsidRPr="007A5099">
        <w:rPr>
          <w:rFonts w:ascii="Verdana" w:hAnsi="Verdana" w:cs="Arial"/>
          <w:i/>
          <w:iCs/>
          <w:sz w:val="18"/>
          <w:szCs w:val="18"/>
        </w:rPr>
        <w:t xml:space="preserve">2. 3A:20aa </w:t>
      </w:r>
      <w:proofErr w:type="spellStart"/>
      <w:r w:rsidRPr="007A5099">
        <w:rPr>
          <w:rFonts w:ascii="Verdana" w:hAnsi="Verdana" w:cs="Arial"/>
          <w:i/>
          <w:iCs/>
          <w:sz w:val="18"/>
          <w:szCs w:val="18"/>
        </w:rPr>
        <w:t>Wft</w:t>
      </w:r>
      <w:proofErr w:type="spellEnd"/>
    </w:p>
    <w:p w:rsidRPr="007A5099" w:rsidR="00A76505" w:rsidP="00FD08DB" w:rsidRDefault="00A76505" w14:paraId="17C15F9B" w14:textId="77777777">
      <w:pPr>
        <w:spacing w:line="240" w:lineRule="atLeast"/>
        <w:rPr>
          <w:rFonts w:ascii="Verdana" w:hAnsi="Verdana" w:cs="Arial"/>
          <w:i/>
          <w:iCs/>
          <w:sz w:val="18"/>
          <w:szCs w:val="18"/>
        </w:rPr>
      </w:pPr>
    </w:p>
    <w:p w:rsidRPr="007A5099" w:rsidR="00A76505" w:rsidP="00FD08DB" w:rsidRDefault="00A76505" w14:paraId="707D8982" w14:textId="77777777">
      <w:pPr>
        <w:spacing w:line="240" w:lineRule="atLeast"/>
        <w:rPr>
          <w:rFonts w:ascii="Verdana" w:hAnsi="Verdana" w:cs="Arial"/>
          <w:i/>
          <w:iCs/>
          <w:sz w:val="18"/>
          <w:szCs w:val="18"/>
        </w:rPr>
      </w:pPr>
      <w:r w:rsidRPr="007A5099">
        <w:rPr>
          <w:rFonts w:ascii="Verdana" w:hAnsi="Verdana" w:cs="Arial"/>
          <w:i/>
          <w:iCs/>
          <w:sz w:val="18"/>
          <w:szCs w:val="18"/>
        </w:rPr>
        <w:t xml:space="preserve">De leden van de VVD-fractie lezen dat de Nederlandse Vereniging van Banken (NVB) heeft verzocht om overtreding van artikel 3A:20aa </w:t>
      </w:r>
      <w:proofErr w:type="spellStart"/>
      <w:r w:rsidRPr="007A5099">
        <w:rPr>
          <w:rFonts w:ascii="Verdana" w:hAnsi="Verdana" w:cs="Arial"/>
          <w:i/>
          <w:iCs/>
          <w:sz w:val="18"/>
          <w:szCs w:val="18"/>
        </w:rPr>
        <w:t>Wft</w:t>
      </w:r>
      <w:proofErr w:type="spellEnd"/>
      <w:r w:rsidRPr="007A5099">
        <w:rPr>
          <w:rFonts w:ascii="Verdana" w:hAnsi="Verdana" w:cs="Arial"/>
          <w:i/>
          <w:iCs/>
          <w:sz w:val="18"/>
          <w:szCs w:val="18"/>
        </w:rPr>
        <w:t>, wat ziet op de melding door het bestuur of de raad van commissarissen bij DNB of de ECB dat de onderneming FOLTF (</w:t>
      </w:r>
      <w:proofErr w:type="spellStart"/>
      <w:r w:rsidRPr="007A5099">
        <w:rPr>
          <w:rFonts w:ascii="Verdana" w:hAnsi="Verdana" w:cs="Arial"/>
          <w:i/>
          <w:iCs/>
          <w:sz w:val="18"/>
          <w:szCs w:val="18"/>
        </w:rPr>
        <w:t>failing</w:t>
      </w:r>
      <w:proofErr w:type="spellEnd"/>
      <w:r w:rsidRPr="007A5099">
        <w:rPr>
          <w:rFonts w:ascii="Verdana" w:hAnsi="Verdana" w:cs="Arial"/>
          <w:i/>
          <w:iCs/>
          <w:sz w:val="18"/>
          <w:szCs w:val="18"/>
        </w:rPr>
        <w:t xml:space="preserve"> or </w:t>
      </w:r>
      <w:proofErr w:type="spellStart"/>
      <w:r w:rsidRPr="007A5099">
        <w:rPr>
          <w:rFonts w:ascii="Verdana" w:hAnsi="Verdana" w:cs="Arial"/>
          <w:i/>
          <w:iCs/>
          <w:sz w:val="18"/>
          <w:szCs w:val="18"/>
        </w:rPr>
        <w:t>likely</w:t>
      </w:r>
      <w:proofErr w:type="spellEnd"/>
      <w:r w:rsidRPr="007A5099">
        <w:rPr>
          <w:rFonts w:ascii="Verdana" w:hAnsi="Verdana" w:cs="Arial"/>
          <w:i/>
          <w:iCs/>
          <w:sz w:val="18"/>
          <w:szCs w:val="18"/>
        </w:rPr>
        <w:t xml:space="preserve"> </w:t>
      </w:r>
      <w:proofErr w:type="spellStart"/>
      <w:r w:rsidRPr="007A5099">
        <w:rPr>
          <w:rFonts w:ascii="Verdana" w:hAnsi="Verdana" w:cs="Arial"/>
          <w:i/>
          <w:iCs/>
          <w:sz w:val="18"/>
          <w:szCs w:val="18"/>
        </w:rPr>
        <w:t>to</w:t>
      </w:r>
      <w:proofErr w:type="spellEnd"/>
      <w:r w:rsidRPr="007A5099">
        <w:rPr>
          <w:rFonts w:ascii="Verdana" w:hAnsi="Verdana" w:cs="Arial"/>
          <w:i/>
          <w:iCs/>
          <w:sz w:val="18"/>
          <w:szCs w:val="18"/>
        </w:rPr>
        <w:t xml:space="preserve"> </w:t>
      </w:r>
      <w:proofErr w:type="spellStart"/>
      <w:r w:rsidRPr="007A5099">
        <w:rPr>
          <w:rFonts w:ascii="Verdana" w:hAnsi="Verdana" w:cs="Arial"/>
          <w:i/>
          <w:iCs/>
          <w:sz w:val="18"/>
          <w:szCs w:val="18"/>
        </w:rPr>
        <w:t>fail</w:t>
      </w:r>
      <w:proofErr w:type="spellEnd"/>
      <w:r w:rsidRPr="007A5099">
        <w:rPr>
          <w:rFonts w:ascii="Verdana" w:hAnsi="Verdana" w:cs="Arial"/>
          <w:i/>
          <w:iCs/>
          <w:sz w:val="18"/>
          <w:szCs w:val="18"/>
        </w:rPr>
        <w:t>) is, niet handhaafbaar te stellen. De regering stelt daar tegenover dat de verplichting om het doen van een FOLTF-melding expliciet voortkomt uit de BRRD, zodat ook Nederland daaraan moet voldoen. Graag vernemen deze leden expliciet en onomwonden van de regering dat er op dit punt dus geen sprake is van strengere implementatie ten opzichte van andere EU-lidstaten (dat wil zeggen, een nationale kop).</w:t>
      </w:r>
    </w:p>
    <w:p w:rsidRPr="007A5099" w:rsidR="006A5D89" w:rsidP="00FD08DB" w:rsidRDefault="006A5D89" w14:paraId="52E3ADB1" w14:textId="77777777">
      <w:pPr>
        <w:spacing w:line="240" w:lineRule="atLeast"/>
        <w:rPr>
          <w:rFonts w:ascii="Verdana" w:hAnsi="Verdana" w:cs="Arial"/>
          <w:i/>
          <w:iCs/>
          <w:sz w:val="18"/>
          <w:szCs w:val="18"/>
        </w:rPr>
      </w:pPr>
    </w:p>
    <w:p w:rsidRPr="007A5099" w:rsidR="006A5D89" w:rsidP="00FD08DB" w:rsidRDefault="009F2DEC" w14:paraId="105DDD45" w14:textId="1579DA57">
      <w:pPr>
        <w:spacing w:line="240" w:lineRule="atLeast"/>
        <w:rPr>
          <w:rFonts w:ascii="Verdana" w:hAnsi="Verdana" w:cs="Arial"/>
          <w:sz w:val="18"/>
          <w:szCs w:val="18"/>
        </w:rPr>
      </w:pPr>
      <w:r w:rsidRPr="007A5099">
        <w:rPr>
          <w:rFonts w:ascii="Verdana" w:hAnsi="Verdana" w:cs="Arial"/>
          <w:sz w:val="18"/>
          <w:szCs w:val="18"/>
        </w:rPr>
        <w:t>A</w:t>
      </w:r>
      <w:r w:rsidRPr="007A5099" w:rsidR="006A5D89">
        <w:rPr>
          <w:rFonts w:ascii="Verdana" w:hAnsi="Verdana" w:cs="Arial"/>
          <w:sz w:val="18"/>
          <w:szCs w:val="18"/>
        </w:rPr>
        <w:t xml:space="preserve">rtikel 111, eerste lid, onderdeel d, BRRD </w:t>
      </w:r>
      <w:r w:rsidRPr="007A5099">
        <w:rPr>
          <w:rFonts w:ascii="Verdana" w:hAnsi="Verdana" w:cs="Arial"/>
          <w:sz w:val="18"/>
          <w:szCs w:val="18"/>
        </w:rPr>
        <w:t xml:space="preserve">bevat </w:t>
      </w:r>
      <w:r w:rsidRPr="007A5099" w:rsidR="006A5D89">
        <w:rPr>
          <w:rFonts w:ascii="Verdana" w:hAnsi="Verdana" w:cs="Arial"/>
          <w:sz w:val="18"/>
          <w:szCs w:val="18"/>
        </w:rPr>
        <w:t xml:space="preserve">de expliciete opdracht voor lidstaten “dat hun wettelijke en bestuursrechtelijke bepalingen voorzien in sancties en maatregelen” bij “het nalaten in overtreding van artikel 81, lid 1, van het leidinggevend orgaan van een instelling (…) om de bevoegde autoriteit in kennis te stellen wanneer die instelling (…) faalt of waarschijnlijk gaat falen”. Als sanctie en maatregel zijn op grond van artikel 111, tweede lid, BRRD in ieder geval voorgeschreven dat het mogelijk moet zijn om a) een publieke verklaring uit te doen gaan waarin de entiteit en de overtreding wordt genoemd, b) een bevel </w:t>
      </w:r>
      <w:r w:rsidR="00876022">
        <w:rPr>
          <w:rFonts w:ascii="Verdana" w:hAnsi="Verdana" w:cs="Arial"/>
          <w:sz w:val="18"/>
          <w:szCs w:val="18"/>
        </w:rPr>
        <w:t xml:space="preserve">te geven </w:t>
      </w:r>
      <w:r w:rsidRPr="007A5099" w:rsidR="006A5D89">
        <w:rPr>
          <w:rFonts w:ascii="Verdana" w:hAnsi="Verdana" w:cs="Arial"/>
          <w:sz w:val="18"/>
          <w:szCs w:val="18"/>
        </w:rPr>
        <w:t xml:space="preserve">tot staking van de inbreuk, c) een voorlopig verbod </w:t>
      </w:r>
      <w:r w:rsidR="00876022">
        <w:rPr>
          <w:rFonts w:ascii="Verdana" w:hAnsi="Verdana" w:cs="Arial"/>
          <w:sz w:val="18"/>
          <w:szCs w:val="18"/>
        </w:rPr>
        <w:t xml:space="preserve">te doen uitgaan </w:t>
      </w:r>
      <w:r w:rsidRPr="007A5099" w:rsidR="006A5D89">
        <w:rPr>
          <w:rFonts w:ascii="Verdana" w:hAnsi="Verdana" w:cs="Arial"/>
          <w:sz w:val="18"/>
          <w:szCs w:val="18"/>
        </w:rPr>
        <w:t>voor een lid van het leidinggevend orgaan om een dergelijke functie bij andere entiteiten te bekleden, en d) geldboetes</w:t>
      </w:r>
      <w:r w:rsidR="00876022">
        <w:rPr>
          <w:rFonts w:ascii="Verdana" w:hAnsi="Verdana" w:cs="Arial"/>
          <w:sz w:val="18"/>
          <w:szCs w:val="18"/>
        </w:rPr>
        <w:t xml:space="preserve"> op te leggen</w:t>
      </w:r>
      <w:r w:rsidRPr="007A5099" w:rsidR="006A5D89">
        <w:rPr>
          <w:rFonts w:ascii="Verdana" w:hAnsi="Verdana" w:cs="Arial"/>
          <w:sz w:val="18"/>
          <w:szCs w:val="18"/>
        </w:rPr>
        <w:t xml:space="preserve">. Opname van artikel 3A:20aa </w:t>
      </w:r>
      <w:proofErr w:type="spellStart"/>
      <w:r w:rsidRPr="007A5099" w:rsidR="006A5D89">
        <w:rPr>
          <w:rFonts w:ascii="Verdana" w:hAnsi="Verdana" w:cs="Arial"/>
          <w:sz w:val="18"/>
          <w:szCs w:val="18"/>
        </w:rPr>
        <w:t>Wft</w:t>
      </w:r>
      <w:proofErr w:type="spellEnd"/>
      <w:r w:rsidRPr="007A5099" w:rsidR="006A5D89">
        <w:rPr>
          <w:rFonts w:ascii="Verdana" w:hAnsi="Verdana" w:cs="Arial"/>
          <w:sz w:val="18"/>
          <w:szCs w:val="18"/>
        </w:rPr>
        <w:t xml:space="preserve"> en het handhaafbaar stellen hiervan </w:t>
      </w:r>
      <w:r w:rsidR="00404594">
        <w:rPr>
          <w:rFonts w:ascii="Verdana" w:hAnsi="Verdana" w:cs="Arial"/>
          <w:sz w:val="18"/>
          <w:szCs w:val="18"/>
        </w:rPr>
        <w:t xml:space="preserve">zodat het instrumentarium van de </w:t>
      </w:r>
      <w:proofErr w:type="spellStart"/>
      <w:r w:rsidR="00404594">
        <w:rPr>
          <w:rFonts w:ascii="Verdana" w:hAnsi="Verdana" w:cs="Arial"/>
          <w:sz w:val="18"/>
          <w:szCs w:val="18"/>
        </w:rPr>
        <w:t>Wft</w:t>
      </w:r>
      <w:proofErr w:type="spellEnd"/>
      <w:r w:rsidR="00404594">
        <w:rPr>
          <w:rFonts w:ascii="Verdana" w:hAnsi="Verdana" w:cs="Arial"/>
          <w:sz w:val="18"/>
          <w:szCs w:val="18"/>
        </w:rPr>
        <w:t xml:space="preserve"> hierop toegepast kan worden </w:t>
      </w:r>
      <w:r w:rsidR="00AC12CA">
        <w:rPr>
          <w:rFonts w:ascii="Verdana" w:hAnsi="Verdana" w:cs="Arial"/>
          <w:sz w:val="18"/>
          <w:szCs w:val="18"/>
        </w:rPr>
        <w:t xml:space="preserve">is een aan </w:t>
      </w:r>
      <w:r w:rsidR="00AC12CA">
        <w:rPr>
          <w:rFonts w:ascii="Verdana" w:hAnsi="Verdana" w:cs="Arial"/>
          <w:sz w:val="18"/>
          <w:szCs w:val="18"/>
        </w:rPr>
        <w:lastRenderedPageBreak/>
        <w:t>lidstaten opgelegde verplichting in</w:t>
      </w:r>
      <w:r w:rsidRPr="007A5099" w:rsidR="006A5D89">
        <w:rPr>
          <w:rFonts w:ascii="Verdana" w:hAnsi="Verdana" w:cs="Arial"/>
          <w:sz w:val="18"/>
          <w:szCs w:val="18"/>
        </w:rPr>
        <w:t xml:space="preserve"> artikel 111 BRRD en is </w:t>
      </w:r>
      <w:proofErr w:type="gramStart"/>
      <w:r w:rsidRPr="007A5099" w:rsidR="006A5D89">
        <w:rPr>
          <w:rFonts w:ascii="Verdana" w:hAnsi="Verdana" w:cs="Arial"/>
          <w:sz w:val="18"/>
          <w:szCs w:val="18"/>
        </w:rPr>
        <w:t>derhalve</w:t>
      </w:r>
      <w:proofErr w:type="gramEnd"/>
      <w:r w:rsidRPr="007A5099" w:rsidR="006A5D89">
        <w:rPr>
          <w:rFonts w:ascii="Verdana" w:hAnsi="Verdana" w:cs="Arial"/>
          <w:sz w:val="18"/>
          <w:szCs w:val="18"/>
        </w:rPr>
        <w:t xml:space="preserve"> geen nationale kop.</w:t>
      </w:r>
    </w:p>
    <w:p w:rsidRPr="007A5099" w:rsidR="00A76505" w:rsidP="00FD08DB" w:rsidRDefault="00A76505" w14:paraId="1B113604" w14:textId="77777777">
      <w:pPr>
        <w:spacing w:line="240" w:lineRule="atLeast"/>
        <w:rPr>
          <w:rFonts w:ascii="Verdana" w:hAnsi="Verdana" w:cs="Arial"/>
          <w:sz w:val="18"/>
          <w:szCs w:val="18"/>
        </w:rPr>
      </w:pPr>
    </w:p>
    <w:p w:rsidRPr="007A5099" w:rsidR="00A76505" w:rsidP="00FD08DB" w:rsidRDefault="00A76505" w14:paraId="7E51FF9B" w14:textId="77777777">
      <w:pPr>
        <w:spacing w:line="240" w:lineRule="atLeast"/>
        <w:rPr>
          <w:rFonts w:ascii="Verdana" w:hAnsi="Verdana" w:cs="Arial"/>
          <w:i/>
          <w:iCs/>
          <w:sz w:val="18"/>
          <w:szCs w:val="18"/>
        </w:rPr>
      </w:pPr>
      <w:r w:rsidRPr="007A5099">
        <w:rPr>
          <w:rFonts w:ascii="Verdana" w:hAnsi="Verdana" w:cs="Arial"/>
          <w:i/>
          <w:iCs/>
          <w:sz w:val="18"/>
          <w:szCs w:val="18"/>
        </w:rPr>
        <w:t xml:space="preserve">3. 3A:21–3A:23/3A:44 </w:t>
      </w:r>
      <w:proofErr w:type="spellStart"/>
      <w:r w:rsidRPr="007A5099">
        <w:rPr>
          <w:rFonts w:ascii="Verdana" w:hAnsi="Verdana" w:cs="Arial"/>
          <w:i/>
          <w:iCs/>
          <w:sz w:val="18"/>
          <w:szCs w:val="18"/>
        </w:rPr>
        <w:t>Wft</w:t>
      </w:r>
      <w:proofErr w:type="spellEnd"/>
      <w:r w:rsidRPr="007A5099">
        <w:rPr>
          <w:rFonts w:ascii="Verdana" w:hAnsi="Verdana" w:cs="Arial"/>
          <w:i/>
          <w:iCs/>
          <w:sz w:val="18"/>
          <w:szCs w:val="18"/>
        </w:rPr>
        <w:t xml:space="preserve"> met betrekking tot directe conversie</w:t>
      </w:r>
    </w:p>
    <w:p w:rsidRPr="007A5099" w:rsidR="00A76505" w:rsidP="00FD08DB" w:rsidRDefault="00A76505" w14:paraId="2AC7DA71" w14:textId="77777777">
      <w:pPr>
        <w:spacing w:line="240" w:lineRule="atLeast"/>
        <w:rPr>
          <w:rFonts w:ascii="Verdana" w:hAnsi="Verdana" w:cs="Arial"/>
          <w:i/>
          <w:iCs/>
          <w:sz w:val="18"/>
          <w:szCs w:val="18"/>
        </w:rPr>
      </w:pPr>
    </w:p>
    <w:p w:rsidRPr="007A5099" w:rsidR="00A76505" w:rsidP="00FD08DB" w:rsidRDefault="00A76505" w14:paraId="5013E1B7" w14:textId="77777777">
      <w:pPr>
        <w:spacing w:line="240" w:lineRule="atLeast"/>
        <w:rPr>
          <w:rFonts w:ascii="Verdana" w:hAnsi="Verdana" w:cs="Arial"/>
          <w:i/>
          <w:iCs/>
          <w:sz w:val="18"/>
          <w:szCs w:val="18"/>
        </w:rPr>
      </w:pPr>
      <w:r w:rsidRPr="007A5099">
        <w:rPr>
          <w:rFonts w:ascii="Verdana" w:hAnsi="Verdana" w:cs="Arial"/>
          <w:i/>
          <w:iCs/>
          <w:sz w:val="18"/>
          <w:szCs w:val="18"/>
        </w:rPr>
        <w:t>De leden van de VVD-fractie lezen: “Met deze wijze van omzetting bevindt Nederland zich, anders dan de NVB stelt, niet in een uitzonderingspositie. Ook Portugal, België, Frankrijk, Ierland en Zweden maken bij hun omzetting naar aandelen gebruik van een vorm van een «interim-»recht op een aandeel.” Hoe is dit geregeld in de Verenigde Staten?</w:t>
      </w:r>
    </w:p>
    <w:p w:rsidRPr="007A5099" w:rsidR="00A76505" w:rsidP="00FD08DB" w:rsidRDefault="00A76505" w14:paraId="25C6F9F5" w14:textId="77777777">
      <w:pPr>
        <w:spacing w:line="240" w:lineRule="atLeast"/>
        <w:rPr>
          <w:rFonts w:ascii="Verdana" w:hAnsi="Verdana" w:cs="Arial"/>
          <w:sz w:val="18"/>
          <w:szCs w:val="18"/>
        </w:rPr>
      </w:pPr>
    </w:p>
    <w:p w:rsidR="00876022" w:rsidP="00876022" w:rsidRDefault="00876022" w14:paraId="113416AD" w14:textId="780BA98B">
      <w:pPr>
        <w:spacing w:line="240" w:lineRule="atLeast"/>
        <w:rPr>
          <w:rFonts w:ascii="Verdana" w:hAnsi="Verdana" w:cs="Arial"/>
          <w:sz w:val="18"/>
          <w:szCs w:val="18"/>
        </w:rPr>
      </w:pPr>
      <w:r w:rsidRPr="0CD418DD">
        <w:rPr>
          <w:rFonts w:ascii="Verdana" w:hAnsi="Verdana" w:cs="Arial"/>
          <w:sz w:val="18"/>
          <w:szCs w:val="18"/>
        </w:rPr>
        <w:t xml:space="preserve">Waar </w:t>
      </w:r>
      <w:r w:rsidR="001B3F26">
        <w:rPr>
          <w:rFonts w:ascii="Verdana" w:hAnsi="Verdana" w:cs="Arial"/>
          <w:sz w:val="18"/>
          <w:szCs w:val="18"/>
        </w:rPr>
        <w:t>het Europese afwikkelingsraamwerk</w:t>
      </w:r>
      <w:r w:rsidRPr="0CD418DD">
        <w:rPr>
          <w:rFonts w:ascii="Verdana" w:hAnsi="Verdana" w:cs="Arial"/>
          <w:sz w:val="18"/>
          <w:szCs w:val="18"/>
        </w:rPr>
        <w:t xml:space="preserve"> </w:t>
      </w:r>
      <w:r w:rsidR="001B3F26">
        <w:rPr>
          <w:rFonts w:ascii="Verdana" w:hAnsi="Verdana" w:cs="Arial"/>
          <w:sz w:val="18"/>
          <w:szCs w:val="18"/>
        </w:rPr>
        <w:t xml:space="preserve">in de BRRD </w:t>
      </w:r>
      <w:r w:rsidRPr="0CD418DD">
        <w:rPr>
          <w:rFonts w:ascii="Verdana" w:hAnsi="Verdana" w:cs="Arial"/>
          <w:sz w:val="18"/>
          <w:szCs w:val="18"/>
        </w:rPr>
        <w:t>heeft gekozen voor de zogenaamde “</w:t>
      </w:r>
      <w:r w:rsidRPr="00FB2665">
        <w:rPr>
          <w:rFonts w:ascii="Verdana" w:hAnsi="Verdana" w:cs="Arial"/>
          <w:i/>
          <w:iCs/>
          <w:sz w:val="18"/>
          <w:szCs w:val="18"/>
        </w:rPr>
        <w:t xml:space="preserve">open-bank </w:t>
      </w:r>
      <w:proofErr w:type="spellStart"/>
      <w:r w:rsidRPr="00FB2665">
        <w:rPr>
          <w:rFonts w:ascii="Verdana" w:hAnsi="Verdana" w:cs="Arial"/>
          <w:i/>
          <w:iCs/>
          <w:sz w:val="18"/>
          <w:szCs w:val="18"/>
        </w:rPr>
        <w:t>bail</w:t>
      </w:r>
      <w:proofErr w:type="spellEnd"/>
      <w:r w:rsidRPr="00FB2665">
        <w:rPr>
          <w:rFonts w:ascii="Verdana" w:hAnsi="Verdana" w:cs="Arial"/>
          <w:i/>
          <w:iCs/>
          <w:sz w:val="18"/>
          <w:szCs w:val="18"/>
        </w:rPr>
        <w:t>-in</w:t>
      </w:r>
      <w:r w:rsidRPr="0CD418DD">
        <w:rPr>
          <w:rFonts w:ascii="Verdana" w:hAnsi="Verdana" w:cs="Arial"/>
          <w:sz w:val="18"/>
          <w:szCs w:val="18"/>
        </w:rPr>
        <w:t>” benadering, heeft de Verenigde Staten gekozen voor een “</w:t>
      </w:r>
      <w:proofErr w:type="spellStart"/>
      <w:r w:rsidRPr="00FB2665">
        <w:rPr>
          <w:rFonts w:ascii="Verdana" w:hAnsi="Verdana" w:cs="Arial"/>
          <w:i/>
          <w:iCs/>
          <w:sz w:val="18"/>
          <w:szCs w:val="18"/>
        </w:rPr>
        <w:t>closed</w:t>
      </w:r>
      <w:proofErr w:type="spellEnd"/>
      <w:r w:rsidRPr="00FB2665">
        <w:rPr>
          <w:rFonts w:ascii="Verdana" w:hAnsi="Verdana" w:cs="Arial"/>
          <w:i/>
          <w:iCs/>
          <w:sz w:val="18"/>
          <w:szCs w:val="18"/>
        </w:rPr>
        <w:t xml:space="preserve">-bank </w:t>
      </w:r>
      <w:proofErr w:type="spellStart"/>
      <w:r w:rsidRPr="00FB2665">
        <w:rPr>
          <w:rFonts w:ascii="Verdana" w:hAnsi="Verdana" w:cs="Arial"/>
          <w:i/>
          <w:iCs/>
          <w:sz w:val="18"/>
          <w:szCs w:val="18"/>
        </w:rPr>
        <w:t>bail</w:t>
      </w:r>
      <w:proofErr w:type="spellEnd"/>
      <w:r w:rsidRPr="00FB2665">
        <w:rPr>
          <w:rFonts w:ascii="Verdana" w:hAnsi="Verdana" w:cs="Arial"/>
          <w:i/>
          <w:iCs/>
          <w:sz w:val="18"/>
          <w:szCs w:val="18"/>
        </w:rPr>
        <w:t>-in</w:t>
      </w:r>
      <w:r w:rsidRPr="0CD418DD">
        <w:rPr>
          <w:rFonts w:ascii="Verdana" w:hAnsi="Verdana" w:cs="Arial"/>
          <w:sz w:val="18"/>
          <w:szCs w:val="18"/>
        </w:rPr>
        <w:t>” kader.</w:t>
      </w:r>
      <w:r>
        <w:rPr>
          <w:rStyle w:val="Voetnootmarkering"/>
          <w:rFonts w:ascii="Verdana" w:hAnsi="Verdana" w:cs="Arial"/>
          <w:sz w:val="18"/>
          <w:szCs w:val="18"/>
        </w:rPr>
        <w:footnoteReference w:id="6"/>
      </w:r>
      <w:r w:rsidRPr="0CD418DD">
        <w:rPr>
          <w:rFonts w:ascii="Verdana" w:hAnsi="Verdana" w:cs="Arial"/>
          <w:sz w:val="18"/>
          <w:szCs w:val="18"/>
        </w:rPr>
        <w:t xml:space="preserve"> Beide </w:t>
      </w:r>
      <w:proofErr w:type="spellStart"/>
      <w:r w:rsidRPr="0CD418DD">
        <w:rPr>
          <w:rFonts w:ascii="Verdana" w:hAnsi="Verdana" w:cs="Arial"/>
          <w:sz w:val="18"/>
          <w:szCs w:val="18"/>
        </w:rPr>
        <w:t>bail</w:t>
      </w:r>
      <w:proofErr w:type="spellEnd"/>
      <w:r w:rsidRPr="0CD418DD">
        <w:rPr>
          <w:rFonts w:ascii="Verdana" w:hAnsi="Verdana" w:cs="Arial"/>
          <w:sz w:val="18"/>
          <w:szCs w:val="18"/>
        </w:rPr>
        <w:t xml:space="preserve">-in kaders geven de </w:t>
      </w:r>
      <w:r>
        <w:rPr>
          <w:rFonts w:ascii="Verdana" w:hAnsi="Verdana" w:cs="Arial"/>
          <w:sz w:val="18"/>
          <w:szCs w:val="18"/>
        </w:rPr>
        <w:t>afwikkelings</w:t>
      </w:r>
      <w:r w:rsidRPr="0CD418DD">
        <w:rPr>
          <w:rFonts w:ascii="Verdana" w:hAnsi="Verdana" w:cs="Arial"/>
          <w:sz w:val="18"/>
          <w:szCs w:val="18"/>
        </w:rPr>
        <w:t xml:space="preserve">autoriteit de bevoegdheden om de </w:t>
      </w:r>
      <w:r w:rsidR="00AA32D6">
        <w:rPr>
          <w:rFonts w:ascii="Verdana" w:hAnsi="Verdana" w:cs="Arial"/>
          <w:sz w:val="18"/>
          <w:szCs w:val="18"/>
        </w:rPr>
        <w:t>instelling</w:t>
      </w:r>
      <w:r w:rsidRPr="0CD418DD">
        <w:rPr>
          <w:rFonts w:ascii="Verdana" w:hAnsi="Verdana" w:cs="Arial"/>
          <w:sz w:val="18"/>
          <w:szCs w:val="18"/>
        </w:rPr>
        <w:t xml:space="preserve"> te stabiliseren en een ordentelijke reorganisatie van de </w:t>
      </w:r>
      <w:r w:rsidR="00AA32D6">
        <w:rPr>
          <w:rFonts w:ascii="Verdana" w:hAnsi="Verdana" w:cs="Arial"/>
          <w:sz w:val="18"/>
          <w:szCs w:val="18"/>
        </w:rPr>
        <w:t>instelling</w:t>
      </w:r>
      <w:r w:rsidRPr="0CD418DD">
        <w:rPr>
          <w:rFonts w:ascii="Verdana" w:hAnsi="Verdana" w:cs="Arial"/>
          <w:sz w:val="18"/>
          <w:szCs w:val="18"/>
        </w:rPr>
        <w:t xml:space="preserve"> gefinancierd door haar schuldeisers te faciliteren. Beide benaderingen worden ook erkend </w:t>
      </w:r>
      <w:r w:rsidRPr="007A5099">
        <w:rPr>
          <w:rFonts w:ascii="Verdana" w:hAnsi="Verdana" w:cs="Arial"/>
          <w:sz w:val="18"/>
          <w:szCs w:val="18"/>
        </w:rPr>
        <w:t xml:space="preserve">in de </w:t>
      </w:r>
      <w:proofErr w:type="spellStart"/>
      <w:r w:rsidRPr="007A5099">
        <w:rPr>
          <w:rFonts w:ascii="Verdana" w:hAnsi="Verdana" w:cs="Arial"/>
          <w:i/>
          <w:iCs/>
          <w:sz w:val="18"/>
          <w:szCs w:val="18"/>
        </w:rPr>
        <w:t>Key</w:t>
      </w:r>
      <w:proofErr w:type="spellEnd"/>
      <w:r w:rsidRPr="007A5099">
        <w:rPr>
          <w:rFonts w:ascii="Verdana" w:hAnsi="Verdana" w:cs="Arial"/>
          <w:i/>
          <w:iCs/>
          <w:sz w:val="18"/>
          <w:szCs w:val="18"/>
        </w:rPr>
        <w:t xml:space="preserve"> </w:t>
      </w:r>
      <w:proofErr w:type="spellStart"/>
      <w:r w:rsidRPr="007A5099">
        <w:rPr>
          <w:rFonts w:ascii="Verdana" w:hAnsi="Verdana" w:cs="Arial"/>
          <w:i/>
          <w:iCs/>
          <w:sz w:val="18"/>
          <w:szCs w:val="18"/>
        </w:rPr>
        <w:t>Attributes</w:t>
      </w:r>
      <w:proofErr w:type="spellEnd"/>
      <w:r w:rsidRPr="007A5099">
        <w:rPr>
          <w:rFonts w:ascii="Verdana" w:hAnsi="Verdana" w:cs="Arial"/>
          <w:i/>
          <w:iCs/>
          <w:sz w:val="18"/>
          <w:szCs w:val="18"/>
        </w:rPr>
        <w:t xml:space="preserve"> of </w:t>
      </w:r>
      <w:proofErr w:type="spellStart"/>
      <w:r w:rsidRPr="007A5099">
        <w:rPr>
          <w:rFonts w:ascii="Verdana" w:hAnsi="Verdana" w:cs="Arial"/>
          <w:i/>
          <w:iCs/>
          <w:sz w:val="18"/>
          <w:szCs w:val="18"/>
        </w:rPr>
        <w:t>Effective</w:t>
      </w:r>
      <w:proofErr w:type="spellEnd"/>
      <w:r w:rsidRPr="007A5099">
        <w:rPr>
          <w:rFonts w:ascii="Verdana" w:hAnsi="Verdana" w:cs="Arial"/>
          <w:i/>
          <w:iCs/>
          <w:sz w:val="18"/>
          <w:szCs w:val="18"/>
        </w:rPr>
        <w:t xml:space="preserve"> </w:t>
      </w:r>
      <w:proofErr w:type="spellStart"/>
      <w:r w:rsidRPr="007A5099">
        <w:rPr>
          <w:rFonts w:ascii="Verdana" w:hAnsi="Verdana" w:cs="Arial"/>
          <w:i/>
          <w:iCs/>
          <w:sz w:val="18"/>
          <w:szCs w:val="18"/>
        </w:rPr>
        <w:t>Resolution</w:t>
      </w:r>
      <w:proofErr w:type="spellEnd"/>
      <w:r w:rsidRPr="007A5099">
        <w:rPr>
          <w:rFonts w:ascii="Verdana" w:hAnsi="Verdana" w:cs="Arial"/>
          <w:i/>
          <w:iCs/>
          <w:sz w:val="18"/>
          <w:szCs w:val="18"/>
        </w:rPr>
        <w:t xml:space="preserve"> Regimes </w:t>
      </w:r>
      <w:proofErr w:type="spellStart"/>
      <w:r w:rsidRPr="00876022">
        <w:rPr>
          <w:rFonts w:ascii="Verdana" w:hAnsi="Verdana" w:cs="Arial"/>
          <w:i/>
          <w:sz w:val="18"/>
          <w:szCs w:val="18"/>
        </w:rPr>
        <w:t>for</w:t>
      </w:r>
      <w:proofErr w:type="spellEnd"/>
      <w:r w:rsidRPr="00876022">
        <w:rPr>
          <w:rFonts w:ascii="Verdana" w:hAnsi="Verdana" w:cs="Arial"/>
          <w:i/>
          <w:sz w:val="18"/>
          <w:szCs w:val="18"/>
        </w:rPr>
        <w:t xml:space="preserve"> Financial </w:t>
      </w:r>
      <w:proofErr w:type="spellStart"/>
      <w:r w:rsidRPr="00876022">
        <w:rPr>
          <w:rFonts w:ascii="Verdana" w:hAnsi="Verdana" w:cs="Arial"/>
          <w:i/>
          <w:sz w:val="18"/>
          <w:szCs w:val="18"/>
        </w:rPr>
        <w:t>Institutions</w:t>
      </w:r>
      <w:proofErr w:type="spellEnd"/>
      <w:r w:rsidRPr="007A5099">
        <w:rPr>
          <w:rStyle w:val="Voetnootmarkering"/>
          <w:rFonts w:ascii="Verdana" w:hAnsi="Verdana" w:cs="Arial"/>
          <w:i/>
          <w:iCs/>
          <w:sz w:val="18"/>
          <w:szCs w:val="18"/>
          <w:lang w:val="en-GB"/>
        </w:rPr>
        <w:footnoteReference w:id="7"/>
      </w:r>
      <w:r w:rsidRPr="00876022">
        <w:rPr>
          <w:rFonts w:ascii="Verdana" w:hAnsi="Verdana" w:cs="Arial"/>
          <w:i/>
          <w:sz w:val="18"/>
          <w:szCs w:val="18"/>
        </w:rPr>
        <w:t xml:space="preserve"> </w:t>
      </w:r>
      <w:r w:rsidRPr="00876022">
        <w:rPr>
          <w:rFonts w:ascii="Verdana" w:hAnsi="Verdana" w:cs="Arial"/>
          <w:sz w:val="18"/>
          <w:szCs w:val="18"/>
        </w:rPr>
        <w:t xml:space="preserve">van de Financial </w:t>
      </w:r>
      <w:proofErr w:type="spellStart"/>
      <w:r w:rsidRPr="00876022">
        <w:rPr>
          <w:rFonts w:ascii="Verdana" w:hAnsi="Verdana" w:cs="Arial"/>
          <w:sz w:val="18"/>
          <w:szCs w:val="18"/>
        </w:rPr>
        <w:t>Stability</w:t>
      </w:r>
      <w:proofErr w:type="spellEnd"/>
      <w:r w:rsidRPr="00876022">
        <w:rPr>
          <w:rFonts w:ascii="Verdana" w:hAnsi="Verdana" w:cs="Arial"/>
          <w:sz w:val="18"/>
          <w:szCs w:val="18"/>
        </w:rPr>
        <w:t xml:space="preserve"> Board (FSB).</w:t>
      </w:r>
      <w:r w:rsidRPr="007A5099">
        <w:rPr>
          <w:rStyle w:val="Voetnootmarkering"/>
          <w:rFonts w:ascii="Verdana" w:hAnsi="Verdana" w:cs="Arial"/>
          <w:sz w:val="18"/>
          <w:szCs w:val="18"/>
          <w:lang w:val="en-GB"/>
        </w:rPr>
        <w:footnoteReference w:id="8"/>
      </w:r>
      <w:r w:rsidRPr="00876022">
        <w:rPr>
          <w:rFonts w:ascii="Verdana" w:hAnsi="Verdana" w:cs="Arial"/>
          <w:sz w:val="18"/>
          <w:szCs w:val="18"/>
        </w:rPr>
        <w:t xml:space="preserve"> </w:t>
      </w:r>
      <w:r w:rsidRPr="000A6D33">
        <w:rPr>
          <w:rFonts w:ascii="Verdana" w:hAnsi="Verdana" w:cs="Arial"/>
          <w:sz w:val="18"/>
          <w:szCs w:val="18"/>
        </w:rPr>
        <w:t xml:space="preserve">Het economische effect van beide </w:t>
      </w:r>
      <w:proofErr w:type="spellStart"/>
      <w:r w:rsidRPr="000A6D33">
        <w:rPr>
          <w:rFonts w:ascii="Verdana" w:hAnsi="Verdana" w:cs="Arial"/>
          <w:sz w:val="18"/>
          <w:szCs w:val="18"/>
        </w:rPr>
        <w:t>bail</w:t>
      </w:r>
      <w:proofErr w:type="spellEnd"/>
      <w:r w:rsidRPr="000A6D33">
        <w:rPr>
          <w:rFonts w:ascii="Verdana" w:hAnsi="Verdana" w:cs="Arial"/>
          <w:sz w:val="18"/>
          <w:szCs w:val="18"/>
        </w:rPr>
        <w:t>-in benaderingen is grotendeels hetzelfde</w:t>
      </w:r>
      <w:r>
        <w:rPr>
          <w:rFonts w:ascii="Verdana" w:hAnsi="Verdana" w:cs="Arial"/>
          <w:sz w:val="18"/>
          <w:szCs w:val="18"/>
        </w:rPr>
        <w:t xml:space="preserve">. De wijze waarop de </w:t>
      </w:r>
      <w:proofErr w:type="spellStart"/>
      <w:r>
        <w:rPr>
          <w:rFonts w:ascii="Verdana" w:hAnsi="Verdana" w:cs="Arial"/>
          <w:sz w:val="18"/>
          <w:szCs w:val="18"/>
        </w:rPr>
        <w:t>bail</w:t>
      </w:r>
      <w:proofErr w:type="spellEnd"/>
      <w:r>
        <w:rPr>
          <w:rFonts w:ascii="Verdana" w:hAnsi="Verdana" w:cs="Arial"/>
          <w:sz w:val="18"/>
          <w:szCs w:val="18"/>
        </w:rPr>
        <w:t xml:space="preserve">-in wordt uitgevoerd (juridisch en operationeel) kent echter verschillen. In een open-bank </w:t>
      </w:r>
      <w:proofErr w:type="spellStart"/>
      <w:r>
        <w:rPr>
          <w:rFonts w:ascii="Verdana" w:hAnsi="Verdana" w:cs="Arial"/>
          <w:sz w:val="18"/>
          <w:szCs w:val="18"/>
        </w:rPr>
        <w:t>bail</w:t>
      </w:r>
      <w:proofErr w:type="spellEnd"/>
      <w:r>
        <w:rPr>
          <w:rFonts w:ascii="Verdana" w:hAnsi="Verdana" w:cs="Arial"/>
          <w:sz w:val="18"/>
          <w:szCs w:val="18"/>
        </w:rPr>
        <w:t xml:space="preserve">-in wordt het </w:t>
      </w:r>
      <w:proofErr w:type="spellStart"/>
      <w:r>
        <w:rPr>
          <w:rFonts w:ascii="Verdana" w:hAnsi="Verdana" w:cs="Arial"/>
          <w:sz w:val="18"/>
          <w:szCs w:val="18"/>
        </w:rPr>
        <w:t>bail</w:t>
      </w:r>
      <w:proofErr w:type="spellEnd"/>
      <w:r>
        <w:rPr>
          <w:rFonts w:ascii="Verdana" w:hAnsi="Verdana" w:cs="Arial"/>
          <w:sz w:val="18"/>
          <w:szCs w:val="18"/>
        </w:rPr>
        <w:t xml:space="preserve">-in instrument toegepast op de bestaande juridische structuur van de instelling waarbij de aan </w:t>
      </w:r>
      <w:proofErr w:type="spellStart"/>
      <w:r>
        <w:rPr>
          <w:rFonts w:ascii="Verdana" w:hAnsi="Verdana" w:cs="Arial"/>
          <w:sz w:val="18"/>
          <w:szCs w:val="18"/>
        </w:rPr>
        <w:t>bail</w:t>
      </w:r>
      <w:proofErr w:type="spellEnd"/>
      <w:r>
        <w:rPr>
          <w:rFonts w:ascii="Verdana" w:hAnsi="Verdana" w:cs="Arial"/>
          <w:sz w:val="18"/>
          <w:szCs w:val="18"/>
        </w:rPr>
        <w:t xml:space="preserve">-in onderworpen schulden worden omgezet in aandelen of andere eigendomsinstrumenten van de bestaande instelling. Daarbij kan een open-bank </w:t>
      </w:r>
      <w:proofErr w:type="spellStart"/>
      <w:r>
        <w:rPr>
          <w:rFonts w:ascii="Verdana" w:hAnsi="Verdana" w:cs="Arial"/>
          <w:sz w:val="18"/>
          <w:szCs w:val="18"/>
        </w:rPr>
        <w:t>bail</w:t>
      </w:r>
      <w:proofErr w:type="spellEnd"/>
      <w:r>
        <w:rPr>
          <w:rFonts w:ascii="Verdana" w:hAnsi="Verdana" w:cs="Arial"/>
          <w:sz w:val="18"/>
          <w:szCs w:val="18"/>
        </w:rPr>
        <w:t xml:space="preserve">-in ook plaatsvinden door gebruik van </w:t>
      </w:r>
      <w:proofErr w:type="gramStart"/>
      <w:r>
        <w:rPr>
          <w:rFonts w:ascii="Verdana" w:hAnsi="Verdana" w:cs="Arial"/>
          <w:sz w:val="18"/>
          <w:szCs w:val="18"/>
        </w:rPr>
        <w:t>interim instrumenten</w:t>
      </w:r>
      <w:proofErr w:type="gramEnd"/>
      <w:r>
        <w:rPr>
          <w:rFonts w:ascii="Verdana" w:hAnsi="Verdana" w:cs="Arial"/>
          <w:sz w:val="18"/>
          <w:szCs w:val="18"/>
        </w:rPr>
        <w:t>.</w:t>
      </w:r>
      <w:r>
        <w:rPr>
          <w:rStyle w:val="Voetnootmarkering"/>
          <w:rFonts w:ascii="Verdana" w:hAnsi="Verdana" w:cs="Arial"/>
          <w:sz w:val="18"/>
          <w:szCs w:val="18"/>
        </w:rPr>
        <w:footnoteReference w:id="9"/>
      </w:r>
      <w:r>
        <w:rPr>
          <w:rFonts w:ascii="Verdana" w:hAnsi="Verdana" w:cs="Arial"/>
          <w:sz w:val="18"/>
          <w:szCs w:val="18"/>
        </w:rPr>
        <w:t xml:space="preserve"> In een open</w:t>
      </w:r>
      <w:r w:rsidR="00C04A61">
        <w:rPr>
          <w:rFonts w:ascii="Verdana" w:hAnsi="Verdana" w:cs="Arial"/>
          <w:sz w:val="18"/>
          <w:szCs w:val="18"/>
        </w:rPr>
        <w:t>-</w:t>
      </w:r>
      <w:r>
        <w:rPr>
          <w:rFonts w:ascii="Verdana" w:hAnsi="Verdana" w:cs="Arial"/>
          <w:sz w:val="18"/>
          <w:szCs w:val="18"/>
        </w:rPr>
        <w:t xml:space="preserve">bank </w:t>
      </w:r>
      <w:proofErr w:type="spellStart"/>
      <w:r>
        <w:rPr>
          <w:rFonts w:ascii="Verdana" w:hAnsi="Verdana" w:cs="Arial"/>
          <w:sz w:val="18"/>
          <w:szCs w:val="18"/>
        </w:rPr>
        <w:t>bail</w:t>
      </w:r>
      <w:proofErr w:type="spellEnd"/>
      <w:r>
        <w:rPr>
          <w:rFonts w:ascii="Verdana" w:hAnsi="Verdana" w:cs="Arial"/>
          <w:sz w:val="18"/>
          <w:szCs w:val="18"/>
        </w:rPr>
        <w:t>-in blijft de bank operationeel en wordt niet in een staat van faillissement verklaard.</w:t>
      </w:r>
    </w:p>
    <w:p w:rsidR="00876022" w:rsidP="00876022" w:rsidRDefault="00876022" w14:paraId="16569DA7" w14:textId="77777777">
      <w:pPr>
        <w:spacing w:line="240" w:lineRule="atLeast"/>
        <w:rPr>
          <w:rFonts w:ascii="Verdana" w:hAnsi="Verdana" w:cs="Arial"/>
          <w:sz w:val="18"/>
          <w:szCs w:val="18"/>
        </w:rPr>
      </w:pPr>
    </w:p>
    <w:p w:rsidRPr="00A70F3E" w:rsidR="00876022" w:rsidP="00876022" w:rsidRDefault="00876022" w14:paraId="13EAC8FE" w14:textId="6B8850CB">
      <w:pPr>
        <w:spacing w:line="240" w:lineRule="atLeast"/>
        <w:rPr>
          <w:rFonts w:ascii="Verdana" w:hAnsi="Verdana" w:cs="Arial"/>
          <w:sz w:val="18"/>
          <w:szCs w:val="18"/>
        </w:rPr>
      </w:pPr>
      <w:r w:rsidRPr="52AEE623">
        <w:rPr>
          <w:rFonts w:ascii="Verdana" w:hAnsi="Verdana" w:cs="Arial"/>
          <w:sz w:val="18"/>
          <w:szCs w:val="18"/>
        </w:rPr>
        <w:t xml:space="preserve">Onder de </w:t>
      </w:r>
      <w:proofErr w:type="spellStart"/>
      <w:r w:rsidRPr="52AEE623">
        <w:rPr>
          <w:rFonts w:ascii="Verdana" w:hAnsi="Verdana" w:cs="Arial"/>
          <w:sz w:val="18"/>
          <w:szCs w:val="18"/>
        </w:rPr>
        <w:t>closed</w:t>
      </w:r>
      <w:proofErr w:type="spellEnd"/>
      <w:r w:rsidRPr="52AEE623">
        <w:rPr>
          <w:rFonts w:ascii="Verdana" w:hAnsi="Verdana" w:cs="Arial"/>
          <w:sz w:val="18"/>
          <w:szCs w:val="18"/>
        </w:rPr>
        <w:t xml:space="preserve">-bank </w:t>
      </w:r>
      <w:proofErr w:type="spellStart"/>
      <w:r w:rsidRPr="52AEE623">
        <w:rPr>
          <w:rFonts w:ascii="Verdana" w:hAnsi="Verdana" w:cs="Arial"/>
          <w:sz w:val="18"/>
          <w:szCs w:val="18"/>
        </w:rPr>
        <w:t>bail</w:t>
      </w:r>
      <w:proofErr w:type="spellEnd"/>
      <w:r w:rsidRPr="52AEE623">
        <w:rPr>
          <w:rFonts w:ascii="Verdana" w:hAnsi="Verdana" w:cs="Arial"/>
          <w:sz w:val="18"/>
          <w:szCs w:val="18"/>
        </w:rPr>
        <w:t>-i</w:t>
      </w:r>
      <w:r w:rsidRPr="008D78D8">
        <w:rPr>
          <w:rFonts w:ascii="Verdana" w:hAnsi="Verdana" w:cs="Arial"/>
          <w:sz w:val="18"/>
          <w:szCs w:val="18"/>
        </w:rPr>
        <w:t>n benader</w:t>
      </w:r>
      <w:r w:rsidRPr="52AEE623">
        <w:rPr>
          <w:rFonts w:ascii="Verdana" w:hAnsi="Verdana" w:cs="Arial"/>
          <w:sz w:val="18"/>
          <w:szCs w:val="18"/>
        </w:rPr>
        <w:t xml:space="preserve">ing in de Verenigde Staten, brengt de </w:t>
      </w:r>
      <w:r>
        <w:rPr>
          <w:rFonts w:ascii="Verdana" w:hAnsi="Verdana" w:cs="Arial"/>
          <w:sz w:val="18"/>
          <w:szCs w:val="18"/>
        </w:rPr>
        <w:t>afwikkelings</w:t>
      </w:r>
      <w:r w:rsidRPr="52AEE623">
        <w:rPr>
          <w:rFonts w:ascii="Verdana" w:hAnsi="Verdana" w:cs="Arial"/>
          <w:sz w:val="18"/>
          <w:szCs w:val="18"/>
        </w:rPr>
        <w:t xml:space="preserve">autoriteit (de Federal </w:t>
      </w:r>
      <w:proofErr w:type="spellStart"/>
      <w:r w:rsidRPr="52AEE623">
        <w:rPr>
          <w:rFonts w:ascii="Verdana" w:hAnsi="Verdana" w:cs="Arial"/>
          <w:sz w:val="18"/>
          <w:szCs w:val="18"/>
        </w:rPr>
        <w:t>Deposit</w:t>
      </w:r>
      <w:proofErr w:type="spellEnd"/>
      <w:r w:rsidRPr="52AEE623">
        <w:rPr>
          <w:rFonts w:ascii="Verdana" w:hAnsi="Verdana" w:cs="Arial"/>
          <w:sz w:val="18"/>
          <w:szCs w:val="18"/>
        </w:rPr>
        <w:t xml:space="preserve"> Insurance Company, FDIC) activa en passiva van de entiteit in afwikkeling (doorgaans de holding</w:t>
      </w:r>
      <w:r>
        <w:rPr>
          <w:rFonts w:ascii="Verdana" w:hAnsi="Verdana" w:cs="Arial"/>
          <w:sz w:val="18"/>
          <w:szCs w:val="18"/>
        </w:rPr>
        <w:t xml:space="preserve"> van de bank</w:t>
      </w:r>
      <w:r w:rsidRPr="52AEE623">
        <w:rPr>
          <w:rFonts w:ascii="Verdana" w:hAnsi="Verdana" w:cs="Arial"/>
          <w:sz w:val="18"/>
          <w:szCs w:val="18"/>
        </w:rPr>
        <w:t xml:space="preserve">) onder in een nieuw opgerichte </w:t>
      </w:r>
      <w:r>
        <w:rPr>
          <w:rFonts w:ascii="Verdana" w:hAnsi="Verdana" w:cs="Arial"/>
          <w:sz w:val="18"/>
          <w:szCs w:val="18"/>
        </w:rPr>
        <w:t>entiteit</w:t>
      </w:r>
      <w:r w:rsidRPr="52AEE623">
        <w:rPr>
          <w:rFonts w:ascii="Verdana" w:hAnsi="Verdana" w:cs="Arial"/>
          <w:sz w:val="18"/>
          <w:szCs w:val="18"/>
        </w:rPr>
        <w:t xml:space="preserve"> (de </w:t>
      </w:r>
      <w:r>
        <w:rPr>
          <w:rFonts w:ascii="Verdana" w:hAnsi="Verdana" w:cs="Arial"/>
          <w:sz w:val="18"/>
          <w:szCs w:val="18"/>
        </w:rPr>
        <w:t>bruginstelling</w:t>
      </w:r>
      <w:r w:rsidRPr="52AEE623">
        <w:rPr>
          <w:rFonts w:ascii="Verdana" w:hAnsi="Verdana" w:cs="Arial"/>
          <w:sz w:val="18"/>
          <w:szCs w:val="18"/>
        </w:rPr>
        <w:t xml:space="preserve">). De </w:t>
      </w:r>
      <w:r>
        <w:rPr>
          <w:rFonts w:ascii="Verdana" w:hAnsi="Verdana" w:cs="Arial"/>
          <w:sz w:val="18"/>
          <w:szCs w:val="18"/>
        </w:rPr>
        <w:t>entiteit</w:t>
      </w:r>
      <w:r w:rsidRPr="52AEE623">
        <w:rPr>
          <w:rFonts w:ascii="Verdana" w:hAnsi="Verdana" w:cs="Arial"/>
          <w:sz w:val="18"/>
          <w:szCs w:val="18"/>
        </w:rPr>
        <w:t xml:space="preserve"> in </w:t>
      </w:r>
      <w:r>
        <w:rPr>
          <w:rFonts w:ascii="Verdana" w:hAnsi="Verdana" w:cs="Arial"/>
          <w:sz w:val="18"/>
          <w:szCs w:val="18"/>
        </w:rPr>
        <w:t>afwikkeling</w:t>
      </w:r>
      <w:r w:rsidRPr="52AEE623">
        <w:rPr>
          <w:rFonts w:ascii="Verdana" w:hAnsi="Verdana" w:cs="Arial"/>
          <w:sz w:val="18"/>
          <w:szCs w:val="18"/>
        </w:rPr>
        <w:t xml:space="preserve"> wordt afgewikkeld in </w:t>
      </w:r>
      <w:proofErr w:type="spellStart"/>
      <w:r w:rsidRPr="008D78D8">
        <w:rPr>
          <w:rFonts w:ascii="Verdana" w:hAnsi="Verdana" w:cs="Arial"/>
          <w:i/>
          <w:iCs/>
          <w:sz w:val="18"/>
          <w:szCs w:val="18"/>
        </w:rPr>
        <w:t>receivership</w:t>
      </w:r>
      <w:proofErr w:type="spellEnd"/>
      <w:r w:rsidRPr="52AEE623">
        <w:rPr>
          <w:rFonts w:ascii="Verdana" w:hAnsi="Verdana" w:cs="Arial"/>
          <w:sz w:val="18"/>
          <w:szCs w:val="18"/>
        </w:rPr>
        <w:t xml:space="preserve"> (vergelijkbaar met </w:t>
      </w:r>
      <w:r>
        <w:rPr>
          <w:rFonts w:ascii="Verdana" w:hAnsi="Verdana" w:cs="Arial"/>
          <w:sz w:val="18"/>
          <w:szCs w:val="18"/>
        </w:rPr>
        <w:t>het Nederlandse</w:t>
      </w:r>
      <w:r w:rsidRPr="52AEE623">
        <w:rPr>
          <w:rFonts w:ascii="Verdana" w:hAnsi="Verdana" w:cs="Arial"/>
          <w:sz w:val="18"/>
          <w:szCs w:val="18"/>
        </w:rPr>
        <w:t xml:space="preserve"> faillissement) waarbij binnen een bepaalde tijd de achterblijvende aandeelhouders en crediteuren hun claims tegen de boedel van de </w:t>
      </w:r>
      <w:r>
        <w:rPr>
          <w:rFonts w:ascii="Verdana" w:hAnsi="Verdana" w:cs="Arial"/>
          <w:sz w:val="18"/>
          <w:szCs w:val="18"/>
        </w:rPr>
        <w:t>gefaalde</w:t>
      </w:r>
      <w:r w:rsidRPr="52AEE623">
        <w:rPr>
          <w:rFonts w:ascii="Verdana" w:hAnsi="Verdana" w:cs="Arial"/>
          <w:sz w:val="18"/>
          <w:szCs w:val="18"/>
        </w:rPr>
        <w:t xml:space="preserve"> instelling bij de FDIC kunnen indienen. De FDIC beoordeelt deze claims en voor erkende claims</w:t>
      </w:r>
      <w:r>
        <w:rPr>
          <w:rFonts w:ascii="Verdana" w:hAnsi="Verdana" w:cs="Arial"/>
          <w:sz w:val="18"/>
          <w:szCs w:val="18"/>
        </w:rPr>
        <w:t>,</w:t>
      </w:r>
      <w:r w:rsidRPr="52AEE623">
        <w:rPr>
          <w:rFonts w:ascii="Verdana" w:hAnsi="Verdana" w:cs="Arial"/>
          <w:sz w:val="18"/>
          <w:szCs w:val="18"/>
        </w:rPr>
        <w:t xml:space="preserve"> voor</w:t>
      </w:r>
      <w:r>
        <w:rPr>
          <w:rFonts w:ascii="Verdana" w:hAnsi="Verdana" w:cs="Arial"/>
          <w:sz w:val="18"/>
          <w:szCs w:val="18"/>
        </w:rPr>
        <w:t xml:space="preserve"> </w:t>
      </w:r>
      <w:r w:rsidRPr="52AEE623">
        <w:rPr>
          <w:rFonts w:ascii="Verdana" w:hAnsi="Verdana" w:cs="Arial"/>
          <w:sz w:val="18"/>
          <w:szCs w:val="18"/>
        </w:rPr>
        <w:t xml:space="preserve">zover er </w:t>
      </w:r>
      <w:r>
        <w:rPr>
          <w:rFonts w:ascii="Verdana" w:hAnsi="Verdana" w:cs="Arial"/>
          <w:sz w:val="18"/>
          <w:szCs w:val="18"/>
        </w:rPr>
        <w:t>geldmiddelen</w:t>
      </w:r>
      <w:r w:rsidRPr="52AEE623">
        <w:rPr>
          <w:rFonts w:ascii="Verdana" w:hAnsi="Verdana" w:cs="Arial"/>
          <w:sz w:val="18"/>
          <w:szCs w:val="18"/>
        </w:rPr>
        <w:t xml:space="preserve"> aanwezig </w:t>
      </w:r>
      <w:r>
        <w:rPr>
          <w:rFonts w:ascii="Verdana" w:hAnsi="Verdana" w:cs="Arial"/>
          <w:sz w:val="18"/>
          <w:szCs w:val="18"/>
        </w:rPr>
        <w:t>zijn,</w:t>
      </w:r>
      <w:r w:rsidRPr="52AEE623">
        <w:rPr>
          <w:rFonts w:ascii="Verdana" w:hAnsi="Verdana" w:cs="Arial"/>
          <w:sz w:val="18"/>
          <w:szCs w:val="18"/>
        </w:rPr>
        <w:t xml:space="preserve"> worden de crediteuren voldaan </w:t>
      </w:r>
      <w:proofErr w:type="gramStart"/>
      <w:r w:rsidRPr="52AEE623">
        <w:rPr>
          <w:rFonts w:ascii="Verdana" w:hAnsi="Verdana" w:cs="Arial"/>
          <w:sz w:val="18"/>
          <w:szCs w:val="18"/>
        </w:rPr>
        <w:t>conform</w:t>
      </w:r>
      <w:proofErr w:type="gramEnd"/>
      <w:r w:rsidRPr="52AEE623">
        <w:rPr>
          <w:rFonts w:ascii="Verdana" w:hAnsi="Verdana" w:cs="Arial"/>
          <w:sz w:val="18"/>
          <w:szCs w:val="18"/>
        </w:rPr>
        <w:t xml:space="preserve"> de crediteurenhi</w:t>
      </w:r>
      <w:r>
        <w:rPr>
          <w:rFonts w:ascii="Verdana" w:hAnsi="Verdana" w:cs="Arial"/>
          <w:sz w:val="18"/>
          <w:szCs w:val="18"/>
        </w:rPr>
        <w:t>ë</w:t>
      </w:r>
      <w:r w:rsidRPr="52AEE623">
        <w:rPr>
          <w:rFonts w:ascii="Verdana" w:hAnsi="Verdana" w:cs="Arial"/>
          <w:sz w:val="18"/>
          <w:szCs w:val="18"/>
        </w:rPr>
        <w:t xml:space="preserve">rarchie. De uitkering die de </w:t>
      </w:r>
      <w:r>
        <w:rPr>
          <w:rFonts w:ascii="Verdana" w:hAnsi="Verdana" w:cs="Arial"/>
          <w:sz w:val="18"/>
          <w:szCs w:val="18"/>
        </w:rPr>
        <w:t>afwikkelings</w:t>
      </w:r>
      <w:r w:rsidRPr="52AEE623">
        <w:rPr>
          <w:rFonts w:ascii="Verdana" w:hAnsi="Verdana" w:cs="Arial"/>
          <w:sz w:val="18"/>
          <w:szCs w:val="18"/>
        </w:rPr>
        <w:t xml:space="preserve">autoriteit doet aan de erkende claimhouders kan ook bestaan uit effecten (meestal aandelen) die de (opvolger van) de </w:t>
      </w:r>
      <w:r>
        <w:rPr>
          <w:rFonts w:ascii="Verdana" w:hAnsi="Verdana" w:cs="Arial"/>
          <w:sz w:val="18"/>
          <w:szCs w:val="18"/>
        </w:rPr>
        <w:t>bruginstelling</w:t>
      </w:r>
      <w:r w:rsidRPr="52AEE623">
        <w:rPr>
          <w:rFonts w:ascii="Verdana" w:hAnsi="Verdana" w:cs="Arial"/>
          <w:sz w:val="18"/>
          <w:szCs w:val="18"/>
        </w:rPr>
        <w:t xml:space="preserve"> na reorganisatie, uitgeeft. De “</w:t>
      </w:r>
      <w:proofErr w:type="spellStart"/>
      <w:r w:rsidRPr="00FB2665">
        <w:rPr>
          <w:rFonts w:ascii="Verdana" w:hAnsi="Verdana" w:cs="Arial"/>
          <w:i/>
          <w:iCs/>
          <w:sz w:val="18"/>
          <w:szCs w:val="18"/>
        </w:rPr>
        <w:t>securities</w:t>
      </w:r>
      <w:proofErr w:type="spellEnd"/>
      <w:r w:rsidRPr="00FB2665">
        <w:rPr>
          <w:rFonts w:ascii="Verdana" w:hAnsi="Verdana" w:cs="Arial"/>
          <w:i/>
          <w:iCs/>
          <w:sz w:val="18"/>
          <w:szCs w:val="18"/>
        </w:rPr>
        <w:t xml:space="preserve"> </w:t>
      </w:r>
      <w:proofErr w:type="spellStart"/>
      <w:r w:rsidRPr="00FB2665">
        <w:rPr>
          <w:rFonts w:ascii="Verdana" w:hAnsi="Verdana" w:cs="Arial"/>
          <w:i/>
          <w:iCs/>
          <w:sz w:val="18"/>
          <w:szCs w:val="18"/>
        </w:rPr>
        <w:t>for</w:t>
      </w:r>
      <w:proofErr w:type="spellEnd"/>
      <w:r w:rsidRPr="00FB2665">
        <w:rPr>
          <w:rFonts w:ascii="Verdana" w:hAnsi="Verdana" w:cs="Arial"/>
          <w:i/>
          <w:iCs/>
          <w:sz w:val="18"/>
          <w:szCs w:val="18"/>
        </w:rPr>
        <w:t xml:space="preserve"> claims</w:t>
      </w:r>
      <w:r w:rsidRPr="52AEE623">
        <w:rPr>
          <w:rFonts w:ascii="Verdana" w:hAnsi="Verdana" w:cs="Arial"/>
          <w:sz w:val="18"/>
          <w:szCs w:val="18"/>
        </w:rPr>
        <w:t xml:space="preserve">” conversie is een optie die de FDIC </w:t>
      </w:r>
      <w:r w:rsidR="00FB2665">
        <w:rPr>
          <w:rFonts w:ascii="Verdana" w:hAnsi="Verdana" w:cs="Arial"/>
          <w:sz w:val="18"/>
          <w:szCs w:val="18"/>
        </w:rPr>
        <w:t xml:space="preserve">hiertoe </w:t>
      </w:r>
      <w:r w:rsidRPr="52AEE623">
        <w:rPr>
          <w:rFonts w:ascii="Verdana" w:hAnsi="Verdana" w:cs="Arial"/>
          <w:sz w:val="18"/>
          <w:szCs w:val="18"/>
        </w:rPr>
        <w:t xml:space="preserve">heeft ontwikkeld ter implementatie van haar </w:t>
      </w:r>
      <w:proofErr w:type="spellStart"/>
      <w:r w:rsidRPr="52AEE623">
        <w:rPr>
          <w:rFonts w:ascii="Verdana" w:hAnsi="Verdana" w:cs="Arial"/>
          <w:sz w:val="18"/>
          <w:szCs w:val="18"/>
        </w:rPr>
        <w:t>bail</w:t>
      </w:r>
      <w:proofErr w:type="spellEnd"/>
      <w:r w:rsidRPr="52AEE623">
        <w:rPr>
          <w:rFonts w:ascii="Verdana" w:hAnsi="Verdana" w:cs="Arial"/>
          <w:sz w:val="18"/>
          <w:szCs w:val="18"/>
        </w:rPr>
        <w:t>-in benadering.</w:t>
      </w:r>
      <w:r w:rsidRPr="52AEE623">
        <w:rPr>
          <w:rStyle w:val="Voetnootmarkering"/>
          <w:rFonts w:ascii="Verdana" w:hAnsi="Verdana" w:cs="Arial"/>
          <w:sz w:val="18"/>
          <w:szCs w:val="18"/>
        </w:rPr>
        <w:footnoteReference w:id="10"/>
      </w:r>
      <w:r w:rsidRPr="52AEE623">
        <w:rPr>
          <w:rFonts w:ascii="Verdana" w:hAnsi="Verdana" w:cs="Arial"/>
          <w:sz w:val="18"/>
          <w:szCs w:val="18"/>
        </w:rPr>
        <w:t xml:space="preserve"> </w:t>
      </w:r>
    </w:p>
    <w:p w:rsidRPr="007A5099" w:rsidR="006A5D89" w:rsidP="00FD08DB" w:rsidRDefault="00B10246" w14:paraId="73C97607" w14:textId="583C2CF6">
      <w:pPr>
        <w:spacing w:line="240" w:lineRule="atLeast"/>
        <w:rPr>
          <w:rFonts w:ascii="Verdana" w:hAnsi="Verdana" w:cs="Arial"/>
          <w:sz w:val="18"/>
          <w:szCs w:val="18"/>
        </w:rPr>
      </w:pPr>
      <w:r w:rsidRPr="007A5099">
        <w:rPr>
          <w:rFonts w:ascii="Verdana" w:hAnsi="Verdana" w:cs="Arial"/>
          <w:sz w:val="18"/>
          <w:szCs w:val="18"/>
        </w:rPr>
        <w:t xml:space="preserve"> </w:t>
      </w:r>
    </w:p>
    <w:p w:rsidRPr="007A5099" w:rsidR="00A76505" w:rsidP="00FD08DB" w:rsidRDefault="00A76505" w14:paraId="5D6FE2A0" w14:textId="77777777">
      <w:pPr>
        <w:spacing w:line="240" w:lineRule="atLeast"/>
        <w:rPr>
          <w:rFonts w:ascii="Verdana" w:hAnsi="Verdana" w:cs="Arial"/>
          <w:i/>
          <w:iCs/>
          <w:sz w:val="18"/>
          <w:szCs w:val="18"/>
        </w:rPr>
      </w:pPr>
      <w:r w:rsidRPr="007A5099">
        <w:rPr>
          <w:rFonts w:ascii="Verdana" w:hAnsi="Verdana" w:cs="Arial"/>
          <w:i/>
          <w:iCs/>
          <w:sz w:val="18"/>
          <w:szCs w:val="18"/>
        </w:rPr>
        <w:t xml:space="preserve">Deze leden lezen ook: “… dat het onder de huidige regelgeving al mogelijk is om de claimrechten op aandelen direct na totstandkoming om te zetten in aandelen, zodat de geconverteerde crediteuren de facto direct aandelen </w:t>
      </w:r>
      <w:r w:rsidRPr="007A5099">
        <w:rPr>
          <w:rFonts w:ascii="Verdana" w:hAnsi="Verdana" w:cs="Arial"/>
          <w:i/>
          <w:iCs/>
          <w:sz w:val="18"/>
          <w:szCs w:val="18"/>
        </w:rPr>
        <w:lastRenderedPageBreak/>
        <w:t>verkrijgen”. Kan de regering nader onderbouwen hoe realistisch deze directe omzetting is? Mede in het licht van het gegeven dat enige tijd gemoeid zal zijn met het definitief worden van de waardering van de activa en passiva van de entiteit in afwikkeling, respectievelijk de omzettingskoers van het claimrecht in een aandeel. Is de regering het met deze leden eens dat in de praktijk vrijwel altijd sprake zal zijn van een “indirecte” omzetting?</w:t>
      </w:r>
    </w:p>
    <w:p w:rsidRPr="007A5099" w:rsidR="006A5D89" w:rsidP="00FD08DB" w:rsidRDefault="006A5D89" w14:paraId="64B40819" w14:textId="77777777">
      <w:pPr>
        <w:spacing w:line="240" w:lineRule="atLeast"/>
        <w:rPr>
          <w:rFonts w:ascii="Verdana" w:hAnsi="Verdana" w:cs="Arial"/>
          <w:i/>
          <w:iCs/>
          <w:sz w:val="18"/>
          <w:szCs w:val="18"/>
        </w:rPr>
      </w:pPr>
    </w:p>
    <w:p w:rsidR="00876022" w:rsidP="00876022" w:rsidRDefault="001B3F26" w14:paraId="06FEE5E2" w14:textId="26A0D160">
      <w:pPr>
        <w:spacing w:line="240" w:lineRule="atLeast"/>
        <w:rPr>
          <w:rFonts w:ascii="Verdana" w:hAnsi="Verdana" w:cs="Arial"/>
          <w:sz w:val="18"/>
          <w:szCs w:val="18"/>
        </w:rPr>
      </w:pPr>
      <w:r>
        <w:rPr>
          <w:rFonts w:ascii="Verdana" w:hAnsi="Verdana" w:cs="Arial"/>
          <w:sz w:val="18"/>
          <w:szCs w:val="18"/>
        </w:rPr>
        <w:t>Een directe omzetting, waarbij claimrechten direct worden omgezet in aandelen of andere eigendomsinstrumenten,</w:t>
      </w:r>
      <w:r w:rsidR="00876022">
        <w:rPr>
          <w:rFonts w:ascii="Verdana" w:hAnsi="Verdana" w:cs="Arial"/>
          <w:sz w:val="18"/>
          <w:szCs w:val="18"/>
        </w:rPr>
        <w:t xml:space="preserve"> </w:t>
      </w:r>
      <w:r w:rsidRPr="007A5099" w:rsidR="00876022">
        <w:rPr>
          <w:rFonts w:ascii="Verdana" w:hAnsi="Verdana" w:cs="Arial"/>
          <w:sz w:val="18"/>
          <w:szCs w:val="18"/>
        </w:rPr>
        <w:t xml:space="preserve">is mogelijk in een geval waar </w:t>
      </w:r>
      <w:r w:rsidR="00876022">
        <w:rPr>
          <w:rFonts w:ascii="Verdana" w:hAnsi="Verdana" w:cs="Arial"/>
          <w:sz w:val="18"/>
          <w:szCs w:val="18"/>
        </w:rPr>
        <w:t>de waardering</w:t>
      </w:r>
      <w:r>
        <w:rPr>
          <w:rFonts w:ascii="Verdana" w:hAnsi="Verdana" w:cs="Arial"/>
          <w:sz w:val="18"/>
          <w:szCs w:val="18"/>
        </w:rPr>
        <w:t>,</w:t>
      </w:r>
      <w:r w:rsidR="00876022">
        <w:rPr>
          <w:rFonts w:ascii="Verdana" w:hAnsi="Verdana" w:cs="Arial"/>
          <w:sz w:val="18"/>
          <w:szCs w:val="18"/>
        </w:rPr>
        <w:t xml:space="preserve"> wanneer het </w:t>
      </w:r>
      <w:proofErr w:type="spellStart"/>
      <w:r w:rsidR="00876022">
        <w:rPr>
          <w:rFonts w:ascii="Verdana" w:hAnsi="Verdana" w:cs="Arial"/>
          <w:sz w:val="18"/>
          <w:szCs w:val="18"/>
        </w:rPr>
        <w:t>bail</w:t>
      </w:r>
      <w:proofErr w:type="spellEnd"/>
      <w:r w:rsidR="00876022">
        <w:rPr>
          <w:rFonts w:ascii="Verdana" w:hAnsi="Verdana" w:cs="Arial"/>
          <w:sz w:val="18"/>
          <w:szCs w:val="18"/>
        </w:rPr>
        <w:t>-in instrument wordt toegepast</w:t>
      </w:r>
      <w:r>
        <w:rPr>
          <w:rFonts w:ascii="Verdana" w:hAnsi="Verdana" w:cs="Arial"/>
          <w:sz w:val="18"/>
          <w:szCs w:val="18"/>
        </w:rPr>
        <w:t>,</w:t>
      </w:r>
      <w:r w:rsidR="00876022">
        <w:rPr>
          <w:rFonts w:ascii="Verdana" w:hAnsi="Verdana" w:cs="Arial"/>
          <w:sz w:val="18"/>
          <w:szCs w:val="18"/>
        </w:rPr>
        <w:t xml:space="preserve"> definitief is in de zin van artikel 20, tweede lid, van de verordening gemeenschappelijk afwikkelingsmechanisme (SRMR) en de conversiekoers van claimrechten in aandelen overeenkomstig artikel 50 BRRD (artikel </w:t>
      </w:r>
      <w:r w:rsidRPr="67C558E0" w:rsidR="00876022">
        <w:rPr>
          <w:rFonts w:ascii="Verdana" w:hAnsi="Verdana" w:cs="Arial"/>
          <w:sz w:val="18"/>
          <w:szCs w:val="18"/>
        </w:rPr>
        <w:t>3A</w:t>
      </w:r>
      <w:r w:rsidR="00876022">
        <w:rPr>
          <w:rFonts w:ascii="Verdana" w:hAnsi="Verdana" w:cs="Arial"/>
          <w:sz w:val="18"/>
          <w:szCs w:val="18"/>
        </w:rPr>
        <w:t xml:space="preserve">:21, derde lid, en artikel </w:t>
      </w:r>
      <w:r w:rsidRPr="67C558E0" w:rsidR="00876022">
        <w:rPr>
          <w:rFonts w:ascii="Verdana" w:hAnsi="Verdana" w:cs="Arial"/>
          <w:sz w:val="18"/>
          <w:szCs w:val="18"/>
        </w:rPr>
        <w:t>3A</w:t>
      </w:r>
      <w:r w:rsidR="00876022">
        <w:rPr>
          <w:rFonts w:ascii="Verdana" w:hAnsi="Verdana" w:cs="Arial"/>
          <w:sz w:val="18"/>
          <w:szCs w:val="18"/>
        </w:rPr>
        <w:t xml:space="preserve">:44, derde lid, </w:t>
      </w:r>
      <w:proofErr w:type="spellStart"/>
      <w:r w:rsidR="00876022">
        <w:rPr>
          <w:rFonts w:ascii="Verdana" w:hAnsi="Verdana" w:cs="Arial"/>
          <w:sz w:val="18"/>
          <w:szCs w:val="18"/>
        </w:rPr>
        <w:t>Wft</w:t>
      </w:r>
      <w:proofErr w:type="spellEnd"/>
      <w:r w:rsidR="00876022">
        <w:rPr>
          <w:rFonts w:ascii="Verdana" w:hAnsi="Verdana" w:cs="Arial"/>
          <w:sz w:val="18"/>
          <w:szCs w:val="18"/>
        </w:rPr>
        <w:t xml:space="preserve">) kan worden vastgesteld. Zoals </w:t>
      </w:r>
      <w:proofErr w:type="gramStart"/>
      <w:r w:rsidR="00876022">
        <w:rPr>
          <w:rFonts w:ascii="Verdana" w:hAnsi="Verdana" w:cs="Arial"/>
          <w:sz w:val="18"/>
          <w:szCs w:val="18"/>
        </w:rPr>
        <w:t>reeds</w:t>
      </w:r>
      <w:proofErr w:type="gramEnd"/>
      <w:r w:rsidR="00876022">
        <w:rPr>
          <w:rFonts w:ascii="Verdana" w:hAnsi="Verdana" w:cs="Arial"/>
          <w:sz w:val="18"/>
          <w:szCs w:val="18"/>
        </w:rPr>
        <w:t xml:space="preserve"> in de memorie van toelichting is opgemerkt,</w:t>
      </w:r>
      <w:r w:rsidRPr="00830DB5" w:rsidR="00876022">
        <w:rPr>
          <w:rFonts w:ascii="Verdana" w:hAnsi="Verdana" w:cs="Arial"/>
          <w:sz w:val="18"/>
          <w:szCs w:val="18"/>
        </w:rPr>
        <w:t xml:space="preserve"> zal o</w:t>
      </w:r>
      <w:r w:rsidRPr="00D65481" w:rsidR="00876022">
        <w:rPr>
          <w:rFonts w:ascii="Verdana" w:hAnsi="Verdana" w:cs="Arial"/>
          <w:sz w:val="18"/>
          <w:szCs w:val="18"/>
        </w:rPr>
        <w:t xml:space="preserve">p het moment waarop DNB besluit tot toepassing van het </w:t>
      </w:r>
      <w:proofErr w:type="spellStart"/>
      <w:r w:rsidRPr="00D65481" w:rsidR="00876022">
        <w:rPr>
          <w:rFonts w:ascii="Verdana" w:hAnsi="Verdana" w:cs="Arial"/>
          <w:sz w:val="18"/>
          <w:szCs w:val="18"/>
        </w:rPr>
        <w:t>bail</w:t>
      </w:r>
      <w:proofErr w:type="spellEnd"/>
      <w:r w:rsidRPr="00D65481" w:rsidR="00876022">
        <w:rPr>
          <w:rFonts w:ascii="Verdana" w:hAnsi="Verdana" w:cs="Arial"/>
          <w:sz w:val="18"/>
          <w:szCs w:val="18"/>
        </w:rPr>
        <w:t>-in instrument, de waardering van de activa en passiva van de entiteit in afwikkeling en de groep waartoe zij behoort, gelet op de grote complexiteit, waarschijnlijk nog niet definitief zijn</w:t>
      </w:r>
      <w:r w:rsidR="00876022">
        <w:rPr>
          <w:rFonts w:ascii="Verdana" w:hAnsi="Verdana" w:cs="Arial"/>
          <w:sz w:val="18"/>
          <w:szCs w:val="18"/>
        </w:rPr>
        <w:t xml:space="preserve">. </w:t>
      </w:r>
      <w:r w:rsidRPr="007A5099" w:rsidR="00876022">
        <w:rPr>
          <w:rFonts w:ascii="Verdana" w:hAnsi="Verdana" w:cs="Arial"/>
          <w:sz w:val="18"/>
          <w:szCs w:val="18"/>
        </w:rPr>
        <w:t xml:space="preserve">Een directe omzetting </w:t>
      </w:r>
      <w:r w:rsidR="00876022">
        <w:rPr>
          <w:rFonts w:ascii="Verdana" w:hAnsi="Verdana" w:cs="Arial"/>
          <w:sz w:val="18"/>
          <w:szCs w:val="18"/>
        </w:rPr>
        <w:t>lijkt daarom inderdaad minder waarschijnlijk</w:t>
      </w:r>
      <w:r w:rsidRPr="007A5099" w:rsidR="00876022">
        <w:rPr>
          <w:rFonts w:ascii="Verdana" w:hAnsi="Verdana" w:cs="Arial"/>
          <w:sz w:val="18"/>
          <w:szCs w:val="18"/>
        </w:rPr>
        <w:t xml:space="preserve"> dan een indirecte omzetting. </w:t>
      </w:r>
    </w:p>
    <w:p w:rsidRPr="007A5099" w:rsidR="00A76505" w:rsidP="00FD08DB" w:rsidRDefault="00A76505" w14:paraId="2855FDED" w14:textId="77777777">
      <w:pPr>
        <w:spacing w:line="240" w:lineRule="atLeast"/>
        <w:rPr>
          <w:rFonts w:ascii="Verdana" w:hAnsi="Verdana" w:cs="Arial"/>
          <w:sz w:val="18"/>
          <w:szCs w:val="18"/>
        </w:rPr>
      </w:pPr>
    </w:p>
    <w:p w:rsidRPr="007A5099" w:rsidR="00A76505" w:rsidP="00FD08DB" w:rsidRDefault="00A76505" w14:paraId="05FB32DC" w14:textId="77777777">
      <w:pPr>
        <w:spacing w:line="240" w:lineRule="atLeast"/>
        <w:rPr>
          <w:rFonts w:ascii="Verdana" w:hAnsi="Verdana" w:cs="Arial"/>
          <w:i/>
          <w:iCs/>
          <w:sz w:val="18"/>
          <w:szCs w:val="18"/>
        </w:rPr>
      </w:pPr>
      <w:r w:rsidRPr="007A5099">
        <w:rPr>
          <w:rFonts w:ascii="Verdana" w:hAnsi="Verdana" w:cs="Arial"/>
          <w:i/>
          <w:iCs/>
          <w:sz w:val="18"/>
          <w:szCs w:val="18"/>
        </w:rPr>
        <w:t xml:space="preserve">4. 3A:23 </w:t>
      </w:r>
      <w:proofErr w:type="spellStart"/>
      <w:r w:rsidRPr="007A5099">
        <w:rPr>
          <w:rFonts w:ascii="Verdana" w:hAnsi="Verdana" w:cs="Arial"/>
          <w:i/>
          <w:iCs/>
          <w:sz w:val="18"/>
          <w:szCs w:val="18"/>
        </w:rPr>
        <w:t>Wft</w:t>
      </w:r>
      <w:proofErr w:type="spellEnd"/>
      <w:r w:rsidRPr="007A5099">
        <w:rPr>
          <w:rFonts w:ascii="Verdana" w:hAnsi="Verdana" w:cs="Arial"/>
          <w:i/>
          <w:iCs/>
          <w:sz w:val="18"/>
          <w:szCs w:val="18"/>
        </w:rPr>
        <w:t xml:space="preserve"> met betrekking tot nominale waarde van aandelen en statuten</w:t>
      </w:r>
    </w:p>
    <w:p w:rsidRPr="007A5099" w:rsidR="00A76505" w:rsidP="00FD08DB" w:rsidRDefault="00A76505" w14:paraId="10DAD986" w14:textId="77777777">
      <w:pPr>
        <w:spacing w:line="240" w:lineRule="atLeast"/>
        <w:rPr>
          <w:rFonts w:ascii="Verdana" w:hAnsi="Verdana" w:cs="Arial"/>
          <w:i/>
          <w:iCs/>
          <w:sz w:val="18"/>
          <w:szCs w:val="18"/>
        </w:rPr>
      </w:pPr>
    </w:p>
    <w:p w:rsidRPr="007A5099" w:rsidR="00A76505" w:rsidP="00FD08DB" w:rsidRDefault="00A76505" w14:paraId="36D7949D" w14:textId="77777777">
      <w:pPr>
        <w:spacing w:line="240" w:lineRule="atLeast"/>
        <w:rPr>
          <w:rFonts w:ascii="Verdana" w:hAnsi="Verdana" w:cs="Arial"/>
          <w:i/>
          <w:iCs/>
          <w:sz w:val="18"/>
          <w:szCs w:val="18"/>
        </w:rPr>
      </w:pPr>
      <w:r w:rsidRPr="007A5099">
        <w:rPr>
          <w:rFonts w:ascii="Verdana" w:hAnsi="Verdana" w:cs="Arial"/>
          <w:i/>
          <w:iCs/>
          <w:sz w:val="18"/>
          <w:szCs w:val="18"/>
        </w:rPr>
        <w:t>De leden van de VVD-fractie lezen dat DNB ervoor zal zorgen dat de toekenning van aandelen aan de houders van de claimrechten ‘zo spoedig mogelijk’ zal plaatsvinden. Wat zal, naar inschatting van de regering, de gemiddelde wachttijd zijn voor de houders van claimrechten? Denkt de regering dat het soms ook veel korter of langer kan duren dan deze gemiddelde wachttijd?</w:t>
      </w:r>
    </w:p>
    <w:p w:rsidRPr="007A5099" w:rsidR="006A5D89" w:rsidP="00FD08DB" w:rsidRDefault="006A5D89" w14:paraId="527F9BC6" w14:textId="77777777">
      <w:pPr>
        <w:spacing w:line="240" w:lineRule="atLeast"/>
        <w:rPr>
          <w:rFonts w:ascii="Verdana" w:hAnsi="Verdana" w:cs="Arial"/>
          <w:i/>
          <w:iCs/>
          <w:sz w:val="18"/>
          <w:szCs w:val="18"/>
        </w:rPr>
      </w:pPr>
    </w:p>
    <w:p w:rsidR="00A76505" w:rsidP="00FD08DB" w:rsidRDefault="00876022" w14:paraId="076D27F3" w14:textId="09CCB0E7">
      <w:pPr>
        <w:spacing w:line="240" w:lineRule="atLeast"/>
        <w:rPr>
          <w:rFonts w:ascii="Verdana" w:hAnsi="Verdana" w:cs="Arial"/>
          <w:sz w:val="18"/>
          <w:szCs w:val="18"/>
        </w:rPr>
      </w:pPr>
      <w:r>
        <w:rPr>
          <w:rFonts w:ascii="Verdana" w:hAnsi="Verdana" w:cs="Arial"/>
          <w:sz w:val="18"/>
          <w:szCs w:val="18"/>
        </w:rPr>
        <w:t>De genoemde wachttijd zal, zoals hiervoor omschreven, met name afhangen van de periode die nodig is om te komen tot een definitieve waardering. De periode die daarvoor vereist is, is moeilijk op voorhand te geven en zal sterk afhankelijk zijn van de complexiteit van de betreffende entiteit. Dat gezegd zijnde, is de huidige inschatting dat het vaststellen van de definitieve waardering en de bepaling van de juiste conversiekoers, in elk geval 6 tot 12 maanden in beslag zal nemen. Het ligt in de lijn der verwachting dat deze periode langer kan zijn naarmate de bankengroep waarvoor de waardering moet worden uitgevoerd meer omvangrijk en complex is.</w:t>
      </w:r>
    </w:p>
    <w:p w:rsidRPr="007A5099" w:rsidR="00876022" w:rsidP="00FD08DB" w:rsidRDefault="00876022" w14:paraId="20C106CB" w14:textId="77777777">
      <w:pPr>
        <w:spacing w:line="240" w:lineRule="atLeast"/>
        <w:rPr>
          <w:rFonts w:ascii="Verdana" w:hAnsi="Verdana" w:cs="Arial"/>
          <w:sz w:val="18"/>
          <w:szCs w:val="18"/>
        </w:rPr>
      </w:pPr>
    </w:p>
    <w:p w:rsidRPr="00550989" w:rsidR="00A76505" w:rsidP="00FD08DB" w:rsidRDefault="00A76505" w14:paraId="01A251C0" w14:textId="77777777">
      <w:pPr>
        <w:spacing w:line="240" w:lineRule="atLeast"/>
        <w:rPr>
          <w:rFonts w:ascii="Verdana" w:hAnsi="Verdana" w:cs="Arial"/>
          <w:i/>
          <w:iCs/>
          <w:sz w:val="18"/>
          <w:szCs w:val="18"/>
        </w:rPr>
      </w:pPr>
      <w:r w:rsidRPr="00550989">
        <w:rPr>
          <w:rFonts w:ascii="Verdana" w:hAnsi="Verdana" w:cs="Arial"/>
          <w:i/>
          <w:iCs/>
          <w:sz w:val="18"/>
          <w:szCs w:val="18"/>
        </w:rPr>
        <w:t xml:space="preserve">5. 3A:49 </w:t>
      </w:r>
      <w:proofErr w:type="spellStart"/>
      <w:r w:rsidRPr="00550989">
        <w:rPr>
          <w:rFonts w:ascii="Verdana" w:hAnsi="Verdana" w:cs="Arial"/>
          <w:i/>
          <w:iCs/>
          <w:sz w:val="18"/>
          <w:szCs w:val="18"/>
        </w:rPr>
        <w:t>Wft</w:t>
      </w:r>
      <w:proofErr w:type="spellEnd"/>
    </w:p>
    <w:p w:rsidRPr="007A5099" w:rsidR="00A76505" w:rsidP="00FD08DB" w:rsidRDefault="00A76505" w14:paraId="4B26D644" w14:textId="77777777">
      <w:pPr>
        <w:spacing w:line="240" w:lineRule="atLeast"/>
        <w:rPr>
          <w:rFonts w:ascii="Verdana" w:hAnsi="Verdana" w:cs="Arial"/>
          <w:sz w:val="18"/>
          <w:szCs w:val="18"/>
        </w:rPr>
      </w:pPr>
    </w:p>
    <w:p w:rsidRPr="007A5099" w:rsidR="00A76505" w:rsidP="00FD08DB" w:rsidRDefault="00A76505" w14:paraId="2BF6CC4B" w14:textId="52AA78F9">
      <w:pPr>
        <w:spacing w:line="240" w:lineRule="atLeast"/>
        <w:rPr>
          <w:rFonts w:ascii="Verdana" w:hAnsi="Verdana" w:cs="Arial"/>
          <w:i/>
          <w:iCs/>
          <w:sz w:val="18"/>
          <w:szCs w:val="18"/>
        </w:rPr>
      </w:pPr>
      <w:r w:rsidRPr="007A5099">
        <w:rPr>
          <w:rFonts w:ascii="Verdana" w:hAnsi="Verdana" w:cs="Arial"/>
          <w:i/>
          <w:iCs/>
          <w:sz w:val="18"/>
          <w:szCs w:val="18"/>
        </w:rPr>
        <w:t>De leden van de VVD-fractie lezen het volgende: “Het algemene afwikkelingsbeginsel dat het leidinggevend orgaan en het hoger management worden vervangen als de entiteit in afwikkeling gaat (in artikel 34, eerste lid, onderdeel c, van de</w:t>
      </w:r>
      <w:r w:rsidR="001B3F26">
        <w:rPr>
          <w:rFonts w:ascii="Verdana" w:hAnsi="Verdana" w:cs="Arial"/>
          <w:i/>
          <w:iCs/>
          <w:sz w:val="18"/>
          <w:szCs w:val="18"/>
        </w:rPr>
        <w:t xml:space="preserve"> </w:t>
      </w:r>
      <w:r w:rsidRPr="007A5099">
        <w:rPr>
          <w:rFonts w:ascii="Verdana" w:hAnsi="Verdana" w:cs="Arial"/>
          <w:i/>
          <w:iCs/>
          <w:sz w:val="18"/>
          <w:szCs w:val="18"/>
        </w:rPr>
        <w:t>BRRD26) bevat echter ook een uitzondering: namelijk indien het aanblijven van het volledige leidinggevende orgaan en het hoger management of een deel ervan, naar gelang van de omstandigheden, voor het verwezenlijken van de afwikkelingsdoelstellingen noodzakelijk wordt geacht.” Oordeelt DNB hier over de ‘noodzakelijkheid’? Zo nee, wie dan? Zo ja, hoeveel mensen binnen DNB nemen dan dit besluit? Wat gebeurt er als het besluit over de noodzakelijkheid binnen DNB verdeeld ligt? Voorts vernemen deze leden graag waar dit ‘noodzakelijkheidscriterium’ is opgenomen in de wet.</w:t>
      </w:r>
    </w:p>
    <w:p w:rsidRPr="007A5099" w:rsidR="006A5D89" w:rsidP="00FD08DB" w:rsidRDefault="006A5D89" w14:paraId="32063235" w14:textId="77777777">
      <w:pPr>
        <w:spacing w:line="240" w:lineRule="atLeast"/>
        <w:rPr>
          <w:rFonts w:ascii="Verdana" w:hAnsi="Verdana" w:cs="Arial"/>
          <w:sz w:val="18"/>
          <w:szCs w:val="18"/>
        </w:rPr>
      </w:pPr>
    </w:p>
    <w:p w:rsidR="00AA32D6" w:rsidP="00AA32D6" w:rsidRDefault="00AA32D6" w14:paraId="7E6257D3" w14:textId="45AECCD9">
      <w:pPr>
        <w:spacing w:line="240" w:lineRule="atLeast"/>
        <w:rPr>
          <w:rFonts w:ascii="Verdana" w:hAnsi="Verdana" w:cs="Arial"/>
          <w:sz w:val="18"/>
          <w:szCs w:val="18"/>
        </w:rPr>
      </w:pPr>
      <w:r>
        <w:rPr>
          <w:rFonts w:ascii="Verdana" w:hAnsi="Verdana" w:cs="Arial"/>
          <w:sz w:val="18"/>
          <w:szCs w:val="18"/>
        </w:rPr>
        <w:t>Bij het nemen van afwikkelingsmaatregelen, moet het algemene afwikkelingsbeginsel zowel door de Afwikkelingsraad (SRB)</w:t>
      </w:r>
      <w:r>
        <w:rPr>
          <w:rStyle w:val="Voetnootmarkering"/>
          <w:rFonts w:ascii="Verdana" w:hAnsi="Verdana" w:cs="Arial"/>
          <w:sz w:val="18"/>
          <w:szCs w:val="18"/>
        </w:rPr>
        <w:footnoteReference w:id="11"/>
      </w:r>
      <w:r>
        <w:rPr>
          <w:rFonts w:ascii="Verdana" w:hAnsi="Verdana" w:cs="Arial"/>
          <w:sz w:val="18"/>
          <w:szCs w:val="18"/>
        </w:rPr>
        <w:t xml:space="preserve"> als DNB worden </w:t>
      </w:r>
      <w:r>
        <w:rPr>
          <w:rFonts w:ascii="Verdana" w:hAnsi="Verdana" w:cs="Arial"/>
          <w:sz w:val="18"/>
          <w:szCs w:val="18"/>
        </w:rPr>
        <w:lastRenderedPageBreak/>
        <w:t>gerespecteerd (</w:t>
      </w:r>
      <w:proofErr w:type="gramStart"/>
      <w:r>
        <w:rPr>
          <w:rFonts w:ascii="Verdana" w:hAnsi="Verdana" w:cs="Arial"/>
          <w:sz w:val="18"/>
          <w:szCs w:val="18"/>
        </w:rPr>
        <w:t>conform</w:t>
      </w:r>
      <w:proofErr w:type="gramEnd"/>
      <w:r>
        <w:rPr>
          <w:rFonts w:ascii="Verdana" w:hAnsi="Verdana" w:cs="Arial"/>
          <w:sz w:val="18"/>
          <w:szCs w:val="18"/>
        </w:rPr>
        <w:t xml:space="preserve"> artikel 15, eerste lid, onderdeel c, SRMR respectievelijk artikel 34, eerste lid, onderdeel c, BRRD). In de gevallen waarin DNB het afwikkelingsbesluit neemt (voor niet-significante banken of beleggingsondernemingen) beoordeelt DNB of sprake is van de uitzondering zoals weergegeven in </w:t>
      </w:r>
      <w:r w:rsidRPr="2E8AED0E">
        <w:rPr>
          <w:rFonts w:ascii="Verdana" w:hAnsi="Verdana" w:cs="Arial"/>
          <w:sz w:val="18"/>
          <w:szCs w:val="18"/>
        </w:rPr>
        <w:t>artikel 15</w:t>
      </w:r>
      <w:r>
        <w:rPr>
          <w:rFonts w:ascii="Verdana" w:hAnsi="Verdana" w:cs="Arial"/>
          <w:sz w:val="18"/>
          <w:szCs w:val="18"/>
        </w:rPr>
        <w:t>, eerste lid, onderdeel c,</w:t>
      </w:r>
      <w:r w:rsidRPr="2E8AED0E">
        <w:rPr>
          <w:rFonts w:ascii="Verdana" w:hAnsi="Verdana" w:cs="Arial"/>
          <w:sz w:val="18"/>
          <w:szCs w:val="18"/>
        </w:rPr>
        <w:t xml:space="preserve"> SRMR</w:t>
      </w:r>
      <w:r>
        <w:rPr>
          <w:rFonts w:ascii="Verdana" w:hAnsi="Verdana" w:cs="Arial"/>
          <w:sz w:val="18"/>
          <w:szCs w:val="18"/>
        </w:rPr>
        <w:t xml:space="preserve"> </w:t>
      </w:r>
      <w:proofErr w:type="spellStart"/>
      <w:r>
        <w:rPr>
          <w:rFonts w:ascii="Verdana" w:hAnsi="Verdana" w:cs="Arial"/>
          <w:sz w:val="18"/>
          <w:szCs w:val="18"/>
        </w:rPr>
        <w:t>danwel</w:t>
      </w:r>
      <w:proofErr w:type="spellEnd"/>
      <w:r>
        <w:rPr>
          <w:rFonts w:ascii="Verdana" w:hAnsi="Verdana" w:cs="Arial"/>
          <w:sz w:val="18"/>
          <w:szCs w:val="18"/>
        </w:rPr>
        <w:t xml:space="preserve"> artikel 34, eerste lid</w:t>
      </w:r>
      <w:r w:rsidR="00FB2665">
        <w:rPr>
          <w:rFonts w:ascii="Verdana" w:hAnsi="Verdana" w:cs="Arial"/>
          <w:sz w:val="18"/>
          <w:szCs w:val="18"/>
        </w:rPr>
        <w:t>,</w:t>
      </w:r>
      <w:r>
        <w:rPr>
          <w:rFonts w:ascii="Verdana" w:hAnsi="Verdana" w:cs="Arial"/>
          <w:sz w:val="18"/>
          <w:szCs w:val="18"/>
        </w:rPr>
        <w:t xml:space="preserve"> BRRD.</w:t>
      </w:r>
      <w:r w:rsidR="00FB2665">
        <w:rPr>
          <w:rFonts w:ascii="Verdana" w:hAnsi="Verdana" w:cs="Arial"/>
          <w:sz w:val="18"/>
          <w:szCs w:val="18"/>
        </w:rPr>
        <w:t xml:space="preserve"> </w:t>
      </w:r>
      <w:r>
        <w:rPr>
          <w:rFonts w:ascii="Verdana" w:hAnsi="Verdana" w:cs="Arial"/>
          <w:sz w:val="18"/>
          <w:szCs w:val="18"/>
        </w:rPr>
        <w:t xml:space="preserve">In de gevallen waarin DNB een implementatiebesluit neemt als gevolg van een afwikkelingsplan van de SRB </w:t>
      </w:r>
      <w:r w:rsidR="00FB2665">
        <w:rPr>
          <w:rFonts w:ascii="Verdana" w:hAnsi="Verdana" w:cs="Arial"/>
          <w:sz w:val="18"/>
          <w:szCs w:val="18"/>
        </w:rPr>
        <w:t xml:space="preserve">na een afwikkelingsbesluit </w:t>
      </w:r>
      <w:r>
        <w:rPr>
          <w:rFonts w:ascii="Verdana" w:hAnsi="Verdana" w:cs="Arial"/>
          <w:sz w:val="18"/>
          <w:szCs w:val="18"/>
        </w:rPr>
        <w:t>(in geval van een significante bank), zal het van de instructie van de SRB afhangen welke eigen afweging DNB nog dient te maken ten aanzien van de noodzakelijkheid van het al dan niet aanblijven van</w:t>
      </w:r>
      <w:r w:rsidR="00C04A61">
        <w:rPr>
          <w:rFonts w:ascii="Verdana" w:hAnsi="Verdana" w:cs="Arial"/>
          <w:sz w:val="18"/>
          <w:szCs w:val="18"/>
        </w:rPr>
        <w:t xml:space="preserve"> (een deel van)</w:t>
      </w:r>
      <w:r>
        <w:rPr>
          <w:rFonts w:ascii="Verdana" w:hAnsi="Verdana" w:cs="Arial"/>
          <w:sz w:val="18"/>
          <w:szCs w:val="18"/>
        </w:rPr>
        <w:t xml:space="preserve"> het </w:t>
      </w:r>
      <w:r w:rsidR="00C04A61">
        <w:rPr>
          <w:rFonts w:ascii="Verdana" w:hAnsi="Verdana" w:cs="Arial"/>
          <w:sz w:val="18"/>
          <w:szCs w:val="18"/>
        </w:rPr>
        <w:t>leidinggevend orgaan en het hoger management</w:t>
      </w:r>
      <w:r>
        <w:rPr>
          <w:rFonts w:ascii="Verdana" w:hAnsi="Verdana" w:cs="Arial"/>
          <w:sz w:val="18"/>
          <w:szCs w:val="18"/>
        </w:rPr>
        <w:t xml:space="preserve">. </w:t>
      </w:r>
    </w:p>
    <w:p w:rsidRPr="007A5099" w:rsidR="00AA32D6" w:rsidP="00AA32D6" w:rsidRDefault="00AA32D6" w14:paraId="1DD03F40" w14:textId="77777777">
      <w:pPr>
        <w:spacing w:line="240" w:lineRule="atLeast"/>
        <w:rPr>
          <w:rFonts w:ascii="Verdana" w:hAnsi="Verdana" w:cs="Arial"/>
          <w:sz w:val="18"/>
          <w:szCs w:val="18"/>
        </w:rPr>
      </w:pPr>
    </w:p>
    <w:p w:rsidR="00AA32D6" w:rsidP="00AA32D6" w:rsidRDefault="00AA32D6" w14:paraId="59174EFE" w14:textId="5B9F33E7">
      <w:pPr>
        <w:spacing w:line="240" w:lineRule="atLeast"/>
        <w:rPr>
          <w:rFonts w:ascii="Verdana" w:hAnsi="Verdana" w:cs="Arial"/>
          <w:sz w:val="18"/>
          <w:szCs w:val="18"/>
        </w:rPr>
      </w:pPr>
      <w:r w:rsidRPr="007A5099">
        <w:rPr>
          <w:rFonts w:ascii="Verdana" w:hAnsi="Verdana" w:cs="Arial"/>
          <w:sz w:val="18"/>
          <w:szCs w:val="18"/>
        </w:rPr>
        <w:t>Binnen DNB</w:t>
      </w:r>
      <w:r>
        <w:rPr>
          <w:rFonts w:ascii="Verdana" w:hAnsi="Verdana" w:cs="Arial"/>
          <w:sz w:val="18"/>
          <w:szCs w:val="18"/>
        </w:rPr>
        <w:t xml:space="preserve"> worden besluiten rondom afwikkeling voorgelegd aan de directie van DNB. </w:t>
      </w:r>
      <w:r w:rsidR="001B3F26">
        <w:rPr>
          <w:rFonts w:ascii="Verdana" w:hAnsi="Verdana" w:cs="Arial"/>
          <w:sz w:val="18"/>
          <w:szCs w:val="18"/>
        </w:rPr>
        <w:t xml:space="preserve">De </w:t>
      </w:r>
      <w:r w:rsidRPr="007A5099">
        <w:rPr>
          <w:rFonts w:ascii="Verdana" w:hAnsi="Verdana" w:cs="Arial"/>
          <w:sz w:val="18"/>
          <w:szCs w:val="18"/>
        </w:rPr>
        <w:t>Artikel</w:t>
      </w:r>
      <w:r w:rsidR="001B3F26">
        <w:rPr>
          <w:rFonts w:ascii="Verdana" w:hAnsi="Verdana" w:cs="Arial"/>
          <w:sz w:val="18"/>
          <w:szCs w:val="18"/>
        </w:rPr>
        <w:t>en</w:t>
      </w:r>
      <w:r w:rsidRPr="007A5099">
        <w:rPr>
          <w:rFonts w:ascii="Verdana" w:hAnsi="Verdana" w:cs="Arial"/>
          <w:sz w:val="18"/>
          <w:szCs w:val="18"/>
        </w:rPr>
        <w:t xml:space="preserve"> 12b en 12c Bankwet 1998 geven invulling aan de besluitvorming </w:t>
      </w:r>
      <w:proofErr w:type="gramStart"/>
      <w:r w:rsidRPr="007A5099">
        <w:rPr>
          <w:rFonts w:ascii="Verdana" w:hAnsi="Verdana" w:cs="Arial"/>
          <w:sz w:val="18"/>
          <w:szCs w:val="18"/>
        </w:rPr>
        <w:t>omtrent</w:t>
      </w:r>
      <w:proofErr w:type="gramEnd"/>
      <w:r w:rsidRPr="007A5099">
        <w:rPr>
          <w:rFonts w:ascii="Verdana" w:hAnsi="Verdana" w:cs="Arial"/>
          <w:sz w:val="18"/>
          <w:szCs w:val="18"/>
        </w:rPr>
        <w:t xml:space="preserve"> afwikkeling op het niveau van de directie van DNB. Hierbij is het zo dat </w:t>
      </w:r>
      <w:r>
        <w:rPr>
          <w:rFonts w:ascii="Verdana" w:hAnsi="Verdana" w:cs="Arial"/>
          <w:sz w:val="18"/>
          <w:szCs w:val="18"/>
        </w:rPr>
        <w:t xml:space="preserve">de directeur belast met de uitvoering van de afwikkelingstaak evenveel stemmen als de andere directieleden tezamen heeft bij besluiten die zien op afwikkeling, en bij eventuele staking van de stemming de doorslag kan geven. </w:t>
      </w:r>
    </w:p>
    <w:p w:rsidRPr="007A5099" w:rsidR="00A76505" w:rsidP="00FD08DB" w:rsidRDefault="00A76505" w14:paraId="3608132B" w14:textId="77777777">
      <w:pPr>
        <w:spacing w:line="240" w:lineRule="atLeast"/>
        <w:rPr>
          <w:rFonts w:ascii="Verdana" w:hAnsi="Verdana" w:cs="Arial"/>
          <w:sz w:val="18"/>
          <w:szCs w:val="18"/>
        </w:rPr>
      </w:pPr>
    </w:p>
    <w:p w:rsidRPr="007A5099" w:rsidR="006A5D89" w:rsidP="00FD08DB" w:rsidRDefault="00A76505" w14:paraId="21A4B418" w14:textId="77777777">
      <w:pPr>
        <w:spacing w:line="240" w:lineRule="atLeast"/>
        <w:rPr>
          <w:rFonts w:ascii="Verdana" w:hAnsi="Verdana" w:cs="Arial"/>
          <w:i/>
          <w:iCs/>
          <w:sz w:val="18"/>
          <w:szCs w:val="18"/>
        </w:rPr>
      </w:pPr>
      <w:r w:rsidRPr="007A5099">
        <w:rPr>
          <w:rFonts w:ascii="Verdana" w:hAnsi="Verdana" w:cs="Arial"/>
          <w:i/>
          <w:iCs/>
          <w:sz w:val="18"/>
          <w:szCs w:val="18"/>
        </w:rPr>
        <w:t xml:space="preserve">De leden van de VVD-fractie lezen daarnaast: “Art. 3A:49, zesde lid, onderdeel b, </w:t>
      </w:r>
      <w:proofErr w:type="spellStart"/>
      <w:r w:rsidRPr="007A5099">
        <w:rPr>
          <w:rFonts w:ascii="Verdana" w:hAnsi="Verdana" w:cs="Arial"/>
          <w:i/>
          <w:iCs/>
          <w:sz w:val="18"/>
          <w:szCs w:val="18"/>
        </w:rPr>
        <w:t>Wft</w:t>
      </w:r>
      <w:proofErr w:type="spellEnd"/>
      <w:r w:rsidRPr="007A5099">
        <w:rPr>
          <w:rFonts w:ascii="Verdana" w:hAnsi="Verdana" w:cs="Arial"/>
          <w:i/>
          <w:iCs/>
          <w:sz w:val="18"/>
          <w:szCs w:val="18"/>
        </w:rPr>
        <w:t xml:space="preserve"> bepaalt dat de (aangebleven) bestuurders en commissarissen hoofdelijk aansprakelijk zijn tegenover de entiteit in afwikkeling als zij in strijd handelen met het besluit tot het aanstellen van de bijzonder bestuurder of de besluiten van de bijzonder bestuurder die daarmee verband houden en uit dat handelen schade voortkomt, tenzij het verrichten van de betreffende handeling niet aan de (achterblijvende) bestuurder of commissaris is te wijten en deze bestuurder of commissaris niet nalatig is geweest in het treffen van maatregelen om de gevolgen daarvan af te wenden.” Graag vernemen deze leden wat de consequentie is van deze hoofdelijke aansprakelijkheid. Is dat een boete?</w:t>
      </w:r>
    </w:p>
    <w:p w:rsidRPr="007A5099" w:rsidR="006A5D89" w:rsidP="00FD08DB" w:rsidRDefault="006A5D89" w14:paraId="2F6E06EF" w14:textId="77777777">
      <w:pPr>
        <w:spacing w:line="240" w:lineRule="atLeast"/>
        <w:rPr>
          <w:rFonts w:ascii="Verdana" w:hAnsi="Verdana" w:cs="Arial"/>
          <w:i/>
          <w:iCs/>
          <w:sz w:val="18"/>
          <w:szCs w:val="18"/>
        </w:rPr>
      </w:pPr>
    </w:p>
    <w:p w:rsidRPr="008D78D8" w:rsidR="00FB2665" w:rsidP="00FB2665" w:rsidRDefault="00FB2665" w14:paraId="5A6A5974" w14:textId="681572A8">
      <w:pPr>
        <w:spacing w:line="240" w:lineRule="atLeast"/>
        <w:rPr>
          <w:rFonts w:ascii="Verdana" w:hAnsi="Verdana" w:cs="Arial"/>
          <w:sz w:val="18"/>
          <w:szCs w:val="18"/>
        </w:rPr>
      </w:pPr>
      <w:r>
        <w:rPr>
          <w:rFonts w:ascii="Verdana" w:hAnsi="Verdana" w:cs="Arial"/>
          <w:sz w:val="18"/>
          <w:szCs w:val="18"/>
        </w:rPr>
        <w:t>De hoofdelijke aansprakelijkheid betreft geen boete</w:t>
      </w:r>
      <w:r w:rsidRPr="008D78D8">
        <w:rPr>
          <w:rFonts w:ascii="Verdana" w:hAnsi="Verdana" w:cs="Arial"/>
          <w:sz w:val="18"/>
          <w:szCs w:val="18"/>
        </w:rPr>
        <w:t>. Dit houdt civielrechtelijke aansprakelijkheid in</w:t>
      </w:r>
      <w:r>
        <w:rPr>
          <w:rFonts w:ascii="Verdana" w:hAnsi="Verdana" w:cs="Arial"/>
          <w:sz w:val="18"/>
          <w:szCs w:val="18"/>
        </w:rPr>
        <w:t>,</w:t>
      </w:r>
      <w:r w:rsidRPr="008D78D8">
        <w:rPr>
          <w:rFonts w:ascii="Verdana" w:hAnsi="Verdana" w:cs="Arial"/>
          <w:sz w:val="18"/>
          <w:szCs w:val="18"/>
        </w:rPr>
        <w:t xml:space="preserve"> waarbij degene</w:t>
      </w:r>
      <w:r>
        <w:rPr>
          <w:rFonts w:ascii="Verdana" w:hAnsi="Verdana" w:cs="Arial"/>
          <w:sz w:val="18"/>
          <w:szCs w:val="18"/>
        </w:rPr>
        <w:t>n</w:t>
      </w:r>
      <w:r w:rsidRPr="008D78D8">
        <w:rPr>
          <w:rFonts w:ascii="Verdana" w:hAnsi="Verdana" w:cs="Arial"/>
          <w:sz w:val="18"/>
          <w:szCs w:val="18"/>
        </w:rPr>
        <w:t xml:space="preserve"> op wie de hoofdelijkheid rust tegenover degene die de schade heeft geleden allemaal aansprakelijk zijn voor de vergoeding van deze schade (</w:t>
      </w:r>
      <w:r w:rsidR="001B3F26">
        <w:rPr>
          <w:rFonts w:ascii="Verdana" w:hAnsi="Verdana" w:cs="Arial"/>
          <w:sz w:val="18"/>
          <w:szCs w:val="18"/>
        </w:rPr>
        <w:t xml:space="preserve">artikel </w:t>
      </w:r>
      <w:r w:rsidRPr="008D78D8">
        <w:rPr>
          <w:rFonts w:ascii="Verdana" w:hAnsi="Verdana" w:cs="Arial"/>
          <w:sz w:val="18"/>
          <w:szCs w:val="18"/>
        </w:rPr>
        <w:t>6:7</w:t>
      </w:r>
      <w:r>
        <w:rPr>
          <w:rFonts w:ascii="Verdana" w:hAnsi="Verdana" w:cs="Arial"/>
          <w:sz w:val="18"/>
          <w:szCs w:val="18"/>
        </w:rPr>
        <w:t>, eerste lid, van het Burgerlijk Wetboek</w:t>
      </w:r>
      <w:r w:rsidR="00C26137">
        <w:rPr>
          <w:rFonts w:ascii="Verdana" w:hAnsi="Verdana" w:cs="Arial"/>
          <w:sz w:val="18"/>
          <w:szCs w:val="18"/>
        </w:rPr>
        <w:t xml:space="preserve"> (BW)</w:t>
      </w:r>
      <w:r>
        <w:rPr>
          <w:rFonts w:ascii="Verdana" w:hAnsi="Verdana" w:cs="Arial"/>
          <w:sz w:val="18"/>
          <w:szCs w:val="18"/>
        </w:rPr>
        <w:t>)</w:t>
      </w:r>
      <w:r w:rsidRPr="008D78D8">
        <w:rPr>
          <w:rFonts w:ascii="Verdana" w:hAnsi="Verdana" w:cs="Arial"/>
          <w:sz w:val="18"/>
          <w:szCs w:val="18"/>
        </w:rPr>
        <w:t>. Er is dan sprake van een gezamenlijke schuld van de hoofdelijke schuldenaren waarvoor ieder van de bestuurders afzonderlijk aansprakelijk is. Binnen het vennootschapsrecht geldt dergelijke hoofdelijke aansprakelijkheid van individuele bestuurders in geval van onbehoorlijke taakvervulling door het bestuur (</w:t>
      </w:r>
      <w:r>
        <w:rPr>
          <w:rFonts w:ascii="Verdana" w:hAnsi="Verdana" w:cs="Arial"/>
          <w:sz w:val="18"/>
          <w:szCs w:val="18"/>
        </w:rPr>
        <w:t xml:space="preserve">artikel </w:t>
      </w:r>
      <w:r w:rsidRPr="008D78D8">
        <w:rPr>
          <w:rFonts w:ascii="Verdana" w:hAnsi="Verdana" w:cs="Arial"/>
          <w:sz w:val="18"/>
          <w:szCs w:val="18"/>
        </w:rPr>
        <w:t xml:space="preserve">2:9 BW). Het handelen van het bestuur en Raad van Commissarissen in strijd met het besluit tot aanstelling kan als zodanig worden beschouwd. Zoals toegelicht bij de beantwoording van consultatiereacties van De </w:t>
      </w:r>
      <w:proofErr w:type="spellStart"/>
      <w:r w:rsidRPr="008D78D8">
        <w:rPr>
          <w:rFonts w:ascii="Verdana" w:hAnsi="Verdana" w:cs="Arial"/>
          <w:sz w:val="18"/>
          <w:szCs w:val="18"/>
        </w:rPr>
        <w:t>Brauw</w:t>
      </w:r>
      <w:proofErr w:type="spellEnd"/>
      <w:r w:rsidRPr="008D78D8">
        <w:rPr>
          <w:rFonts w:ascii="Verdana" w:hAnsi="Verdana" w:cs="Arial"/>
          <w:sz w:val="18"/>
          <w:szCs w:val="18"/>
        </w:rPr>
        <w:t xml:space="preserve"> en de </w:t>
      </w:r>
      <w:r>
        <w:rPr>
          <w:rFonts w:ascii="Verdana" w:hAnsi="Verdana" w:cs="Arial"/>
          <w:sz w:val="18"/>
          <w:szCs w:val="18"/>
        </w:rPr>
        <w:t>Jonge Insolventierecht Advocaten in de memorie van toelichting</w:t>
      </w:r>
      <w:r w:rsidRPr="008D78D8">
        <w:rPr>
          <w:rFonts w:ascii="Verdana" w:hAnsi="Verdana" w:cs="Arial"/>
          <w:sz w:val="18"/>
          <w:szCs w:val="18"/>
        </w:rPr>
        <w:t xml:space="preserve"> zouden bestuurders of commissarissen zich echter kunnen disculperen als zij aantonen dat het verrichten van </w:t>
      </w:r>
      <w:r>
        <w:rPr>
          <w:rFonts w:ascii="Verdana" w:hAnsi="Verdana" w:cs="Arial"/>
          <w:sz w:val="18"/>
          <w:szCs w:val="18"/>
        </w:rPr>
        <w:t>het</w:t>
      </w:r>
      <w:r w:rsidRPr="008D78D8">
        <w:rPr>
          <w:rFonts w:ascii="Verdana" w:hAnsi="Verdana" w:cs="Arial"/>
          <w:sz w:val="18"/>
          <w:szCs w:val="18"/>
        </w:rPr>
        <w:t xml:space="preserve"> schadeveroorzakende handelen niet aan de</w:t>
      </w:r>
      <w:r w:rsidR="00C04A61">
        <w:rPr>
          <w:rFonts w:ascii="Verdana" w:hAnsi="Verdana" w:cs="Arial"/>
          <w:sz w:val="18"/>
          <w:szCs w:val="18"/>
        </w:rPr>
        <w:t xml:space="preserve"> betreffende</w:t>
      </w:r>
      <w:r w:rsidRPr="008D78D8">
        <w:rPr>
          <w:rFonts w:ascii="Verdana" w:hAnsi="Verdana" w:cs="Arial"/>
          <w:sz w:val="18"/>
          <w:szCs w:val="18"/>
        </w:rPr>
        <w:t xml:space="preserve"> bestuurder of commissaris te wijten was en deze niet nalatig is geweest in het treffen van maatregelen om de gevolgen daarvan af te wenden. </w:t>
      </w:r>
    </w:p>
    <w:p w:rsidRPr="008D78D8" w:rsidR="00FB2665" w:rsidP="00FB2665" w:rsidRDefault="00FB2665" w14:paraId="3CF6A1B0" w14:textId="77777777">
      <w:pPr>
        <w:spacing w:line="240" w:lineRule="atLeast"/>
        <w:rPr>
          <w:rFonts w:ascii="Verdana" w:hAnsi="Verdana" w:cs="Arial"/>
          <w:sz w:val="18"/>
          <w:szCs w:val="18"/>
        </w:rPr>
      </w:pPr>
    </w:p>
    <w:p w:rsidR="00D07727" w:rsidRDefault="00D07727" w14:paraId="099E0BD7" w14:textId="77777777">
      <w:pPr>
        <w:rPr>
          <w:rFonts w:ascii="Verdana" w:hAnsi="Verdana" w:cs="Arial"/>
          <w:sz w:val="18"/>
          <w:szCs w:val="18"/>
        </w:rPr>
      </w:pPr>
      <w:r>
        <w:rPr>
          <w:rFonts w:ascii="Verdana" w:hAnsi="Verdana" w:cs="Arial"/>
          <w:sz w:val="18"/>
          <w:szCs w:val="18"/>
        </w:rPr>
        <w:br w:type="page"/>
      </w:r>
    </w:p>
    <w:p w:rsidRPr="008D78D8" w:rsidR="00FB2665" w:rsidP="00FB2665" w:rsidRDefault="00FB2665" w14:paraId="5CA5C204" w14:textId="4584903B">
      <w:pPr>
        <w:spacing w:line="240" w:lineRule="atLeast"/>
        <w:rPr>
          <w:rFonts w:ascii="Verdana" w:hAnsi="Verdana" w:cs="Arial"/>
          <w:sz w:val="18"/>
          <w:szCs w:val="18"/>
        </w:rPr>
      </w:pPr>
      <w:r w:rsidRPr="008D78D8">
        <w:rPr>
          <w:rFonts w:ascii="Verdana" w:hAnsi="Verdana" w:cs="Arial"/>
          <w:sz w:val="18"/>
          <w:szCs w:val="18"/>
        </w:rPr>
        <w:lastRenderedPageBreak/>
        <w:t xml:space="preserve">Ten overvloede wordt erop gewezen dat met deze wijziging geen inhoudelijke wijziging wordt beoogd ten aanzien van de regeling die was neergelegd in artikel 1:76 </w:t>
      </w:r>
      <w:proofErr w:type="spellStart"/>
      <w:r w:rsidRPr="008D78D8">
        <w:rPr>
          <w:rFonts w:ascii="Verdana" w:hAnsi="Verdana" w:cs="Arial"/>
          <w:sz w:val="18"/>
          <w:szCs w:val="18"/>
        </w:rPr>
        <w:t>Wft</w:t>
      </w:r>
      <w:proofErr w:type="spellEnd"/>
      <w:r>
        <w:rPr>
          <w:rFonts w:ascii="Verdana" w:hAnsi="Verdana" w:cs="Arial"/>
          <w:sz w:val="18"/>
          <w:szCs w:val="18"/>
        </w:rPr>
        <w:t xml:space="preserve"> en waar artikel 3A:49 </w:t>
      </w:r>
      <w:proofErr w:type="spellStart"/>
      <w:r>
        <w:rPr>
          <w:rFonts w:ascii="Verdana" w:hAnsi="Verdana" w:cs="Arial"/>
          <w:sz w:val="18"/>
          <w:szCs w:val="18"/>
        </w:rPr>
        <w:t>Wft</w:t>
      </w:r>
      <w:proofErr w:type="spellEnd"/>
      <w:r>
        <w:rPr>
          <w:rFonts w:ascii="Verdana" w:hAnsi="Verdana" w:cs="Arial"/>
          <w:sz w:val="18"/>
          <w:szCs w:val="18"/>
        </w:rPr>
        <w:t xml:space="preserve"> voorheen naar terugverwees</w:t>
      </w:r>
      <w:r w:rsidRPr="008D78D8">
        <w:rPr>
          <w:rFonts w:ascii="Verdana" w:hAnsi="Verdana" w:cs="Arial"/>
          <w:sz w:val="18"/>
          <w:szCs w:val="18"/>
        </w:rPr>
        <w:t>. De wijziging beoogt de relevante bepalingen met betrekking tot de positie van de bijzonder bestuurder in 1 artikel onder te brengen</w:t>
      </w:r>
      <w:r>
        <w:rPr>
          <w:rFonts w:ascii="Verdana" w:hAnsi="Verdana" w:cs="Arial"/>
          <w:sz w:val="18"/>
          <w:szCs w:val="18"/>
        </w:rPr>
        <w:t xml:space="preserve"> zonder kruisverwijzingen naar eerdere artikelen</w:t>
      </w:r>
      <w:r w:rsidRPr="008D78D8">
        <w:rPr>
          <w:rFonts w:ascii="Verdana" w:hAnsi="Verdana" w:cs="Arial"/>
          <w:sz w:val="18"/>
          <w:szCs w:val="18"/>
        </w:rPr>
        <w:t>.</w:t>
      </w:r>
    </w:p>
    <w:p w:rsidR="00A76505" w:rsidP="00FD08DB" w:rsidRDefault="00A76505" w14:paraId="5BEA35E3" w14:textId="0F38F9DF">
      <w:pPr>
        <w:spacing w:line="240" w:lineRule="atLeast"/>
        <w:rPr>
          <w:rFonts w:ascii="Verdana" w:hAnsi="Verdana" w:cs="Arial"/>
          <w:i/>
          <w:iCs/>
          <w:sz w:val="18"/>
          <w:szCs w:val="18"/>
        </w:rPr>
      </w:pPr>
    </w:p>
    <w:p w:rsidRPr="007A5099" w:rsidR="00D07727" w:rsidP="00FD08DB" w:rsidRDefault="00D07727" w14:paraId="1CFC1E8F" w14:textId="77777777">
      <w:pPr>
        <w:spacing w:line="240" w:lineRule="atLeast"/>
        <w:rPr>
          <w:rFonts w:ascii="Verdana" w:hAnsi="Verdana" w:cs="Arial"/>
          <w:i/>
          <w:iCs/>
          <w:sz w:val="18"/>
          <w:szCs w:val="18"/>
        </w:rPr>
      </w:pPr>
    </w:p>
    <w:p w:rsidR="00A30F6E" w:rsidP="00FD08DB" w:rsidRDefault="00EE0056" w14:paraId="0CABEE68" w14:textId="7ABDBC35">
      <w:pPr>
        <w:widowControl w:val="0"/>
        <w:tabs>
          <w:tab w:val="num" w:pos="720"/>
        </w:tabs>
        <w:spacing w:line="240" w:lineRule="atLeast"/>
        <w:rPr>
          <w:rFonts w:ascii="Verdana" w:hAnsi="Verdana" w:cs="Arial"/>
          <w:sz w:val="18"/>
          <w:szCs w:val="18"/>
        </w:rPr>
      </w:pPr>
      <w:r w:rsidRPr="007A5099">
        <w:rPr>
          <w:rFonts w:ascii="Verdana" w:hAnsi="Verdana" w:cs="Arial"/>
          <w:sz w:val="18"/>
          <w:szCs w:val="18"/>
        </w:rPr>
        <w:t>De Minister van Financiën,</w:t>
      </w:r>
    </w:p>
    <w:p w:rsidR="00C04A61" w:rsidP="00FD08DB" w:rsidRDefault="00C04A61" w14:paraId="3E692D0E" w14:textId="77777777">
      <w:pPr>
        <w:widowControl w:val="0"/>
        <w:tabs>
          <w:tab w:val="num" w:pos="720"/>
        </w:tabs>
        <w:spacing w:line="240" w:lineRule="atLeast"/>
        <w:rPr>
          <w:rFonts w:ascii="Verdana" w:hAnsi="Verdana" w:cs="Arial"/>
          <w:sz w:val="18"/>
          <w:szCs w:val="18"/>
        </w:rPr>
      </w:pPr>
    </w:p>
    <w:p w:rsidR="00C04A61" w:rsidP="00FD08DB" w:rsidRDefault="00C04A61" w14:paraId="6220CBB7" w14:textId="77777777">
      <w:pPr>
        <w:widowControl w:val="0"/>
        <w:tabs>
          <w:tab w:val="num" w:pos="720"/>
        </w:tabs>
        <w:spacing w:line="240" w:lineRule="atLeast"/>
        <w:rPr>
          <w:rFonts w:ascii="Verdana" w:hAnsi="Verdana" w:cs="Arial"/>
          <w:sz w:val="18"/>
          <w:szCs w:val="18"/>
        </w:rPr>
      </w:pPr>
    </w:p>
    <w:p w:rsidR="00C04A61" w:rsidP="00FD08DB" w:rsidRDefault="00C04A61" w14:paraId="2C6ECD6D" w14:textId="77777777">
      <w:pPr>
        <w:widowControl w:val="0"/>
        <w:tabs>
          <w:tab w:val="num" w:pos="720"/>
        </w:tabs>
        <w:spacing w:line="240" w:lineRule="atLeast"/>
        <w:rPr>
          <w:rFonts w:ascii="Verdana" w:hAnsi="Verdana" w:cs="Arial"/>
          <w:sz w:val="18"/>
          <w:szCs w:val="18"/>
        </w:rPr>
      </w:pPr>
    </w:p>
    <w:p w:rsidR="00C04A61" w:rsidP="00FD08DB" w:rsidRDefault="00C04A61" w14:paraId="687A96DD" w14:textId="77777777">
      <w:pPr>
        <w:widowControl w:val="0"/>
        <w:tabs>
          <w:tab w:val="num" w:pos="720"/>
        </w:tabs>
        <w:spacing w:line="240" w:lineRule="atLeast"/>
        <w:rPr>
          <w:rFonts w:ascii="Verdana" w:hAnsi="Verdana" w:cs="Arial"/>
          <w:sz w:val="18"/>
          <w:szCs w:val="18"/>
        </w:rPr>
      </w:pPr>
    </w:p>
    <w:p w:rsidR="00D07727" w:rsidP="00FD08DB" w:rsidRDefault="00D07727" w14:paraId="5179649E" w14:textId="77777777">
      <w:pPr>
        <w:widowControl w:val="0"/>
        <w:tabs>
          <w:tab w:val="num" w:pos="720"/>
        </w:tabs>
        <w:spacing w:line="240" w:lineRule="atLeast"/>
        <w:rPr>
          <w:rFonts w:ascii="Verdana" w:hAnsi="Verdana" w:cs="Arial"/>
          <w:sz w:val="18"/>
          <w:szCs w:val="18"/>
        </w:rPr>
      </w:pPr>
    </w:p>
    <w:p w:rsidRPr="007A5099" w:rsidR="00C04A61" w:rsidP="00FD08DB" w:rsidRDefault="00C04A61" w14:paraId="4407D377" w14:textId="574533DA">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7A5099" w:rsidR="00C04A61"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17DECE4C" w14:textId="3F052DD8" w:rsidR="00784B49" w:rsidRPr="001B3F26" w:rsidRDefault="00784B49">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w:t>
      </w:r>
      <w:proofErr w:type="gramStart"/>
      <w:r w:rsidRPr="001B3F26">
        <w:rPr>
          <w:rFonts w:ascii="Verdana" w:hAnsi="Verdana"/>
          <w:sz w:val="14"/>
          <w:szCs w:val="14"/>
        </w:rPr>
        <w:t>Indien</w:t>
      </w:r>
      <w:proofErr w:type="gramEnd"/>
      <w:r w:rsidRPr="001B3F26">
        <w:rPr>
          <w:rFonts w:ascii="Verdana" w:hAnsi="Verdana"/>
          <w:sz w:val="14"/>
          <w:szCs w:val="14"/>
        </w:rPr>
        <w:t xml:space="preserve"> hierna BRRD gebruikt wordt zonder Romeinse I of II wordt bedoeld de geconsolideerde versie van de richtlijn.</w:t>
      </w:r>
    </w:p>
  </w:footnote>
  <w:footnote w:id="2">
    <w:p w14:paraId="5B1A48D9" w14:textId="133D345B" w:rsidR="00226D42" w:rsidRPr="001B3F26" w:rsidRDefault="00226D42">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Op grond van de Wet bekostiging financieel toezicht 2019 en het Besluit bekostiging financieel toezicht 2019, bijlage </w:t>
      </w:r>
      <w:r w:rsidR="00C10775" w:rsidRPr="001B3F26">
        <w:rPr>
          <w:rFonts w:ascii="Verdana" w:hAnsi="Verdana"/>
          <w:sz w:val="14"/>
          <w:szCs w:val="14"/>
        </w:rPr>
        <w:t>2, onderdeel 6</w:t>
      </w:r>
      <w:r w:rsidRPr="001B3F26">
        <w:rPr>
          <w:rFonts w:ascii="Verdana" w:hAnsi="Verdana"/>
          <w:sz w:val="14"/>
          <w:szCs w:val="14"/>
        </w:rPr>
        <w:t>.</w:t>
      </w:r>
    </w:p>
  </w:footnote>
  <w:footnote w:id="3">
    <w:p w14:paraId="3B62D242" w14:textId="619D9267" w:rsidR="00A76505" w:rsidRPr="001B3F26" w:rsidRDefault="00A76505">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Richtsnoeren </w:t>
      </w:r>
      <w:proofErr w:type="gramStart"/>
      <w:r w:rsidRPr="001B3F26">
        <w:rPr>
          <w:rFonts w:ascii="Verdana" w:hAnsi="Verdana"/>
          <w:sz w:val="14"/>
          <w:szCs w:val="14"/>
        </w:rPr>
        <w:t>inzake</w:t>
      </w:r>
      <w:proofErr w:type="gramEnd"/>
      <w:r w:rsidRPr="001B3F26">
        <w:rPr>
          <w:rFonts w:ascii="Verdana" w:hAnsi="Verdana"/>
          <w:sz w:val="14"/>
          <w:szCs w:val="14"/>
        </w:rPr>
        <w:t xml:space="preserve"> de uitlegging van de verschillende omstandigheden waaronder een instelling beschouwd wordt als een instelling die faalt of waarschijnlijk gaat falen, overeenkomstig artikel 32, lid 6, van Richtlijn 2014/59/EU, EBA/GL/2015/07. </w:t>
      </w:r>
    </w:p>
  </w:footnote>
  <w:footnote w:id="4">
    <w:p w14:paraId="7B750F6F" w14:textId="5DEFFA22" w:rsidR="001B3F26" w:rsidRPr="001B3F26" w:rsidRDefault="001B3F26">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De verordening gemeenschappelijk afwikkelingsmechanisme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5">
    <w:p w14:paraId="6C5F95E5" w14:textId="1DF14B75" w:rsidR="001B3F26" w:rsidRPr="001B3F26" w:rsidRDefault="001B3F26">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De richtlijn depositogarantiestelsels (Richtlijn 2014/49/EU van het Europees Parlement en de Raad van 16 april 2014 </w:t>
      </w:r>
      <w:proofErr w:type="gramStart"/>
      <w:r w:rsidRPr="001B3F26">
        <w:rPr>
          <w:rFonts w:ascii="Verdana" w:hAnsi="Verdana"/>
          <w:sz w:val="14"/>
          <w:szCs w:val="14"/>
        </w:rPr>
        <w:t>inzake</w:t>
      </w:r>
      <w:proofErr w:type="gramEnd"/>
      <w:r w:rsidRPr="001B3F26">
        <w:rPr>
          <w:rFonts w:ascii="Verdana" w:hAnsi="Verdana"/>
          <w:sz w:val="14"/>
          <w:szCs w:val="14"/>
        </w:rPr>
        <w:t xml:space="preserve"> de depositogarantiestelsels).</w:t>
      </w:r>
    </w:p>
  </w:footnote>
  <w:footnote w:id="6">
    <w:p w14:paraId="4CA51908" w14:textId="70A3C7AE" w:rsidR="00876022" w:rsidRPr="001B3F26" w:rsidRDefault="00876022">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Open-bank </w:t>
      </w:r>
      <w:proofErr w:type="spellStart"/>
      <w:r w:rsidRPr="001B3F26">
        <w:rPr>
          <w:rFonts w:ascii="Verdana" w:hAnsi="Verdana"/>
          <w:sz w:val="14"/>
          <w:szCs w:val="14"/>
        </w:rPr>
        <w:t>bail</w:t>
      </w:r>
      <w:proofErr w:type="spellEnd"/>
      <w:r w:rsidRPr="001B3F26">
        <w:rPr>
          <w:rFonts w:ascii="Verdana" w:hAnsi="Verdana"/>
          <w:sz w:val="14"/>
          <w:szCs w:val="14"/>
        </w:rPr>
        <w:t xml:space="preserve">-in houdt in dat er een herkapitalisatie van de entiteit in afwikkeling plaatsvindt, terwijl een </w:t>
      </w:r>
      <w:proofErr w:type="spellStart"/>
      <w:r w:rsidRPr="001B3F26">
        <w:rPr>
          <w:rFonts w:ascii="Verdana" w:hAnsi="Verdana"/>
          <w:sz w:val="14"/>
          <w:szCs w:val="14"/>
        </w:rPr>
        <w:t>closed</w:t>
      </w:r>
      <w:proofErr w:type="spellEnd"/>
      <w:r w:rsidRPr="001B3F26">
        <w:rPr>
          <w:rFonts w:ascii="Verdana" w:hAnsi="Verdana"/>
          <w:sz w:val="14"/>
          <w:szCs w:val="14"/>
        </w:rPr>
        <w:t xml:space="preserve">-bank </w:t>
      </w:r>
      <w:proofErr w:type="spellStart"/>
      <w:r w:rsidRPr="001B3F26">
        <w:rPr>
          <w:rFonts w:ascii="Verdana" w:hAnsi="Verdana"/>
          <w:sz w:val="14"/>
          <w:szCs w:val="14"/>
        </w:rPr>
        <w:t>bail</w:t>
      </w:r>
      <w:proofErr w:type="spellEnd"/>
      <w:r w:rsidRPr="001B3F26">
        <w:rPr>
          <w:rFonts w:ascii="Verdana" w:hAnsi="Verdana"/>
          <w:sz w:val="14"/>
          <w:szCs w:val="14"/>
        </w:rPr>
        <w:t>-in inhoudt dat een nieuw opgerichte entiteit (of bruginstelling) die de activa en passiva van de entiteit in afwikkeling overneemt wordt gekapitaliseerd.</w:t>
      </w:r>
    </w:p>
  </w:footnote>
  <w:footnote w:id="7">
    <w:p w14:paraId="312D6A07" w14:textId="77777777" w:rsidR="00876022" w:rsidRPr="001B3F26" w:rsidRDefault="00876022" w:rsidP="00876022">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w:t>
      </w:r>
      <w:proofErr w:type="gramStart"/>
      <w:r w:rsidRPr="001B3F26">
        <w:rPr>
          <w:rFonts w:ascii="Verdana" w:hAnsi="Verdana"/>
          <w:sz w:val="14"/>
          <w:szCs w:val="14"/>
        </w:rPr>
        <w:t>https://www.fsb.org/uploads/P250424-3.pdf</w:t>
      </w:r>
      <w:proofErr w:type="gramEnd"/>
    </w:p>
  </w:footnote>
  <w:footnote w:id="8">
    <w:p w14:paraId="36495966" w14:textId="127812A9" w:rsidR="00876022" w:rsidRPr="001B3F26" w:rsidRDefault="00876022" w:rsidP="00876022">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De FSB is een internationale organisatie die aanbevelingen doet voor het globale financiële systeem. Er zijn 71 leden aangesloten, veelal landen uit de G20, </w:t>
      </w:r>
      <w:proofErr w:type="gramStart"/>
      <w:r w:rsidRPr="001B3F26">
        <w:rPr>
          <w:rFonts w:ascii="Verdana" w:hAnsi="Verdana"/>
          <w:sz w:val="14"/>
          <w:szCs w:val="14"/>
        </w:rPr>
        <w:t>alsmede</w:t>
      </w:r>
      <w:proofErr w:type="gramEnd"/>
      <w:r w:rsidRPr="001B3F26">
        <w:rPr>
          <w:rFonts w:ascii="Verdana" w:hAnsi="Verdana"/>
          <w:sz w:val="14"/>
          <w:szCs w:val="14"/>
        </w:rPr>
        <w:t xml:space="preserve"> internationale organisaties zoals de Bank </w:t>
      </w:r>
      <w:proofErr w:type="spellStart"/>
      <w:r w:rsidRPr="001B3F26">
        <w:rPr>
          <w:rFonts w:ascii="Verdana" w:hAnsi="Verdana"/>
          <w:sz w:val="14"/>
          <w:szCs w:val="14"/>
        </w:rPr>
        <w:t>for</w:t>
      </w:r>
      <w:proofErr w:type="spellEnd"/>
      <w:r w:rsidRPr="001B3F26">
        <w:rPr>
          <w:rFonts w:ascii="Verdana" w:hAnsi="Verdana"/>
          <w:sz w:val="14"/>
          <w:szCs w:val="14"/>
        </w:rPr>
        <w:t xml:space="preserve"> International </w:t>
      </w:r>
      <w:proofErr w:type="spellStart"/>
      <w:r w:rsidRPr="001B3F26">
        <w:rPr>
          <w:rFonts w:ascii="Verdana" w:hAnsi="Verdana"/>
          <w:sz w:val="14"/>
          <w:szCs w:val="14"/>
        </w:rPr>
        <w:t>Settlements</w:t>
      </w:r>
      <w:proofErr w:type="spellEnd"/>
      <w:r w:rsidRPr="001B3F26">
        <w:rPr>
          <w:rFonts w:ascii="Verdana" w:hAnsi="Verdana"/>
          <w:sz w:val="14"/>
          <w:szCs w:val="14"/>
        </w:rPr>
        <w:t xml:space="preserve">, het Internationaal Monetair Fonds, de Wereldbank, en standaardisatie-organisaties zoals het Bazels Comité voor bankentoezicht. Zie </w:t>
      </w:r>
      <w:hyperlink r:id="rId1" w:history="1">
        <w:r w:rsidR="00FB2665" w:rsidRPr="001B3F26">
          <w:rPr>
            <w:rStyle w:val="Hyperlink"/>
            <w:rFonts w:ascii="Verdana" w:hAnsi="Verdana"/>
            <w:sz w:val="14"/>
            <w:szCs w:val="14"/>
          </w:rPr>
          <w:t>https://www.fsb.org/about/organisation-and-governance/members-of-the-financial-stability-board/</w:t>
        </w:r>
      </w:hyperlink>
      <w:r w:rsidRPr="001B3F26">
        <w:rPr>
          <w:rFonts w:ascii="Verdana" w:hAnsi="Verdana"/>
          <w:sz w:val="14"/>
          <w:szCs w:val="14"/>
        </w:rPr>
        <w:t>.</w:t>
      </w:r>
      <w:r w:rsidR="00FB2665" w:rsidRPr="001B3F26">
        <w:rPr>
          <w:rFonts w:ascii="Verdana" w:hAnsi="Verdana"/>
          <w:sz w:val="14"/>
          <w:szCs w:val="14"/>
        </w:rPr>
        <w:t xml:space="preserve"> De </w:t>
      </w:r>
      <w:proofErr w:type="spellStart"/>
      <w:r w:rsidR="00FB2665" w:rsidRPr="001B3F26">
        <w:rPr>
          <w:rFonts w:ascii="Verdana" w:hAnsi="Verdana"/>
          <w:sz w:val="14"/>
          <w:szCs w:val="14"/>
        </w:rPr>
        <w:t>Key</w:t>
      </w:r>
      <w:proofErr w:type="spellEnd"/>
      <w:r w:rsidR="00FB2665" w:rsidRPr="001B3F26">
        <w:rPr>
          <w:rFonts w:ascii="Verdana" w:hAnsi="Verdana"/>
          <w:sz w:val="14"/>
          <w:szCs w:val="14"/>
        </w:rPr>
        <w:t xml:space="preserve"> </w:t>
      </w:r>
      <w:proofErr w:type="spellStart"/>
      <w:r w:rsidR="00FB2665" w:rsidRPr="001B3F26">
        <w:rPr>
          <w:rFonts w:ascii="Verdana" w:hAnsi="Verdana"/>
          <w:sz w:val="14"/>
          <w:szCs w:val="14"/>
        </w:rPr>
        <w:t>Attributes</w:t>
      </w:r>
      <w:proofErr w:type="spellEnd"/>
      <w:r w:rsidR="00FB2665" w:rsidRPr="001B3F26">
        <w:rPr>
          <w:rFonts w:ascii="Verdana" w:hAnsi="Verdana"/>
          <w:sz w:val="14"/>
          <w:szCs w:val="14"/>
        </w:rPr>
        <w:t xml:space="preserve"> of </w:t>
      </w:r>
      <w:proofErr w:type="spellStart"/>
      <w:r w:rsidR="00FB2665" w:rsidRPr="001B3F26">
        <w:rPr>
          <w:rFonts w:ascii="Verdana" w:hAnsi="Verdana"/>
          <w:sz w:val="14"/>
          <w:szCs w:val="14"/>
        </w:rPr>
        <w:t>Effective</w:t>
      </w:r>
      <w:proofErr w:type="spellEnd"/>
      <w:r w:rsidR="00FB2665" w:rsidRPr="001B3F26">
        <w:rPr>
          <w:rFonts w:ascii="Verdana" w:hAnsi="Verdana"/>
          <w:sz w:val="14"/>
          <w:szCs w:val="14"/>
        </w:rPr>
        <w:t xml:space="preserve"> </w:t>
      </w:r>
      <w:proofErr w:type="spellStart"/>
      <w:r w:rsidR="00FB2665" w:rsidRPr="001B3F26">
        <w:rPr>
          <w:rFonts w:ascii="Verdana" w:hAnsi="Verdana"/>
          <w:sz w:val="14"/>
          <w:szCs w:val="14"/>
        </w:rPr>
        <w:t>Resolution</w:t>
      </w:r>
      <w:proofErr w:type="spellEnd"/>
      <w:r w:rsidR="00FB2665" w:rsidRPr="001B3F26">
        <w:rPr>
          <w:rFonts w:ascii="Verdana" w:hAnsi="Verdana"/>
          <w:sz w:val="14"/>
          <w:szCs w:val="14"/>
        </w:rPr>
        <w:t xml:space="preserve"> Regimes </w:t>
      </w:r>
      <w:proofErr w:type="spellStart"/>
      <w:r w:rsidR="00FB2665" w:rsidRPr="001B3F26">
        <w:rPr>
          <w:rFonts w:ascii="Verdana" w:hAnsi="Verdana"/>
          <w:sz w:val="14"/>
          <w:szCs w:val="14"/>
        </w:rPr>
        <w:t>for</w:t>
      </w:r>
      <w:proofErr w:type="spellEnd"/>
      <w:r w:rsidR="00FB2665" w:rsidRPr="001B3F26">
        <w:rPr>
          <w:rFonts w:ascii="Verdana" w:hAnsi="Verdana"/>
          <w:sz w:val="14"/>
          <w:szCs w:val="14"/>
        </w:rPr>
        <w:t xml:space="preserve"> Financial </w:t>
      </w:r>
      <w:proofErr w:type="spellStart"/>
      <w:r w:rsidR="00FB2665" w:rsidRPr="001B3F26">
        <w:rPr>
          <w:rFonts w:ascii="Verdana" w:hAnsi="Verdana"/>
          <w:sz w:val="14"/>
          <w:szCs w:val="14"/>
        </w:rPr>
        <w:t>Institutions</w:t>
      </w:r>
      <w:proofErr w:type="spellEnd"/>
      <w:r w:rsidR="00FB2665" w:rsidRPr="001B3F26">
        <w:rPr>
          <w:rFonts w:ascii="Verdana" w:hAnsi="Verdana"/>
          <w:sz w:val="14"/>
          <w:szCs w:val="14"/>
        </w:rPr>
        <w:t xml:space="preserve"> is het beleidsdocument waarop het Europese afwikkelingskader is gebaseerd.</w:t>
      </w:r>
    </w:p>
  </w:footnote>
  <w:footnote w:id="9">
    <w:p w14:paraId="5025EA30" w14:textId="25C72057" w:rsidR="00876022" w:rsidRPr="00C04A61" w:rsidRDefault="00876022">
      <w:pPr>
        <w:pStyle w:val="Voetnoottekst"/>
        <w:rPr>
          <w:rFonts w:ascii="Verdana" w:hAnsi="Verdana"/>
          <w:sz w:val="14"/>
          <w:szCs w:val="14"/>
          <w:lang w:val="en-GB"/>
        </w:rPr>
      </w:pPr>
      <w:r w:rsidRPr="001B3F26">
        <w:rPr>
          <w:rStyle w:val="Voetnootmarkering"/>
          <w:rFonts w:ascii="Verdana" w:hAnsi="Verdana"/>
          <w:sz w:val="14"/>
          <w:szCs w:val="14"/>
        </w:rPr>
        <w:footnoteRef/>
      </w:r>
      <w:r w:rsidRPr="001B3F26">
        <w:rPr>
          <w:rFonts w:ascii="Verdana" w:hAnsi="Verdana"/>
          <w:sz w:val="14"/>
          <w:szCs w:val="14"/>
        </w:rPr>
        <w:t xml:space="preserve"> </w:t>
      </w:r>
      <w:proofErr w:type="gramStart"/>
      <w:r w:rsidRPr="001B3F26">
        <w:rPr>
          <w:rFonts w:ascii="Verdana" w:hAnsi="Verdana" w:cs="Arial"/>
          <w:sz w:val="14"/>
          <w:szCs w:val="14"/>
        </w:rPr>
        <w:t>zie</w:t>
      </w:r>
      <w:proofErr w:type="gramEnd"/>
      <w:r w:rsidRPr="001B3F26">
        <w:rPr>
          <w:rFonts w:ascii="Verdana" w:hAnsi="Verdana" w:cs="Arial"/>
          <w:sz w:val="14"/>
          <w:szCs w:val="14"/>
        </w:rPr>
        <w:t xml:space="preserve"> ook de </w:t>
      </w:r>
      <w:proofErr w:type="spellStart"/>
      <w:r w:rsidRPr="001B3F26">
        <w:rPr>
          <w:rFonts w:ascii="Verdana" w:hAnsi="Verdana" w:cs="Arial"/>
          <w:i/>
          <w:iCs/>
          <w:sz w:val="14"/>
          <w:szCs w:val="14"/>
        </w:rPr>
        <w:t>Principles</w:t>
      </w:r>
      <w:proofErr w:type="spellEnd"/>
      <w:r w:rsidRPr="001B3F26">
        <w:rPr>
          <w:rFonts w:ascii="Verdana" w:hAnsi="Verdana" w:cs="Arial"/>
          <w:i/>
          <w:iCs/>
          <w:sz w:val="14"/>
          <w:szCs w:val="14"/>
        </w:rPr>
        <w:t xml:space="preserve"> on </w:t>
      </w:r>
      <w:proofErr w:type="spellStart"/>
      <w:r w:rsidRPr="001B3F26">
        <w:rPr>
          <w:rFonts w:ascii="Verdana" w:hAnsi="Verdana" w:cs="Arial"/>
          <w:i/>
          <w:iCs/>
          <w:sz w:val="14"/>
          <w:szCs w:val="14"/>
        </w:rPr>
        <w:t>Bail</w:t>
      </w:r>
      <w:proofErr w:type="spellEnd"/>
      <w:r w:rsidRPr="001B3F26">
        <w:rPr>
          <w:rFonts w:ascii="Verdana" w:hAnsi="Verdana" w:cs="Arial"/>
          <w:i/>
          <w:iCs/>
          <w:sz w:val="14"/>
          <w:szCs w:val="14"/>
        </w:rPr>
        <w:t xml:space="preserve">-in </w:t>
      </w:r>
      <w:proofErr w:type="spellStart"/>
      <w:r w:rsidRPr="001B3F26">
        <w:rPr>
          <w:rFonts w:ascii="Verdana" w:hAnsi="Verdana" w:cs="Arial"/>
          <w:i/>
          <w:iCs/>
          <w:sz w:val="14"/>
          <w:szCs w:val="14"/>
        </w:rPr>
        <w:t>Execution</w:t>
      </w:r>
      <w:proofErr w:type="spellEnd"/>
      <w:r w:rsidRPr="001B3F26">
        <w:rPr>
          <w:rFonts w:ascii="Verdana" w:hAnsi="Verdana" w:cs="Arial"/>
          <w:i/>
          <w:iCs/>
          <w:sz w:val="14"/>
          <w:szCs w:val="14"/>
        </w:rPr>
        <w:t xml:space="preserve"> </w:t>
      </w:r>
      <w:r w:rsidRPr="001B3F26">
        <w:rPr>
          <w:rFonts w:ascii="Verdana" w:hAnsi="Verdana" w:cs="Arial"/>
          <w:sz w:val="14"/>
          <w:szCs w:val="14"/>
        </w:rPr>
        <w:t>van de FSB die ook</w:t>
      </w:r>
      <w:r w:rsidRPr="001B3F26">
        <w:rPr>
          <w:rFonts w:ascii="Verdana" w:hAnsi="Verdana" w:cs="Arial"/>
          <w:i/>
          <w:iCs/>
          <w:sz w:val="14"/>
          <w:szCs w:val="14"/>
        </w:rPr>
        <w:t xml:space="preserve"> </w:t>
      </w:r>
      <w:r w:rsidRPr="001B3F26">
        <w:rPr>
          <w:rFonts w:ascii="Verdana" w:hAnsi="Verdana" w:cs="Arial"/>
          <w:sz w:val="14"/>
          <w:szCs w:val="14"/>
        </w:rPr>
        <w:t xml:space="preserve">voorzien in een creatie van een interim instrument om hiermee </w:t>
      </w:r>
      <w:proofErr w:type="spellStart"/>
      <w:r w:rsidRPr="001B3F26">
        <w:rPr>
          <w:rFonts w:ascii="Verdana" w:hAnsi="Verdana" w:cs="Arial"/>
          <w:sz w:val="14"/>
          <w:szCs w:val="14"/>
        </w:rPr>
        <w:t>bail</w:t>
      </w:r>
      <w:proofErr w:type="spellEnd"/>
      <w:r w:rsidRPr="001B3F26">
        <w:rPr>
          <w:rFonts w:ascii="Verdana" w:hAnsi="Verdana" w:cs="Arial"/>
          <w:sz w:val="14"/>
          <w:szCs w:val="14"/>
        </w:rPr>
        <w:t>-in mogelijk te maken.</w:t>
      </w:r>
      <w:r w:rsidR="001B3F26">
        <w:rPr>
          <w:rFonts w:ascii="Verdana" w:hAnsi="Verdana" w:cs="Arial"/>
          <w:sz w:val="14"/>
          <w:szCs w:val="14"/>
        </w:rPr>
        <w:t xml:space="preserve"> </w:t>
      </w:r>
      <w:hyperlink r:id="rId2" w:history="1">
        <w:r w:rsidRPr="00C04A61">
          <w:rPr>
            <w:rStyle w:val="Hyperlink"/>
            <w:rFonts w:ascii="Verdana" w:hAnsi="Verdana"/>
            <w:sz w:val="14"/>
            <w:szCs w:val="14"/>
            <w:lang w:val="en-GB"/>
          </w:rPr>
          <w:t>https://www.fsb.org/uploads/P210618-1.pdf</w:t>
        </w:r>
      </w:hyperlink>
      <w:r w:rsidRPr="00C04A61">
        <w:rPr>
          <w:rFonts w:ascii="Verdana" w:hAnsi="Verdana"/>
          <w:sz w:val="14"/>
          <w:szCs w:val="14"/>
          <w:lang w:val="en-GB"/>
        </w:rPr>
        <w:t>.</w:t>
      </w:r>
    </w:p>
  </w:footnote>
  <w:footnote w:id="10">
    <w:p w14:paraId="4BA321B0" w14:textId="77777777" w:rsidR="00876022" w:rsidRPr="001B3F26" w:rsidRDefault="00876022" w:rsidP="00876022">
      <w:pPr>
        <w:pStyle w:val="Voetnoottekst"/>
        <w:rPr>
          <w:rFonts w:ascii="Verdana" w:hAnsi="Verdana"/>
          <w:sz w:val="14"/>
          <w:szCs w:val="14"/>
          <w:lang w:val="en-US"/>
        </w:rPr>
      </w:pPr>
      <w:r w:rsidRPr="001B3F26">
        <w:rPr>
          <w:rStyle w:val="Voetnootmarkering"/>
          <w:rFonts w:ascii="Verdana" w:hAnsi="Verdana"/>
          <w:sz w:val="14"/>
          <w:szCs w:val="14"/>
        </w:rPr>
        <w:footnoteRef/>
      </w:r>
      <w:r w:rsidRPr="001B3F26">
        <w:rPr>
          <w:rFonts w:ascii="Verdana" w:hAnsi="Verdana"/>
          <w:sz w:val="14"/>
          <w:szCs w:val="14"/>
          <w:lang w:val="en-GB"/>
        </w:rPr>
        <w:t xml:space="preserve"> </w:t>
      </w:r>
      <w:r w:rsidRPr="001B3F26">
        <w:rPr>
          <w:rFonts w:ascii="Verdana" w:hAnsi="Verdana"/>
          <w:sz w:val="14"/>
          <w:szCs w:val="14"/>
          <w:lang w:val="en-US"/>
        </w:rPr>
        <w:t xml:space="preserve">FSB </w:t>
      </w:r>
      <w:hyperlink r:id="rId3" w:history="1">
        <w:r w:rsidRPr="001B3F26">
          <w:rPr>
            <w:rStyle w:val="Hyperlink"/>
            <w:rFonts w:ascii="Verdana" w:hAnsi="Verdana"/>
            <w:sz w:val="14"/>
            <w:szCs w:val="14"/>
            <w:lang w:val="en-US"/>
          </w:rPr>
          <w:t>Bail-in Execution Practices Paper</w:t>
        </w:r>
      </w:hyperlink>
      <w:r w:rsidRPr="001B3F26">
        <w:rPr>
          <w:rFonts w:ascii="Verdana" w:hAnsi="Verdana"/>
          <w:sz w:val="14"/>
          <w:szCs w:val="14"/>
          <w:lang w:val="en-GB"/>
        </w:rPr>
        <w:t xml:space="preserve"> (https://www.fsb.org/uploads/P131221-2.pdf).</w:t>
      </w:r>
    </w:p>
    <w:p w14:paraId="4C502CF6" w14:textId="77777777" w:rsidR="00876022" w:rsidRPr="001B3F26" w:rsidRDefault="00876022" w:rsidP="00876022">
      <w:pPr>
        <w:pStyle w:val="Voetnoottekst"/>
        <w:rPr>
          <w:rFonts w:ascii="Verdana" w:hAnsi="Verdana"/>
          <w:sz w:val="14"/>
          <w:szCs w:val="14"/>
          <w:lang w:val="en-GB"/>
        </w:rPr>
      </w:pPr>
    </w:p>
  </w:footnote>
  <w:footnote w:id="11">
    <w:p w14:paraId="0EFBA60F" w14:textId="2D6937CD" w:rsidR="00AA32D6" w:rsidRPr="001B3F26" w:rsidRDefault="00AA32D6">
      <w:pPr>
        <w:pStyle w:val="Voetnoottekst"/>
        <w:rPr>
          <w:rFonts w:ascii="Verdana" w:hAnsi="Verdana"/>
          <w:sz w:val="14"/>
          <w:szCs w:val="14"/>
        </w:rPr>
      </w:pPr>
      <w:r w:rsidRPr="001B3F26">
        <w:rPr>
          <w:rStyle w:val="Voetnootmarkering"/>
          <w:rFonts w:ascii="Verdana" w:hAnsi="Verdana"/>
          <w:sz w:val="14"/>
          <w:szCs w:val="14"/>
        </w:rPr>
        <w:footnoteRef/>
      </w:r>
      <w:r w:rsidRPr="001B3F26">
        <w:rPr>
          <w:rFonts w:ascii="Verdana" w:hAnsi="Verdana"/>
          <w:sz w:val="14"/>
          <w:szCs w:val="14"/>
        </w:rPr>
        <w:t xml:space="preserve"> Binnen de bankenunie, waar Nederland deel van uitmaakt, is </w:t>
      </w:r>
      <w:r w:rsidR="00FB2665" w:rsidRPr="001B3F26">
        <w:rPr>
          <w:rFonts w:ascii="Verdana" w:hAnsi="Verdana"/>
          <w:sz w:val="14"/>
          <w:szCs w:val="14"/>
        </w:rPr>
        <w:t xml:space="preserve">op grond van de SRMR </w:t>
      </w:r>
      <w:r w:rsidRPr="001B3F26">
        <w:rPr>
          <w:rFonts w:ascii="Verdana" w:hAnsi="Verdana"/>
          <w:sz w:val="14"/>
          <w:szCs w:val="14"/>
        </w:rPr>
        <w:t xml:space="preserve">de SRB </w:t>
      </w:r>
      <w:r w:rsidR="00FB2665" w:rsidRPr="001B3F26">
        <w:rPr>
          <w:rFonts w:ascii="Verdana" w:hAnsi="Verdana"/>
          <w:sz w:val="14"/>
          <w:szCs w:val="14"/>
        </w:rPr>
        <w:t xml:space="preserve">bevoegd </w:t>
      </w:r>
      <w:r w:rsidRPr="001B3F26">
        <w:rPr>
          <w:rFonts w:ascii="Verdana" w:hAnsi="Verdana"/>
          <w:sz w:val="14"/>
          <w:szCs w:val="14"/>
        </w:rPr>
        <w:t xml:space="preserve">afwikkelingsbesluiten </w:t>
      </w:r>
      <w:r w:rsidR="00FB2665" w:rsidRPr="001B3F26">
        <w:rPr>
          <w:rFonts w:ascii="Verdana" w:hAnsi="Verdana"/>
          <w:sz w:val="14"/>
          <w:szCs w:val="14"/>
        </w:rPr>
        <w:t xml:space="preserve">te nemen </w:t>
      </w:r>
      <w:r w:rsidRPr="001B3F26">
        <w:rPr>
          <w:rFonts w:ascii="Verdana" w:hAnsi="Verdana"/>
          <w:sz w:val="14"/>
          <w:szCs w:val="14"/>
        </w:rPr>
        <w:t>voor significante banken</w:t>
      </w:r>
      <w:r w:rsidR="00FB2665" w:rsidRPr="001B3F26">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3670AB"/>
    <w:multiLevelType w:val="hybridMultilevel"/>
    <w:tmpl w:val="E1DA18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4"/>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2"/>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 w:numId="17" w16cid:durableId="213466964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897"/>
    <w:rsid w:val="00026C8F"/>
    <w:rsid w:val="000329E5"/>
    <w:rsid w:val="00034351"/>
    <w:rsid w:val="00034FC9"/>
    <w:rsid w:val="0003523F"/>
    <w:rsid w:val="0004484D"/>
    <w:rsid w:val="000503AB"/>
    <w:rsid w:val="00054E3C"/>
    <w:rsid w:val="000575E2"/>
    <w:rsid w:val="00057A79"/>
    <w:rsid w:val="000610C1"/>
    <w:rsid w:val="00061B86"/>
    <w:rsid w:val="0006448C"/>
    <w:rsid w:val="00064EDD"/>
    <w:rsid w:val="00065A2A"/>
    <w:rsid w:val="00065C16"/>
    <w:rsid w:val="00067015"/>
    <w:rsid w:val="000677A7"/>
    <w:rsid w:val="000708D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271A"/>
    <w:rsid w:val="001A45C8"/>
    <w:rsid w:val="001A7738"/>
    <w:rsid w:val="001B31EB"/>
    <w:rsid w:val="001B3F26"/>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1016D"/>
    <w:rsid w:val="00210EF5"/>
    <w:rsid w:val="0021725A"/>
    <w:rsid w:val="00221FCA"/>
    <w:rsid w:val="00221FDB"/>
    <w:rsid w:val="0022361C"/>
    <w:rsid w:val="00223E06"/>
    <w:rsid w:val="00223FB2"/>
    <w:rsid w:val="002262B5"/>
    <w:rsid w:val="00226993"/>
    <w:rsid w:val="00226D42"/>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319E"/>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0C"/>
    <w:rsid w:val="0037623F"/>
    <w:rsid w:val="00377E5B"/>
    <w:rsid w:val="003843F6"/>
    <w:rsid w:val="00386288"/>
    <w:rsid w:val="00386364"/>
    <w:rsid w:val="00395835"/>
    <w:rsid w:val="00395FD6"/>
    <w:rsid w:val="00396365"/>
    <w:rsid w:val="003A1FF5"/>
    <w:rsid w:val="003A2702"/>
    <w:rsid w:val="003A2FD2"/>
    <w:rsid w:val="003B0C55"/>
    <w:rsid w:val="003B1BC0"/>
    <w:rsid w:val="003B1FE3"/>
    <w:rsid w:val="003B3C8A"/>
    <w:rsid w:val="003B475C"/>
    <w:rsid w:val="003B4F3D"/>
    <w:rsid w:val="003B5C4A"/>
    <w:rsid w:val="003C1B65"/>
    <w:rsid w:val="003C379E"/>
    <w:rsid w:val="003C3E28"/>
    <w:rsid w:val="003C4182"/>
    <w:rsid w:val="003C41E5"/>
    <w:rsid w:val="003D0413"/>
    <w:rsid w:val="003D508F"/>
    <w:rsid w:val="003D71D4"/>
    <w:rsid w:val="003E38D6"/>
    <w:rsid w:val="003E4511"/>
    <w:rsid w:val="003E561F"/>
    <w:rsid w:val="003F5F26"/>
    <w:rsid w:val="003F7619"/>
    <w:rsid w:val="003F7E0F"/>
    <w:rsid w:val="0040357F"/>
    <w:rsid w:val="00404594"/>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299"/>
    <w:rsid w:val="0044583D"/>
    <w:rsid w:val="00450C75"/>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0989"/>
    <w:rsid w:val="00555237"/>
    <w:rsid w:val="00555895"/>
    <w:rsid w:val="005561D8"/>
    <w:rsid w:val="00561D42"/>
    <w:rsid w:val="00563ED1"/>
    <w:rsid w:val="005702EE"/>
    <w:rsid w:val="00572727"/>
    <w:rsid w:val="00576AC2"/>
    <w:rsid w:val="00580AC4"/>
    <w:rsid w:val="00582047"/>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E37"/>
    <w:rsid w:val="005D55BE"/>
    <w:rsid w:val="005E429D"/>
    <w:rsid w:val="005E4E55"/>
    <w:rsid w:val="005E67E8"/>
    <w:rsid w:val="005F0163"/>
    <w:rsid w:val="005F7A68"/>
    <w:rsid w:val="005F7B86"/>
    <w:rsid w:val="005F7BFF"/>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5D89"/>
    <w:rsid w:val="006A7593"/>
    <w:rsid w:val="006B362A"/>
    <w:rsid w:val="006B4CB2"/>
    <w:rsid w:val="006B58FE"/>
    <w:rsid w:val="006B7BD9"/>
    <w:rsid w:val="006C665D"/>
    <w:rsid w:val="006C66BB"/>
    <w:rsid w:val="006C70E5"/>
    <w:rsid w:val="006C7C6A"/>
    <w:rsid w:val="006D2229"/>
    <w:rsid w:val="006D306B"/>
    <w:rsid w:val="006D38AE"/>
    <w:rsid w:val="006D4387"/>
    <w:rsid w:val="006D6343"/>
    <w:rsid w:val="006D7917"/>
    <w:rsid w:val="006E1670"/>
    <w:rsid w:val="006E4E89"/>
    <w:rsid w:val="006E4FAB"/>
    <w:rsid w:val="006E65BD"/>
    <w:rsid w:val="006E732F"/>
    <w:rsid w:val="006E7783"/>
    <w:rsid w:val="006F02C4"/>
    <w:rsid w:val="006F1467"/>
    <w:rsid w:val="006F3E78"/>
    <w:rsid w:val="00700EDD"/>
    <w:rsid w:val="007021E8"/>
    <w:rsid w:val="0070450E"/>
    <w:rsid w:val="007070D1"/>
    <w:rsid w:val="00710770"/>
    <w:rsid w:val="0071103C"/>
    <w:rsid w:val="0071234F"/>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4701F"/>
    <w:rsid w:val="00751F5D"/>
    <w:rsid w:val="00753016"/>
    <w:rsid w:val="007547C6"/>
    <w:rsid w:val="00755F4D"/>
    <w:rsid w:val="007577A8"/>
    <w:rsid w:val="00763F83"/>
    <w:rsid w:val="007651D4"/>
    <w:rsid w:val="00766C00"/>
    <w:rsid w:val="00766E75"/>
    <w:rsid w:val="00781F69"/>
    <w:rsid w:val="0078257F"/>
    <w:rsid w:val="00782BEC"/>
    <w:rsid w:val="00784B49"/>
    <w:rsid w:val="00785159"/>
    <w:rsid w:val="00786589"/>
    <w:rsid w:val="007907D8"/>
    <w:rsid w:val="00791773"/>
    <w:rsid w:val="00794EE7"/>
    <w:rsid w:val="007A228F"/>
    <w:rsid w:val="007A2479"/>
    <w:rsid w:val="007A509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022"/>
    <w:rsid w:val="008761AE"/>
    <w:rsid w:val="00881DAC"/>
    <w:rsid w:val="0089185D"/>
    <w:rsid w:val="00891F7F"/>
    <w:rsid w:val="00892CB8"/>
    <w:rsid w:val="00893B5A"/>
    <w:rsid w:val="00895890"/>
    <w:rsid w:val="00896B92"/>
    <w:rsid w:val="008971AE"/>
    <w:rsid w:val="0089724B"/>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419E"/>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6A32"/>
    <w:rsid w:val="0098703A"/>
    <w:rsid w:val="0099348A"/>
    <w:rsid w:val="00993AE6"/>
    <w:rsid w:val="00994AF5"/>
    <w:rsid w:val="009A3429"/>
    <w:rsid w:val="009A3E5D"/>
    <w:rsid w:val="009A45D2"/>
    <w:rsid w:val="009B0571"/>
    <w:rsid w:val="009B062D"/>
    <w:rsid w:val="009B55E7"/>
    <w:rsid w:val="009C1CD3"/>
    <w:rsid w:val="009C3347"/>
    <w:rsid w:val="009C5FB5"/>
    <w:rsid w:val="009C6EF4"/>
    <w:rsid w:val="009C7917"/>
    <w:rsid w:val="009D0E84"/>
    <w:rsid w:val="009D236E"/>
    <w:rsid w:val="009D39FF"/>
    <w:rsid w:val="009D4FAD"/>
    <w:rsid w:val="009D59B4"/>
    <w:rsid w:val="009E13E7"/>
    <w:rsid w:val="009E2A99"/>
    <w:rsid w:val="009E3FAE"/>
    <w:rsid w:val="009E49B6"/>
    <w:rsid w:val="009E5B68"/>
    <w:rsid w:val="009F21F8"/>
    <w:rsid w:val="009F268F"/>
    <w:rsid w:val="009F2DEC"/>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7C9"/>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58BB"/>
    <w:rsid w:val="00A57CA9"/>
    <w:rsid w:val="00A602EA"/>
    <w:rsid w:val="00A60DAE"/>
    <w:rsid w:val="00A63BB0"/>
    <w:rsid w:val="00A66114"/>
    <w:rsid w:val="00A6646F"/>
    <w:rsid w:val="00A67D22"/>
    <w:rsid w:val="00A70716"/>
    <w:rsid w:val="00A72BAD"/>
    <w:rsid w:val="00A7304C"/>
    <w:rsid w:val="00A73298"/>
    <w:rsid w:val="00A76505"/>
    <w:rsid w:val="00A76A40"/>
    <w:rsid w:val="00A7748E"/>
    <w:rsid w:val="00A813A6"/>
    <w:rsid w:val="00A8774C"/>
    <w:rsid w:val="00A87D08"/>
    <w:rsid w:val="00A93E08"/>
    <w:rsid w:val="00A94322"/>
    <w:rsid w:val="00A94B08"/>
    <w:rsid w:val="00AA00B0"/>
    <w:rsid w:val="00AA311E"/>
    <w:rsid w:val="00AA32D6"/>
    <w:rsid w:val="00AA33DB"/>
    <w:rsid w:val="00AA5631"/>
    <w:rsid w:val="00AA578F"/>
    <w:rsid w:val="00AA5A9F"/>
    <w:rsid w:val="00AA6C44"/>
    <w:rsid w:val="00AA6FBE"/>
    <w:rsid w:val="00AA70DB"/>
    <w:rsid w:val="00AB3460"/>
    <w:rsid w:val="00AB4F02"/>
    <w:rsid w:val="00AB64D1"/>
    <w:rsid w:val="00AB6F14"/>
    <w:rsid w:val="00AB7804"/>
    <w:rsid w:val="00AC12CA"/>
    <w:rsid w:val="00AC4682"/>
    <w:rsid w:val="00AC6BB8"/>
    <w:rsid w:val="00AC7CDA"/>
    <w:rsid w:val="00AD0B8F"/>
    <w:rsid w:val="00AD1429"/>
    <w:rsid w:val="00AD3572"/>
    <w:rsid w:val="00AD357F"/>
    <w:rsid w:val="00AD736C"/>
    <w:rsid w:val="00AE3A78"/>
    <w:rsid w:val="00AE57FA"/>
    <w:rsid w:val="00AF399F"/>
    <w:rsid w:val="00AF4813"/>
    <w:rsid w:val="00AF4A52"/>
    <w:rsid w:val="00B00602"/>
    <w:rsid w:val="00B06DEF"/>
    <w:rsid w:val="00B10246"/>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0B94"/>
    <w:rsid w:val="00BE442E"/>
    <w:rsid w:val="00BE6BA6"/>
    <w:rsid w:val="00BE7995"/>
    <w:rsid w:val="00BF3141"/>
    <w:rsid w:val="00BF4263"/>
    <w:rsid w:val="00BF4B76"/>
    <w:rsid w:val="00BF621F"/>
    <w:rsid w:val="00C04A61"/>
    <w:rsid w:val="00C10775"/>
    <w:rsid w:val="00C10C8A"/>
    <w:rsid w:val="00C1106F"/>
    <w:rsid w:val="00C12BD4"/>
    <w:rsid w:val="00C14C32"/>
    <w:rsid w:val="00C1506F"/>
    <w:rsid w:val="00C16F64"/>
    <w:rsid w:val="00C22FF8"/>
    <w:rsid w:val="00C238DB"/>
    <w:rsid w:val="00C26137"/>
    <w:rsid w:val="00C30E3A"/>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6C24"/>
    <w:rsid w:val="00CA7D6D"/>
    <w:rsid w:val="00CB099A"/>
    <w:rsid w:val="00CB1622"/>
    <w:rsid w:val="00CB19DD"/>
    <w:rsid w:val="00CB42F9"/>
    <w:rsid w:val="00CB49E0"/>
    <w:rsid w:val="00CB4A3B"/>
    <w:rsid w:val="00CC530C"/>
    <w:rsid w:val="00CC6A52"/>
    <w:rsid w:val="00CC7354"/>
    <w:rsid w:val="00CC79B6"/>
    <w:rsid w:val="00CD23B0"/>
    <w:rsid w:val="00CD3CEA"/>
    <w:rsid w:val="00CD7BEF"/>
    <w:rsid w:val="00CE1C78"/>
    <w:rsid w:val="00CE23BB"/>
    <w:rsid w:val="00CE6E98"/>
    <w:rsid w:val="00CF0B87"/>
    <w:rsid w:val="00CF35EC"/>
    <w:rsid w:val="00D02E52"/>
    <w:rsid w:val="00D03249"/>
    <w:rsid w:val="00D04A88"/>
    <w:rsid w:val="00D061AD"/>
    <w:rsid w:val="00D07727"/>
    <w:rsid w:val="00D10C90"/>
    <w:rsid w:val="00D14991"/>
    <w:rsid w:val="00D16C0D"/>
    <w:rsid w:val="00D17968"/>
    <w:rsid w:val="00D21427"/>
    <w:rsid w:val="00D225CA"/>
    <w:rsid w:val="00D22B25"/>
    <w:rsid w:val="00D23E84"/>
    <w:rsid w:val="00D24464"/>
    <w:rsid w:val="00D265B6"/>
    <w:rsid w:val="00D276C8"/>
    <w:rsid w:val="00D27E1E"/>
    <w:rsid w:val="00D3384B"/>
    <w:rsid w:val="00D3518F"/>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54649"/>
    <w:rsid w:val="00D643F3"/>
    <w:rsid w:val="00D65D1F"/>
    <w:rsid w:val="00D67800"/>
    <w:rsid w:val="00D67EE3"/>
    <w:rsid w:val="00D72FC1"/>
    <w:rsid w:val="00D73F8C"/>
    <w:rsid w:val="00D742F0"/>
    <w:rsid w:val="00D7488F"/>
    <w:rsid w:val="00D75EAC"/>
    <w:rsid w:val="00D81A2A"/>
    <w:rsid w:val="00D859A1"/>
    <w:rsid w:val="00D930D3"/>
    <w:rsid w:val="00D962C1"/>
    <w:rsid w:val="00D96F50"/>
    <w:rsid w:val="00D97029"/>
    <w:rsid w:val="00DA444E"/>
    <w:rsid w:val="00DA773F"/>
    <w:rsid w:val="00DB08CD"/>
    <w:rsid w:val="00DB27E6"/>
    <w:rsid w:val="00DB37DB"/>
    <w:rsid w:val="00DB522E"/>
    <w:rsid w:val="00DB6230"/>
    <w:rsid w:val="00DB780E"/>
    <w:rsid w:val="00DC01DE"/>
    <w:rsid w:val="00DC4F53"/>
    <w:rsid w:val="00DC6839"/>
    <w:rsid w:val="00DD06A0"/>
    <w:rsid w:val="00DD0F98"/>
    <w:rsid w:val="00DD329C"/>
    <w:rsid w:val="00DD3651"/>
    <w:rsid w:val="00DE03F0"/>
    <w:rsid w:val="00DE27D9"/>
    <w:rsid w:val="00DE2910"/>
    <w:rsid w:val="00DE2E24"/>
    <w:rsid w:val="00DE436E"/>
    <w:rsid w:val="00DE5A8F"/>
    <w:rsid w:val="00DE78DF"/>
    <w:rsid w:val="00DF0559"/>
    <w:rsid w:val="00DF1295"/>
    <w:rsid w:val="00DF19A4"/>
    <w:rsid w:val="00DF202A"/>
    <w:rsid w:val="00DF2238"/>
    <w:rsid w:val="00DF413B"/>
    <w:rsid w:val="00DF5E4B"/>
    <w:rsid w:val="00E013EC"/>
    <w:rsid w:val="00E057D3"/>
    <w:rsid w:val="00E07066"/>
    <w:rsid w:val="00E07FEA"/>
    <w:rsid w:val="00E110A1"/>
    <w:rsid w:val="00E14150"/>
    <w:rsid w:val="00E165B0"/>
    <w:rsid w:val="00E176D8"/>
    <w:rsid w:val="00E22864"/>
    <w:rsid w:val="00E23212"/>
    <w:rsid w:val="00E32B82"/>
    <w:rsid w:val="00E32F5C"/>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96FE5"/>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78B"/>
    <w:rsid w:val="00FB0D25"/>
    <w:rsid w:val="00FB0DFF"/>
    <w:rsid w:val="00FB1D0D"/>
    <w:rsid w:val="00FB2540"/>
    <w:rsid w:val="00FB2665"/>
    <w:rsid w:val="00FB6A5D"/>
    <w:rsid w:val="00FB6E1B"/>
    <w:rsid w:val="00FB70F9"/>
    <w:rsid w:val="00FC1A39"/>
    <w:rsid w:val="00FC4060"/>
    <w:rsid w:val="00FC7259"/>
    <w:rsid w:val="00FC7AB1"/>
    <w:rsid w:val="00FC7EA9"/>
    <w:rsid w:val="00FD0387"/>
    <w:rsid w:val="00FD08DB"/>
    <w:rsid w:val="00FD611B"/>
    <w:rsid w:val="00FD653F"/>
    <w:rsid w:val="00FD69CC"/>
    <w:rsid w:val="00FE33B2"/>
    <w:rsid w:val="00FE4CD0"/>
    <w:rsid w:val="00FF1CE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B10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55330579">
      <w:bodyDiv w:val="1"/>
      <w:marLeft w:val="0"/>
      <w:marRight w:val="0"/>
      <w:marTop w:val="0"/>
      <w:marBottom w:val="0"/>
      <w:divBdr>
        <w:top w:val="none" w:sz="0" w:space="0" w:color="auto"/>
        <w:left w:val="none" w:sz="0" w:space="0" w:color="auto"/>
        <w:bottom w:val="none" w:sz="0" w:space="0" w:color="auto"/>
        <w:right w:val="none" w:sz="0" w:space="0" w:color="auto"/>
      </w:divBdr>
      <w:divsChild>
        <w:div w:id="150676333">
          <w:marLeft w:val="0"/>
          <w:marRight w:val="0"/>
          <w:marTop w:val="0"/>
          <w:marBottom w:val="0"/>
          <w:divBdr>
            <w:top w:val="none" w:sz="0" w:space="0" w:color="auto"/>
            <w:left w:val="none" w:sz="0" w:space="0" w:color="auto"/>
            <w:bottom w:val="none" w:sz="0" w:space="0" w:color="auto"/>
            <w:right w:val="none" w:sz="0" w:space="0" w:color="auto"/>
          </w:divBdr>
          <w:divsChild>
            <w:div w:id="628323699">
              <w:marLeft w:val="0"/>
              <w:marRight w:val="0"/>
              <w:marTop w:val="120"/>
              <w:marBottom w:val="0"/>
              <w:divBdr>
                <w:top w:val="none" w:sz="0" w:space="0" w:color="auto"/>
                <w:left w:val="none" w:sz="0" w:space="0" w:color="auto"/>
                <w:bottom w:val="none" w:sz="0" w:space="0" w:color="auto"/>
                <w:right w:val="none" w:sz="0" w:space="0" w:color="auto"/>
              </w:divBdr>
            </w:div>
            <w:div w:id="2044985384">
              <w:marLeft w:val="0"/>
              <w:marRight w:val="0"/>
              <w:marTop w:val="0"/>
              <w:marBottom w:val="0"/>
              <w:divBdr>
                <w:top w:val="none" w:sz="0" w:space="0" w:color="auto"/>
                <w:left w:val="none" w:sz="0" w:space="0" w:color="auto"/>
                <w:bottom w:val="none" w:sz="0" w:space="0" w:color="auto"/>
                <w:right w:val="none" w:sz="0" w:space="0" w:color="auto"/>
              </w:divBdr>
            </w:div>
          </w:divsChild>
        </w:div>
        <w:div w:id="714619225">
          <w:marLeft w:val="0"/>
          <w:marRight w:val="0"/>
          <w:marTop w:val="0"/>
          <w:marBottom w:val="0"/>
          <w:divBdr>
            <w:top w:val="none" w:sz="0" w:space="0" w:color="auto"/>
            <w:left w:val="none" w:sz="0" w:space="0" w:color="auto"/>
            <w:bottom w:val="none" w:sz="0" w:space="0" w:color="auto"/>
            <w:right w:val="none" w:sz="0" w:space="0" w:color="auto"/>
          </w:divBdr>
          <w:divsChild>
            <w:div w:id="471750205">
              <w:marLeft w:val="0"/>
              <w:marRight w:val="0"/>
              <w:marTop w:val="120"/>
              <w:marBottom w:val="0"/>
              <w:divBdr>
                <w:top w:val="none" w:sz="0" w:space="0" w:color="auto"/>
                <w:left w:val="none" w:sz="0" w:space="0" w:color="auto"/>
                <w:bottom w:val="none" w:sz="0" w:space="0" w:color="auto"/>
                <w:right w:val="none" w:sz="0" w:space="0" w:color="auto"/>
              </w:divBdr>
            </w:div>
            <w:div w:id="55403114">
              <w:marLeft w:val="0"/>
              <w:marRight w:val="0"/>
              <w:marTop w:val="0"/>
              <w:marBottom w:val="0"/>
              <w:divBdr>
                <w:top w:val="none" w:sz="0" w:space="0" w:color="auto"/>
                <w:left w:val="none" w:sz="0" w:space="0" w:color="auto"/>
                <w:bottom w:val="none" w:sz="0" w:space="0" w:color="auto"/>
                <w:right w:val="none" w:sz="0" w:space="0" w:color="auto"/>
              </w:divBdr>
            </w:div>
          </w:divsChild>
        </w:div>
        <w:div w:id="2094625659">
          <w:marLeft w:val="0"/>
          <w:marRight w:val="0"/>
          <w:marTop w:val="0"/>
          <w:marBottom w:val="0"/>
          <w:divBdr>
            <w:top w:val="none" w:sz="0" w:space="0" w:color="auto"/>
            <w:left w:val="none" w:sz="0" w:space="0" w:color="auto"/>
            <w:bottom w:val="none" w:sz="0" w:space="0" w:color="auto"/>
            <w:right w:val="none" w:sz="0" w:space="0" w:color="auto"/>
          </w:divBdr>
          <w:divsChild>
            <w:div w:id="630593270">
              <w:marLeft w:val="0"/>
              <w:marRight w:val="0"/>
              <w:marTop w:val="120"/>
              <w:marBottom w:val="0"/>
              <w:divBdr>
                <w:top w:val="none" w:sz="0" w:space="0" w:color="auto"/>
                <w:left w:val="none" w:sz="0" w:space="0" w:color="auto"/>
                <w:bottom w:val="none" w:sz="0" w:space="0" w:color="auto"/>
                <w:right w:val="none" w:sz="0" w:space="0" w:color="auto"/>
              </w:divBdr>
            </w:div>
            <w:div w:id="1891574873">
              <w:marLeft w:val="0"/>
              <w:marRight w:val="0"/>
              <w:marTop w:val="0"/>
              <w:marBottom w:val="0"/>
              <w:divBdr>
                <w:top w:val="none" w:sz="0" w:space="0" w:color="auto"/>
                <w:left w:val="none" w:sz="0" w:space="0" w:color="auto"/>
                <w:bottom w:val="none" w:sz="0" w:space="0" w:color="auto"/>
                <w:right w:val="none" w:sz="0" w:space="0" w:color="auto"/>
              </w:divBdr>
            </w:div>
          </w:divsChild>
        </w:div>
        <w:div w:id="1453212627">
          <w:marLeft w:val="0"/>
          <w:marRight w:val="0"/>
          <w:marTop w:val="0"/>
          <w:marBottom w:val="0"/>
          <w:divBdr>
            <w:top w:val="none" w:sz="0" w:space="0" w:color="auto"/>
            <w:left w:val="none" w:sz="0" w:space="0" w:color="auto"/>
            <w:bottom w:val="none" w:sz="0" w:space="0" w:color="auto"/>
            <w:right w:val="none" w:sz="0" w:space="0" w:color="auto"/>
          </w:divBdr>
          <w:divsChild>
            <w:div w:id="1316758935">
              <w:marLeft w:val="0"/>
              <w:marRight w:val="0"/>
              <w:marTop w:val="120"/>
              <w:marBottom w:val="0"/>
              <w:divBdr>
                <w:top w:val="none" w:sz="0" w:space="0" w:color="auto"/>
                <w:left w:val="none" w:sz="0" w:space="0" w:color="auto"/>
                <w:bottom w:val="none" w:sz="0" w:space="0" w:color="auto"/>
                <w:right w:val="none" w:sz="0" w:space="0" w:color="auto"/>
              </w:divBdr>
            </w:div>
            <w:div w:id="39940977">
              <w:marLeft w:val="0"/>
              <w:marRight w:val="0"/>
              <w:marTop w:val="0"/>
              <w:marBottom w:val="0"/>
              <w:divBdr>
                <w:top w:val="none" w:sz="0" w:space="0" w:color="auto"/>
                <w:left w:val="none" w:sz="0" w:space="0" w:color="auto"/>
                <w:bottom w:val="none" w:sz="0" w:space="0" w:color="auto"/>
                <w:right w:val="none" w:sz="0" w:space="0" w:color="auto"/>
              </w:divBdr>
              <w:divsChild>
                <w:div w:id="1874027301">
                  <w:marLeft w:val="0"/>
                  <w:marRight w:val="0"/>
                  <w:marTop w:val="0"/>
                  <w:marBottom w:val="0"/>
                  <w:divBdr>
                    <w:top w:val="none" w:sz="0" w:space="0" w:color="auto"/>
                    <w:left w:val="none" w:sz="0" w:space="0" w:color="auto"/>
                    <w:bottom w:val="none" w:sz="0" w:space="0" w:color="auto"/>
                    <w:right w:val="none" w:sz="0" w:space="0" w:color="auto"/>
                  </w:divBdr>
                  <w:divsChild>
                    <w:div w:id="347752271">
                      <w:marLeft w:val="0"/>
                      <w:marRight w:val="0"/>
                      <w:marTop w:val="120"/>
                      <w:marBottom w:val="0"/>
                      <w:divBdr>
                        <w:top w:val="none" w:sz="0" w:space="0" w:color="auto"/>
                        <w:left w:val="none" w:sz="0" w:space="0" w:color="auto"/>
                        <w:bottom w:val="none" w:sz="0" w:space="0" w:color="auto"/>
                        <w:right w:val="none" w:sz="0" w:space="0" w:color="auto"/>
                      </w:divBdr>
                    </w:div>
                    <w:div w:id="1185243606">
                      <w:marLeft w:val="0"/>
                      <w:marRight w:val="0"/>
                      <w:marTop w:val="0"/>
                      <w:marBottom w:val="0"/>
                      <w:divBdr>
                        <w:top w:val="none" w:sz="0" w:space="0" w:color="auto"/>
                        <w:left w:val="none" w:sz="0" w:space="0" w:color="auto"/>
                        <w:bottom w:val="none" w:sz="0" w:space="0" w:color="auto"/>
                        <w:right w:val="none" w:sz="0" w:space="0" w:color="auto"/>
                      </w:divBdr>
                    </w:div>
                  </w:divsChild>
                </w:div>
                <w:div w:id="1975282715">
                  <w:marLeft w:val="0"/>
                  <w:marRight w:val="0"/>
                  <w:marTop w:val="0"/>
                  <w:marBottom w:val="0"/>
                  <w:divBdr>
                    <w:top w:val="none" w:sz="0" w:space="0" w:color="auto"/>
                    <w:left w:val="none" w:sz="0" w:space="0" w:color="auto"/>
                    <w:bottom w:val="none" w:sz="0" w:space="0" w:color="auto"/>
                    <w:right w:val="none" w:sz="0" w:space="0" w:color="auto"/>
                  </w:divBdr>
                  <w:divsChild>
                    <w:div w:id="494958408">
                      <w:marLeft w:val="0"/>
                      <w:marRight w:val="0"/>
                      <w:marTop w:val="120"/>
                      <w:marBottom w:val="0"/>
                      <w:divBdr>
                        <w:top w:val="none" w:sz="0" w:space="0" w:color="auto"/>
                        <w:left w:val="none" w:sz="0" w:space="0" w:color="auto"/>
                        <w:bottom w:val="none" w:sz="0" w:space="0" w:color="auto"/>
                        <w:right w:val="none" w:sz="0" w:space="0" w:color="auto"/>
                      </w:divBdr>
                    </w:div>
                    <w:div w:id="1028332045">
                      <w:marLeft w:val="0"/>
                      <w:marRight w:val="0"/>
                      <w:marTop w:val="0"/>
                      <w:marBottom w:val="0"/>
                      <w:divBdr>
                        <w:top w:val="none" w:sz="0" w:space="0" w:color="auto"/>
                        <w:left w:val="none" w:sz="0" w:space="0" w:color="auto"/>
                        <w:bottom w:val="none" w:sz="0" w:space="0" w:color="auto"/>
                        <w:right w:val="none" w:sz="0" w:space="0" w:color="auto"/>
                      </w:divBdr>
                    </w:div>
                  </w:divsChild>
                </w:div>
                <w:div w:id="328798082">
                  <w:marLeft w:val="0"/>
                  <w:marRight w:val="0"/>
                  <w:marTop w:val="0"/>
                  <w:marBottom w:val="0"/>
                  <w:divBdr>
                    <w:top w:val="none" w:sz="0" w:space="0" w:color="auto"/>
                    <w:left w:val="none" w:sz="0" w:space="0" w:color="auto"/>
                    <w:bottom w:val="none" w:sz="0" w:space="0" w:color="auto"/>
                    <w:right w:val="none" w:sz="0" w:space="0" w:color="auto"/>
                  </w:divBdr>
                  <w:divsChild>
                    <w:div w:id="1618024588">
                      <w:marLeft w:val="0"/>
                      <w:marRight w:val="0"/>
                      <w:marTop w:val="120"/>
                      <w:marBottom w:val="0"/>
                      <w:divBdr>
                        <w:top w:val="none" w:sz="0" w:space="0" w:color="auto"/>
                        <w:left w:val="none" w:sz="0" w:space="0" w:color="auto"/>
                        <w:bottom w:val="none" w:sz="0" w:space="0" w:color="auto"/>
                        <w:right w:val="none" w:sz="0" w:space="0" w:color="auto"/>
                      </w:divBdr>
                    </w:div>
                    <w:div w:id="10912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sb.org/uploads/P131221-2.pdf" TargetMode="External"/><Relationship Id="rId2" Type="http://schemas.openxmlformats.org/officeDocument/2006/relationships/hyperlink" Target="https://www.fsb.org/uploads/P210618-1.pdf" TargetMode="External"/><Relationship Id="rId1" Type="http://schemas.openxmlformats.org/officeDocument/2006/relationships/hyperlink" Target="https://www.fsb.org/about/organisation-and-governance/members-of-the-financial-stability-boar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4028</ap:Words>
  <ap:Characters>22154</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2026-01-23T11:07:00.0000000Z</dcterms:created>
  <dcterms:modified xsi:type="dcterms:W3CDTF">2026-01-23T11:07:00.0000000Z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