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705" w:rsidP="00634705" w:rsidRDefault="00634705" w14:paraId="502EFA76" w14:textId="77777777">
      <w:pPr>
        <w:rPr>
          <w:b/>
          <w:bCs/>
          <w:highlight w:val="yellow"/>
        </w:rPr>
      </w:pPr>
      <w:r w:rsidRPr="320BC4F7">
        <w:rPr>
          <w:b/>
          <w:bCs/>
          <w:sz w:val="22"/>
        </w:rPr>
        <w:t>Lijst van nieuwe EU-voorstellen</w:t>
      </w:r>
      <w:r>
        <w:tab/>
      </w:r>
      <w:r>
        <w:tab/>
      </w:r>
      <w:r>
        <w:tab/>
      </w:r>
    </w:p>
    <w:p w:rsidR="00634705" w:rsidP="00634705" w:rsidRDefault="00634705" w14:paraId="354B5C48" w14:textId="77777777">
      <w:pPr>
        <w:pStyle w:val="PlatteTekst"/>
      </w:pPr>
    </w:p>
    <w:p w:rsidR="00634705" w:rsidP="00634705" w:rsidRDefault="00634705" w14:paraId="272000B6" w14:textId="460145EC">
      <w:pPr>
        <w:rPr>
          <w:szCs w:val="18"/>
        </w:rPr>
      </w:pPr>
      <w:r w:rsidRPr="769B3972">
        <w:rPr>
          <w:szCs w:val="18"/>
        </w:rPr>
        <w:t>De</w:t>
      </w:r>
      <w:r w:rsidRPr="769B3972">
        <w:rPr>
          <w:b/>
          <w:bCs/>
          <w:szCs w:val="18"/>
        </w:rPr>
        <w:t xml:space="preserve"> </w:t>
      </w:r>
      <w:r w:rsidRPr="769B3972">
        <w:rPr>
          <w:szCs w:val="18"/>
        </w:rPr>
        <w:t xml:space="preserve">Europese Commissie heeft in de periode tussen </w:t>
      </w:r>
      <w:r w:rsidR="00CC2756">
        <w:rPr>
          <w:b/>
          <w:bCs/>
          <w:szCs w:val="18"/>
        </w:rPr>
        <w:t>12 januari</w:t>
      </w:r>
      <w:r>
        <w:rPr>
          <w:b/>
          <w:bCs/>
          <w:szCs w:val="18"/>
        </w:rPr>
        <w:t xml:space="preserve"> </w:t>
      </w:r>
      <w:r w:rsidRPr="769B3972">
        <w:rPr>
          <w:b/>
          <w:bCs/>
          <w:szCs w:val="18"/>
        </w:rPr>
        <w:t xml:space="preserve">en </w:t>
      </w:r>
      <w:r w:rsidR="00CC2756">
        <w:rPr>
          <w:b/>
          <w:bCs/>
          <w:szCs w:val="18"/>
        </w:rPr>
        <w:t xml:space="preserve">26 januari </w:t>
      </w:r>
      <w:r w:rsidRPr="769B3972">
        <w:rPr>
          <w:b/>
          <w:bCs/>
          <w:szCs w:val="18"/>
        </w:rPr>
        <w:t>202</w:t>
      </w:r>
      <w:r w:rsidR="009945EE">
        <w:rPr>
          <w:b/>
          <w:bCs/>
          <w:szCs w:val="18"/>
        </w:rPr>
        <w:t>6</w:t>
      </w:r>
      <w:r w:rsidRPr="769B3972">
        <w:rPr>
          <w:szCs w:val="18"/>
        </w:rPr>
        <w:t xml:space="preserve"> de volgende voor deze vaste commissie</w:t>
      </w:r>
      <w:r w:rsidRPr="769B3972">
        <w:rPr>
          <w:b/>
          <w:bCs/>
          <w:szCs w:val="18"/>
        </w:rPr>
        <w:t xml:space="preserve"> </w:t>
      </w:r>
      <w:r w:rsidRPr="769B3972">
        <w:rPr>
          <w:szCs w:val="18"/>
        </w:rPr>
        <w:t>relevante voorstellen voor Europese wetgeving, besluiten en andere beleidsvormende documenten aan de Tweede Kamer gestuurd</w:t>
      </w:r>
      <w:r w:rsidRPr="769B3972">
        <w:rPr>
          <w:rStyle w:val="Voetnootmarkering"/>
          <w:szCs w:val="18"/>
        </w:rPr>
        <w:footnoteReference w:id="1"/>
      </w:r>
      <w:r w:rsidRPr="769B3972">
        <w:rPr>
          <w:szCs w:val="18"/>
        </w:rPr>
        <w:t xml:space="preserve">: </w:t>
      </w:r>
    </w:p>
    <w:p w:rsidR="00634705" w:rsidP="00634705" w:rsidRDefault="00634705" w14:paraId="11C815B2" w14:textId="77777777">
      <w:pPr>
        <w:rPr>
          <w:szCs w:val="18"/>
        </w:rPr>
      </w:pPr>
    </w:p>
    <w:p w:rsidRPr="00901460" w:rsidR="00634705" w:rsidP="00634705" w:rsidRDefault="00634705" w14:paraId="43F4FD65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Pr="00901460" w:rsidR="00634705" w:rsidP="00634705" w:rsidRDefault="00634705" w14:paraId="28A9DA38" w14:textId="77777777">
      <w:pPr>
        <w:rPr>
          <w:b/>
          <w:szCs w:val="18"/>
        </w:rPr>
      </w:pPr>
    </w:p>
    <w:tbl>
      <w:tblPr>
        <w:tblW w:w="42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</w:tblGrid>
      <w:tr w:rsidR="00634705" w:rsidTr="00526A45" w14:paraId="0E9EB72B" w14:textId="77777777">
        <w:trPr>
          <w:trHeight w:val="413"/>
        </w:trPr>
        <w:tc>
          <w:tcPr>
            <w:tcW w:w="421" w:type="dxa"/>
            <w:vMerge w:val="restart"/>
            <w:vAlign w:val="center"/>
            <w:hideMark/>
          </w:tcPr>
          <w:p w:rsidRPr="006B0017" w:rsidR="00634705" w:rsidP="00526A45" w:rsidRDefault="00634705" w14:paraId="1725579C" w14:textId="77777777">
            <w:pPr>
              <w:rPr>
                <w:rFonts w:eastAsiaTheme="minorHAnsi"/>
                <w:szCs w:val="18"/>
              </w:rPr>
            </w:pPr>
          </w:p>
        </w:tc>
      </w:tr>
      <w:tr w:rsidRPr="00872D5A" w:rsidR="00634705" w:rsidTr="00526A45" w14:paraId="7A836202" w14:textId="77777777">
        <w:trPr>
          <w:trHeight w:val="413"/>
        </w:trPr>
        <w:tc>
          <w:tcPr>
            <w:tcW w:w="421" w:type="dxa"/>
            <w:vMerge/>
            <w:vAlign w:val="center"/>
            <w:hideMark/>
          </w:tcPr>
          <w:p w:rsidR="00634705" w:rsidP="00526A45" w:rsidRDefault="00634705" w14:paraId="79E5A8A3" w14:textId="77777777">
            <w:pPr>
              <w:rPr>
                <w:rFonts w:eastAsiaTheme="minorHAnsi"/>
                <w:szCs w:val="18"/>
              </w:rPr>
            </w:pPr>
          </w:p>
        </w:tc>
      </w:tr>
    </w:tbl>
    <w:p w:rsidRPr="00E02D08" w:rsidR="00634705" w:rsidP="00634705" w:rsidRDefault="00634705" w14:paraId="1D53DD0A" w14:textId="77777777">
      <w:pPr>
        <w:rPr>
          <w:szCs w:val="18"/>
        </w:rPr>
      </w:pPr>
    </w:p>
    <w:p w:rsidRPr="006A56CA" w:rsidR="00634705" w:rsidP="00634705" w:rsidRDefault="00634705" w14:paraId="35539B48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 w:rsidRPr="597C7B67">
        <w:rPr>
          <w:b/>
          <w:bCs/>
        </w:rPr>
        <w:t xml:space="preserve">Nieuwe EU-documenten van niet-wetgevende aard </w:t>
      </w:r>
      <w:r>
        <w:br/>
        <w:t>(Mededelingen, aanbevelingen, actieplannen, consultaties, etc.)</w:t>
      </w:r>
    </w:p>
    <w:p w:rsidR="00634705" w:rsidP="00634705" w:rsidRDefault="00634705" w14:paraId="6378DA0B" w14:textId="77777777">
      <w:pPr>
        <w:rPr>
          <w:b/>
          <w:szCs w:val="18"/>
        </w:rPr>
      </w:pPr>
    </w:p>
    <w:p w:rsidR="00634705" w:rsidP="00634705" w:rsidRDefault="00634705" w14:paraId="2E51BD60" w14:textId="77777777">
      <w:pPr>
        <w:rPr>
          <w:b/>
          <w:bCs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1125"/>
        <w:gridCol w:w="6387"/>
      </w:tblGrid>
      <w:tr w:rsidRPr="00E303D0" w:rsidR="00634705" w:rsidTr="00526A45" w14:paraId="008EFFB8" w14:textId="77777777">
        <w:trPr>
          <w:trHeight w:val="300"/>
        </w:trPr>
        <w:tc>
          <w:tcPr>
            <w:tcW w:w="421" w:type="dxa"/>
            <w:vMerge w:val="restart"/>
            <w:tcBorders>
              <w:top w:val="single" w:color="D9D9D9" w:themeColor="background1" w:themeShade="D9" w:sz="8" w:space="0"/>
              <w:left w:val="single" w:color="D9D9D9" w:themeColor="background1" w:themeShade="D9" w:sz="8" w:space="0"/>
              <w:bottom w:val="single" w:color="D9D9D9" w:themeColor="background1" w:themeShade="D9" w:sz="8" w:space="0"/>
              <w:right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05" w:rsidP="00526A45" w:rsidRDefault="00634705" w14:paraId="10DADC80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EastAsia"/>
              </w:rPr>
            </w:pPr>
          </w:p>
        </w:tc>
        <w:tc>
          <w:tcPr>
            <w:tcW w:w="1125" w:type="dxa"/>
            <w:tcBorders>
              <w:top w:val="single" w:color="D9D9D9" w:themeColor="background1" w:themeShade="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05" w:rsidP="00526A45" w:rsidRDefault="00634705" w14:paraId="3749DF0F" w14:textId="77777777">
            <w:pPr>
              <w:spacing w:after="240"/>
            </w:pPr>
            <w:r w:rsidRPr="00D83E71">
              <w:t>Titel</w:t>
            </w:r>
          </w:p>
        </w:tc>
        <w:tc>
          <w:tcPr>
            <w:tcW w:w="6387" w:type="dxa"/>
            <w:tcBorders>
              <w:top w:val="single" w:color="D9D9D9" w:themeColor="background1" w:themeShade="D9" w:sz="8" w:space="0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C4C" w:rsidP="00CC2756" w:rsidRDefault="00CC2756" w14:paraId="0F85F838" w14:textId="77777777">
            <w:r w:rsidRPr="00CC2756">
              <w:t xml:space="preserve">Voorstel voor een BESLUIT VAN DE RAAD betreffende het standpunt dat namens de Europese Unie moet worden ingenomen op de 14e Ministeriële Conferentie van de Wereldhandelsorganisatie </w:t>
            </w:r>
            <w:hyperlink w:history="1" r:id="rId12">
              <w:r w:rsidRPr="00CC2756">
                <w:rPr>
                  <w:rStyle w:val="Hyperlink"/>
                </w:rPr>
                <w:t>COM(2025)8</w:t>
              </w:r>
            </w:hyperlink>
          </w:p>
          <w:p w:rsidRPr="00E303D0" w:rsidR="00CC2756" w:rsidP="00CC2756" w:rsidRDefault="00CC2756" w14:paraId="0215273D" w14:textId="2B0DC11C"/>
        </w:tc>
      </w:tr>
      <w:tr w:rsidR="00634705" w:rsidTr="00526A45" w14:paraId="4057C30F" w14:textId="77777777">
        <w:trPr>
          <w:trHeight w:val="300"/>
        </w:trPr>
        <w:tc>
          <w:tcPr>
            <w:tcW w:w="421" w:type="dxa"/>
            <w:vMerge/>
          </w:tcPr>
          <w:p w:rsidRPr="00E303D0" w:rsidR="00634705" w:rsidP="00526A45" w:rsidRDefault="00634705" w14:paraId="08F4DDF0" w14:textId="77777777"/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05" w:rsidP="00526A45" w:rsidRDefault="00634705" w14:paraId="34F2EB1E" w14:textId="77777777">
            <w:pPr>
              <w:spacing w:after="240"/>
            </w:pPr>
            <w:r>
              <w:t>Voorstel</w:t>
            </w:r>
          </w:p>
        </w:tc>
        <w:tc>
          <w:tcPr>
            <w:tcW w:w="6387" w:type="dxa"/>
            <w:tcBorders>
              <w:top w:val="nil"/>
              <w:left w:val="nil"/>
              <w:bottom w:val="nil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05" w:rsidP="00526A45" w:rsidRDefault="00B07B71" w14:paraId="6632A7AF" w14:textId="7228E64F">
            <w:pPr>
              <w:spacing w:after="24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Ter informatie</w:t>
            </w:r>
          </w:p>
        </w:tc>
      </w:tr>
      <w:tr w:rsidR="00634705" w:rsidTr="00526A45" w14:paraId="40B2A181" w14:textId="77777777">
        <w:trPr>
          <w:trHeight w:val="300"/>
        </w:trPr>
        <w:tc>
          <w:tcPr>
            <w:tcW w:w="421" w:type="dxa"/>
            <w:vMerge/>
          </w:tcPr>
          <w:p w:rsidR="00634705" w:rsidP="00526A45" w:rsidRDefault="00634705" w14:paraId="01E2F22A" w14:textId="77777777"/>
        </w:tc>
        <w:tc>
          <w:tcPr>
            <w:tcW w:w="1125" w:type="dxa"/>
            <w:tcBorders>
              <w:top w:val="nil"/>
              <w:left w:val="nil"/>
              <w:bottom w:val="single" w:color="D9D9D9" w:themeColor="background1" w:themeShade="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05" w:rsidP="00526A45" w:rsidRDefault="00634705" w14:paraId="7A70F551" w14:textId="77777777">
            <w:pPr>
              <w:spacing w:after="240"/>
            </w:pPr>
            <w:r>
              <w:t>Noot</w:t>
            </w:r>
          </w:p>
        </w:tc>
        <w:tc>
          <w:tcPr>
            <w:tcW w:w="6387" w:type="dxa"/>
            <w:tcBorders>
              <w:top w:val="nil"/>
              <w:left w:val="nil"/>
              <w:bottom w:val="single" w:color="D9D9D9" w:themeColor="background1" w:themeShade="D9" w:sz="8" w:space="0"/>
              <w:right w:val="single" w:color="D9D9D9" w:themeColor="background1" w:themeShade="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05" w:rsidP="005034AE" w:rsidRDefault="00CC2756" w14:paraId="02C7A932" w14:textId="330EC65C">
            <w:pPr>
              <w:shd w:val="clear" w:color="auto" w:fill="FFFFFF" w:themeFill="background1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Het </w:t>
            </w:r>
            <w:r w:rsidRPr="00CC2756">
              <w:rPr>
                <w:rFonts w:eastAsia="Verdana" w:cs="Verdana"/>
              </w:rPr>
              <w:t>geeft de Unie het mandaat om zich aan te sluiten bij een eventuele consensus over uiteenlopende handelsbesluiten, waaronder hervorming van het WTO-geschillenstelsel, landbouw en voedselzekerheid, visserijsubsidies, steun en overgangsmaatregelen voor ontwikkelings- en minst ontwikkelde landen, digitale handel en investeringsfacilitatie, alsook mogelijke ontheffingen en de oprichting van een nieuw comité over opkomende technologieën.</w:t>
            </w:r>
          </w:p>
        </w:tc>
      </w:tr>
    </w:tbl>
    <w:p w:rsidRPr="00193A2B" w:rsidR="00634705" w:rsidP="00634705" w:rsidRDefault="00634705" w14:paraId="1FEAB081" w14:textId="77777777">
      <w:pPr>
        <w:rPr>
          <w:bCs/>
          <w:szCs w:val="18"/>
        </w:rPr>
      </w:pPr>
    </w:p>
    <w:p w:rsidR="00634705" w:rsidP="00634705" w:rsidRDefault="00634705" w14:paraId="0981F8CB" w14:textId="77777777">
      <w:pPr>
        <w:rPr>
          <w:b/>
          <w:bCs/>
          <w:szCs w:val="18"/>
        </w:rPr>
      </w:pPr>
    </w:p>
    <w:sectPr w:rsidR="00634705" w:rsidSect="00634705">
      <w:headerReference w:type="default" r:id="rId13"/>
      <w:pgSz w:w="11906" w:h="16838"/>
      <w:pgMar w:top="1417" w:right="1417" w:bottom="1417" w:left="1417" w:header="2370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0C12" w14:textId="77777777" w:rsidR="005A1A93" w:rsidRDefault="005A1A93" w:rsidP="00634705">
      <w:r>
        <w:separator/>
      </w:r>
    </w:p>
  </w:endnote>
  <w:endnote w:type="continuationSeparator" w:id="0">
    <w:p w14:paraId="20C368DD" w14:textId="77777777" w:rsidR="005A1A93" w:rsidRDefault="005A1A93" w:rsidP="0063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B4BA" w14:textId="77777777" w:rsidR="005A1A93" w:rsidRDefault="005A1A93" w:rsidP="00634705">
      <w:r>
        <w:separator/>
      </w:r>
    </w:p>
  </w:footnote>
  <w:footnote w:type="continuationSeparator" w:id="0">
    <w:p w14:paraId="5AD171F9" w14:textId="77777777" w:rsidR="005A1A93" w:rsidRDefault="005A1A93" w:rsidP="00634705">
      <w:r>
        <w:continuationSeparator/>
      </w:r>
    </w:p>
  </w:footnote>
  <w:footnote w:id="1">
    <w:p w14:paraId="6B79886F" w14:textId="77777777" w:rsidR="00634705" w:rsidRPr="002B21B2" w:rsidRDefault="00634705" w:rsidP="00634705">
      <w:pPr>
        <w:pStyle w:val="Voetnoottekst"/>
        <w:rPr>
          <w:rFonts w:ascii="Verdana" w:hAnsi="Verdana"/>
        </w:rPr>
      </w:pPr>
      <w:r w:rsidRPr="4FDDB90E">
        <w:rPr>
          <w:rStyle w:val="Voetnootmarkering"/>
          <w:rFonts w:ascii="Verdana" w:eastAsia="Verdana" w:hAnsi="Verdana" w:cs="Verdana"/>
          <w:sz w:val="14"/>
          <w:szCs w:val="14"/>
        </w:rPr>
        <w:footnoteRef/>
      </w:r>
      <w:r w:rsidRPr="4FDDB90E">
        <w:rPr>
          <w:rFonts w:ascii="Verdana" w:eastAsia="Verdana" w:hAnsi="Verdana" w:cs="Verdana"/>
          <w:sz w:val="14"/>
          <w:szCs w:val="14"/>
        </w:rPr>
        <w:t xml:space="preserve">Voor een overzicht van behandelopties per type EU-voorstel, zie </w:t>
      </w:r>
      <w:hyperlink r:id="rId1" w:history="1">
        <w:r w:rsidRPr="4FDDB90E">
          <w:rPr>
            <w:rStyle w:val="Hyperlink"/>
            <w:rFonts w:ascii="Verdana" w:eastAsia="Verdana" w:hAnsi="Verdana" w:cs="Verdana"/>
            <w:sz w:val="14"/>
            <w:szCs w:val="14"/>
          </w:rPr>
          <w:t>dit overzicht op Plein2</w:t>
        </w:r>
      </w:hyperlink>
      <w:r w:rsidRPr="4FDDB90E">
        <w:rPr>
          <w:rFonts w:ascii="Verdana" w:eastAsia="Verdana" w:hAnsi="Verdana" w:cs="Verdana"/>
          <w:sz w:val="14"/>
          <w:szCs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5A33" w14:textId="77777777" w:rsidR="00634705" w:rsidRDefault="00634705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C4D866" wp14:editId="48AE701C">
              <wp:simplePos x="0" y="0"/>
              <wp:positionH relativeFrom="column">
                <wp:posOffset>4542155</wp:posOffset>
              </wp:positionH>
              <wp:positionV relativeFrom="paragraph">
                <wp:posOffset>-755650</wp:posOffset>
              </wp:positionV>
              <wp:extent cx="1854200" cy="74485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401B0" w14:textId="77777777" w:rsidR="00634705" w:rsidRDefault="00634705">
                          <w:r>
                            <w:t>Commissie BHO</w:t>
                          </w:r>
                        </w:p>
                        <w:p w14:paraId="6D717E0C" w14:textId="77777777" w:rsidR="00634705" w:rsidRDefault="00634705">
                          <w:r>
                            <w:t>15-12-2025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4D86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57.65pt;margin-top:-59.5pt;width:146pt;height:5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" stroked="f">
              <v:textbox>
                <w:txbxContent>
                  <w:p w14:paraId="307401B0" w14:textId="77777777" w:rsidR="00634705" w:rsidRDefault="00634705">
                    <w:r>
                      <w:t>Commissie BHO</w:t>
                    </w:r>
                  </w:p>
                  <w:p w14:paraId="6D717E0C" w14:textId="77777777" w:rsidR="00634705" w:rsidRDefault="00634705">
                    <w:r>
                      <w:t>15-12-2025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24610">
      <w:rPr>
        <w:noProof/>
      </w:rPr>
      <w:drawing>
        <wp:anchor distT="0" distB="0" distL="114300" distR="114300" simplePos="0" relativeHeight="251659264" behindDoc="1" locked="0" layoutInCell="1" allowOverlap="1" wp14:anchorId="670FBEB5" wp14:editId="62140C1B">
          <wp:simplePos x="0" y="0"/>
          <wp:positionH relativeFrom="column">
            <wp:posOffset>73025</wp:posOffset>
          </wp:positionH>
          <wp:positionV relativeFrom="paragraph">
            <wp:posOffset>-1196975</wp:posOffset>
          </wp:positionV>
          <wp:extent cx="1624965" cy="655955"/>
          <wp:effectExtent l="0" t="0" r="0" b="0"/>
          <wp:wrapTight wrapText="bothSides">
            <wp:wrapPolygon edited="0">
              <wp:start x="0" y="0"/>
              <wp:lineTo x="0" y="20701"/>
              <wp:lineTo x="21271" y="20701"/>
              <wp:lineTo x="21271" y="0"/>
              <wp:lineTo x="0" y="0"/>
            </wp:wrapPolygon>
          </wp:wrapTight>
          <wp:docPr id="389614617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4610">
      <w:rPr>
        <w:noProof/>
      </w:rPr>
      <w:drawing>
        <wp:anchor distT="0" distB="0" distL="114300" distR="114300" simplePos="0" relativeHeight="251660288" behindDoc="1" locked="0" layoutInCell="1" allowOverlap="1" wp14:anchorId="3621464B" wp14:editId="359286F6">
          <wp:simplePos x="0" y="0"/>
          <wp:positionH relativeFrom="column">
            <wp:posOffset>-457200</wp:posOffset>
          </wp:positionH>
          <wp:positionV relativeFrom="paragraph">
            <wp:posOffset>-1257935</wp:posOffset>
          </wp:positionV>
          <wp:extent cx="387985" cy="1097280"/>
          <wp:effectExtent l="0" t="0" r="0" b="7620"/>
          <wp:wrapTight wrapText="bothSides">
            <wp:wrapPolygon edited="0">
              <wp:start x="0" y="0"/>
              <wp:lineTo x="0" y="21375"/>
              <wp:lineTo x="20151" y="21375"/>
              <wp:lineTo x="20151" y="0"/>
              <wp:lineTo x="0" y="0"/>
            </wp:wrapPolygon>
          </wp:wrapTight>
          <wp:docPr id="121234551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865258CC"/>
    <w:lvl w:ilvl="0" w:tplc="3D1EFF72">
      <w:start w:val="1"/>
      <w:numFmt w:val="decimal"/>
      <w:lvlText w:val="%1."/>
      <w:lvlJc w:val="left"/>
      <w:pPr>
        <w:ind w:left="501" w:hanging="360"/>
      </w:pPr>
    </w:lvl>
    <w:lvl w:ilvl="1" w:tplc="877AC7A0" w:tentative="1">
      <w:start w:val="1"/>
      <w:numFmt w:val="lowerLetter"/>
      <w:lvlText w:val="%2."/>
      <w:lvlJc w:val="left"/>
      <w:pPr>
        <w:ind w:left="1440" w:hanging="360"/>
      </w:pPr>
    </w:lvl>
    <w:lvl w:ilvl="2" w:tplc="FDC05BE8" w:tentative="1">
      <w:start w:val="1"/>
      <w:numFmt w:val="lowerRoman"/>
      <w:lvlText w:val="%3."/>
      <w:lvlJc w:val="right"/>
      <w:pPr>
        <w:ind w:left="2160" w:hanging="180"/>
      </w:pPr>
    </w:lvl>
    <w:lvl w:ilvl="3" w:tplc="37DC7F52" w:tentative="1">
      <w:start w:val="1"/>
      <w:numFmt w:val="decimal"/>
      <w:lvlText w:val="%4."/>
      <w:lvlJc w:val="left"/>
      <w:pPr>
        <w:ind w:left="2880" w:hanging="360"/>
      </w:pPr>
    </w:lvl>
    <w:lvl w:ilvl="4" w:tplc="00E6C30A" w:tentative="1">
      <w:start w:val="1"/>
      <w:numFmt w:val="lowerLetter"/>
      <w:lvlText w:val="%5."/>
      <w:lvlJc w:val="left"/>
      <w:pPr>
        <w:ind w:left="3600" w:hanging="360"/>
      </w:pPr>
    </w:lvl>
    <w:lvl w:ilvl="5" w:tplc="FE468A18" w:tentative="1">
      <w:start w:val="1"/>
      <w:numFmt w:val="lowerRoman"/>
      <w:lvlText w:val="%6."/>
      <w:lvlJc w:val="right"/>
      <w:pPr>
        <w:ind w:left="4320" w:hanging="180"/>
      </w:pPr>
    </w:lvl>
    <w:lvl w:ilvl="6" w:tplc="6518B3FE" w:tentative="1">
      <w:start w:val="1"/>
      <w:numFmt w:val="decimal"/>
      <w:lvlText w:val="%7."/>
      <w:lvlJc w:val="left"/>
      <w:pPr>
        <w:ind w:left="5040" w:hanging="360"/>
      </w:pPr>
    </w:lvl>
    <w:lvl w:ilvl="7" w:tplc="BCACBE86" w:tentative="1">
      <w:start w:val="1"/>
      <w:numFmt w:val="lowerLetter"/>
      <w:lvlText w:val="%8."/>
      <w:lvlJc w:val="left"/>
      <w:pPr>
        <w:ind w:left="5760" w:hanging="360"/>
      </w:pPr>
    </w:lvl>
    <w:lvl w:ilvl="8" w:tplc="AB569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33408AB8">
      <w:start w:val="1"/>
      <w:numFmt w:val="upperRoman"/>
      <w:lvlText w:val="%1."/>
      <w:lvlJc w:val="right"/>
      <w:pPr>
        <w:ind w:left="720" w:hanging="360"/>
      </w:pPr>
    </w:lvl>
    <w:lvl w:ilvl="1" w:tplc="517A103E" w:tentative="1">
      <w:start w:val="1"/>
      <w:numFmt w:val="lowerLetter"/>
      <w:lvlText w:val="%2."/>
      <w:lvlJc w:val="left"/>
      <w:pPr>
        <w:ind w:left="1440" w:hanging="360"/>
      </w:pPr>
    </w:lvl>
    <w:lvl w:ilvl="2" w:tplc="69541D0E" w:tentative="1">
      <w:start w:val="1"/>
      <w:numFmt w:val="lowerRoman"/>
      <w:lvlText w:val="%3."/>
      <w:lvlJc w:val="right"/>
      <w:pPr>
        <w:ind w:left="2160" w:hanging="180"/>
      </w:pPr>
    </w:lvl>
    <w:lvl w:ilvl="3" w:tplc="EE5018DE" w:tentative="1">
      <w:start w:val="1"/>
      <w:numFmt w:val="decimal"/>
      <w:lvlText w:val="%4."/>
      <w:lvlJc w:val="left"/>
      <w:pPr>
        <w:ind w:left="2880" w:hanging="360"/>
      </w:pPr>
    </w:lvl>
    <w:lvl w:ilvl="4" w:tplc="85B2877E" w:tentative="1">
      <w:start w:val="1"/>
      <w:numFmt w:val="lowerLetter"/>
      <w:lvlText w:val="%5."/>
      <w:lvlJc w:val="left"/>
      <w:pPr>
        <w:ind w:left="3600" w:hanging="360"/>
      </w:pPr>
    </w:lvl>
    <w:lvl w:ilvl="5" w:tplc="89725886" w:tentative="1">
      <w:start w:val="1"/>
      <w:numFmt w:val="lowerRoman"/>
      <w:lvlText w:val="%6."/>
      <w:lvlJc w:val="right"/>
      <w:pPr>
        <w:ind w:left="4320" w:hanging="180"/>
      </w:pPr>
    </w:lvl>
    <w:lvl w:ilvl="6" w:tplc="74AEAFC8" w:tentative="1">
      <w:start w:val="1"/>
      <w:numFmt w:val="decimal"/>
      <w:lvlText w:val="%7."/>
      <w:lvlJc w:val="left"/>
      <w:pPr>
        <w:ind w:left="5040" w:hanging="360"/>
      </w:pPr>
    </w:lvl>
    <w:lvl w:ilvl="7" w:tplc="1CB47C00" w:tentative="1">
      <w:start w:val="1"/>
      <w:numFmt w:val="lowerLetter"/>
      <w:lvlText w:val="%8."/>
      <w:lvlJc w:val="left"/>
      <w:pPr>
        <w:ind w:left="5760" w:hanging="360"/>
      </w:pPr>
    </w:lvl>
    <w:lvl w:ilvl="8" w:tplc="A75E37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4195">
    <w:abstractNumId w:val="1"/>
  </w:num>
  <w:num w:numId="2" w16cid:durableId="10557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3"/>
    <w:rsid w:val="00005C4C"/>
    <w:rsid w:val="002D2230"/>
    <w:rsid w:val="00382860"/>
    <w:rsid w:val="005034AE"/>
    <w:rsid w:val="005A1A93"/>
    <w:rsid w:val="005A2F10"/>
    <w:rsid w:val="00634705"/>
    <w:rsid w:val="006664F7"/>
    <w:rsid w:val="007E3B63"/>
    <w:rsid w:val="009012AB"/>
    <w:rsid w:val="009945EE"/>
    <w:rsid w:val="009C6080"/>
    <w:rsid w:val="00B07B71"/>
    <w:rsid w:val="00CC2756"/>
    <w:rsid w:val="00D01690"/>
    <w:rsid w:val="00E64E4F"/>
    <w:rsid w:val="00F9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50F0"/>
  <w15:chartTrackingRefBased/>
  <w15:docId w15:val="{56A40855-7F1A-4CB5-AEBB-94152CAD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4705"/>
    <w:pPr>
      <w:spacing w:after="0" w:line="240" w:lineRule="auto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3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3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3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3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3B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3B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3B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3B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3B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3B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3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3B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3B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3B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3B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3B6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47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4705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customStyle="1" w:styleId="PlatteTekst">
    <w:name w:val="Platte_Tekst"/>
    <w:basedOn w:val="Standaard"/>
    <w:uiPriority w:val="99"/>
    <w:rsid w:val="00634705"/>
    <w:pPr>
      <w:spacing w:line="284" w:lineRule="exact"/>
    </w:pPr>
  </w:style>
  <w:style w:type="character" w:styleId="Hyperlink">
    <w:name w:val="Hyperlink"/>
    <w:rsid w:val="0063470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634705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4705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uiPriority w:val="99"/>
    <w:semiHidden/>
    <w:rsid w:val="0063470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34A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C60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hyperlink" Target="https://eur06.safelinks.protection.outlook.com/?url=https%3A%2F%2Feur-lex.europa.eu%2Flegal-content%2FNL%2FTXT%2F%3Furi%3DCOM%253A2026%253A8%253AFIN%26qid%3D1768909902289&amp;data=05%7C02%7Cl.haverkamp%40tweedekamer.nl%7Cf438e0b0d5934c5e381008de59c3ce8c%7C238cb5073f714afeaaab8382731a4345%7C0%7C0%7C639046894680663481%7CUnknown%7CTWFpbGZsb3d8eyJFbXB0eU1hcGkiOnRydWUsIlYiOiIwLjAuMDAwMCIsIlAiOiJXaW4zMiIsIkFOIjoiTWFpbCIsIldUIjoyfQ%3D%3D%7C0%7C%7C%7C&amp;sdata=PyfjmRY5FEyAJOtSPvUzvktAA92jBvCcT9xakwGsulU%3D&amp;reserved=0" TargetMode="Externa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258</ap:Words>
  <ap:Characters>1425</ap:Characters>
  <ap:DocSecurity>0</ap:DocSecurity>
  <ap:Lines>11</ap:Lines>
  <ap:Paragraphs>3</ap:Paragraphs>
  <ap:ScaleCrop>false</ap:ScaleCrop>
  <ap:LinksUpToDate>false</ap:LinksUpToDate>
  <ap:CharactersWithSpaces>1680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2026-01-25T21:32:00.0000000Z</dcterms:created>
  <dcterms:modified xsi:type="dcterms:W3CDTF">2026-01-25T21:49:00.0000000Z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0x010100652B67EEE1A68642A5D50A61AFC143750056F2A0B99D579F4DBE5DBC0C3BA4ECBE</vt:lpwstr>
  </property>
  <property fmtid="{D5CDD505-2E9C-101B-9397-08002B2CF9AE}" pid="3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4" name="Beperking">
    <vt:lpwstr/>
  </property>
  <property fmtid="{D5CDD505-2E9C-101B-9397-08002B2CF9AE}" pid="5" name="_dlc_DocIdItemGuid">
    <vt:lpwstr>08271e67-ff5f-45a6-82f4-bbd69f9219fb</vt:lpwstr>
  </property>
</Properties>
</file>