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354" w:rsidP="00002A7F" w:rsidRDefault="0033380B" w14:paraId="104C9E8D" w14:textId="77777777">
      <w:pPr>
        <w:spacing w:line="276" w:lineRule="auto"/>
      </w:pPr>
      <w:r>
        <w:t>Geachte voorzitter,</w:t>
      </w:r>
    </w:p>
    <w:p w:rsidR="00326354" w:rsidP="00002A7F" w:rsidRDefault="00326354" w14:paraId="104C9E8E" w14:textId="77777777">
      <w:pPr>
        <w:spacing w:line="276" w:lineRule="auto"/>
      </w:pPr>
    </w:p>
    <w:p w:rsidR="00206059" w:rsidP="00002A7F" w:rsidRDefault="00206059" w14:paraId="71D822AE" w14:textId="77777777">
      <w:pPr>
        <w:spacing w:line="276" w:lineRule="auto"/>
      </w:pPr>
      <w:r>
        <w:t>Met deze brief reageert het kabinet op uw verzoek van 19 januari jl. om nader in te gaan op de uitvoering van de op 16 december jl. aangenomen motie die het kabinet oproept te bezien of er vanuit de bestaande budgetten voor noodhulp een aanvullende bijdrage gedaan kan worden om de mensen in Gaza te helpen tijdens de winter (Kamerstuk 21501-02, nr. 3287).</w:t>
      </w:r>
    </w:p>
    <w:p w:rsidR="00206059" w:rsidP="00002A7F" w:rsidRDefault="00206059" w14:paraId="0BB75597" w14:textId="77777777">
      <w:pPr>
        <w:spacing w:line="276" w:lineRule="auto"/>
      </w:pPr>
    </w:p>
    <w:p w:rsidR="00206059" w:rsidP="00002A7F" w:rsidRDefault="00206059" w14:paraId="135B3662" w14:textId="44CE700C">
      <w:pPr>
        <w:spacing w:line="276" w:lineRule="auto"/>
      </w:pPr>
      <w:r w:rsidRPr="009B686B">
        <w:t>De Nederlandse financiële inzet voor humanitaire hulp in 2026 is op 12 januari jl. aan de Kamer bekendgemaakt</w:t>
      </w:r>
      <w:r>
        <w:t xml:space="preserve"> (Kamerstuk </w:t>
      </w:r>
      <w:r w:rsidRPr="009E516F">
        <w:t>36180-189</w:t>
      </w:r>
      <w:r>
        <w:t>)</w:t>
      </w:r>
      <w:r w:rsidRPr="009B686B">
        <w:t xml:space="preserve">. Middels aanzienlijke, flexibel inzetbare bijdragen aan de VN, de Rode Kruis- en Halve Maanbeweging en Dutch Relief Alliance helpt Nederland deze organisaties in 2026 </w:t>
      </w:r>
      <w:r>
        <w:t xml:space="preserve">opnieuw </w:t>
      </w:r>
      <w:r w:rsidRPr="009B686B">
        <w:t>om te reageren op humanitaire crises wereldwijd</w:t>
      </w:r>
      <w:r w:rsidR="00825CFA">
        <w:t xml:space="preserve"> </w:t>
      </w:r>
      <w:r w:rsidRPr="004433FF" w:rsidR="00825CFA">
        <w:t>en urgente noden</w:t>
      </w:r>
      <w:r w:rsidRPr="004433FF">
        <w:t>.</w:t>
      </w:r>
      <w:r w:rsidRPr="009B686B">
        <w:t xml:space="preserve"> </w:t>
      </w:r>
      <w:r>
        <w:t xml:space="preserve">De Nederlandse middelen kunnen, net als in voorgaande jaren, ook worden aangewend om mensen in Gaza te helpen tijdens de winter. Verschillende organisaties die Nederlandse steun ontvangen, doen dit. Zo heeft UNICEF bijvoorbeeld dekzeilen, dekens en winterkledingkits voor kinderen uitgedeeld </w:t>
      </w:r>
      <w:r w:rsidRPr="004433FF" w:rsidR="00825CFA">
        <w:t xml:space="preserve">in Gaza </w:t>
      </w:r>
      <w:r w:rsidRPr="004433FF">
        <w:t xml:space="preserve">in het najaar van 2025. Nederland </w:t>
      </w:r>
      <w:r w:rsidRPr="004433FF" w:rsidR="00B35977">
        <w:t xml:space="preserve">is tevens voornemens om in </w:t>
      </w:r>
      <w:r w:rsidRPr="004433FF">
        <w:t xml:space="preserve">2026 </w:t>
      </w:r>
      <w:r w:rsidRPr="004433FF" w:rsidR="00B35977">
        <w:t xml:space="preserve">een bedrag van 16 miljoen euro </w:t>
      </w:r>
      <w:r w:rsidRPr="004433FF">
        <w:t xml:space="preserve">beschikbaar </w:t>
      </w:r>
      <w:r w:rsidRPr="004433FF" w:rsidR="00B35977">
        <w:t xml:space="preserve">te stellen </w:t>
      </w:r>
      <w:r w:rsidRPr="004433FF">
        <w:t>voor het humanitaire landenfonds van de VN voor de Palestijnse gebieden</w:t>
      </w:r>
      <w:r w:rsidRPr="004433FF" w:rsidR="00E51A12">
        <w:t>, naast ook bijdragen voor andere landenfondsen van de VN zoals de fondsen voor Soedan en Syrië</w:t>
      </w:r>
      <w:r w:rsidRPr="004433FF">
        <w:t>. Met</w:t>
      </w:r>
      <w:r>
        <w:t xml:space="preserve"> deze bijdrage stelt Nederland de VN en hun partners in staat om, op basis van de hoogste humanitaire noden, hulp te leveren in de Palestijnse gebieden. Dit geld kan zodoende ook worden ingezet voor activiteiten om mensen in de Gazastrook beter te helpen beschermen tegen winterse weersomstandigheden. </w:t>
      </w:r>
    </w:p>
    <w:p w:rsidR="00D10FA8" w:rsidP="00002A7F" w:rsidRDefault="00D10FA8" w14:paraId="3A6D388F"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326354" w14:paraId="104C9E93" w14:textId="77777777">
        <w:tc>
          <w:tcPr>
            <w:tcW w:w="3620" w:type="dxa"/>
          </w:tcPr>
          <w:p w:rsidR="00326354" w:rsidP="00002A7F" w:rsidRDefault="0033380B" w14:paraId="104C9E91" w14:textId="3ECB25AD">
            <w:pPr>
              <w:spacing w:line="276" w:lineRule="auto"/>
            </w:pPr>
            <w:r>
              <w:t>Staatssecretaris Buitenlandse Handel en Ontwikkelingshulp</w:t>
            </w:r>
            <w:r w:rsidR="008501B1">
              <w:t>,</w:t>
            </w:r>
            <w:r>
              <w:br/>
            </w:r>
            <w:r>
              <w:br/>
            </w:r>
            <w:r>
              <w:br/>
            </w:r>
            <w:r>
              <w:br/>
            </w:r>
            <w:r>
              <w:br/>
              <w:t>Aukje de Vrie</w:t>
            </w:r>
            <w:r w:rsidR="00D10FA8">
              <w:t>s</w:t>
            </w:r>
          </w:p>
        </w:tc>
        <w:tc>
          <w:tcPr>
            <w:tcW w:w="3921" w:type="dxa"/>
          </w:tcPr>
          <w:p w:rsidR="00326354" w:rsidP="00002A7F" w:rsidRDefault="00326354" w14:paraId="104C9E92" w14:textId="77777777">
            <w:pPr>
              <w:spacing w:line="276" w:lineRule="auto"/>
            </w:pPr>
          </w:p>
        </w:tc>
      </w:tr>
    </w:tbl>
    <w:p w:rsidR="00326354" w:rsidP="00002A7F" w:rsidRDefault="00326354" w14:paraId="104C9E94" w14:textId="77777777">
      <w:pPr>
        <w:spacing w:line="276" w:lineRule="auto"/>
      </w:pPr>
    </w:p>
    <w:sectPr w:rsidR="00326354" w:rsidSect="00002A7F">
      <w:headerReference w:type="even" r:id="rId14"/>
      <w:headerReference w:type="default" r:id="rId15"/>
      <w:footerReference w:type="even" r:id="rId16"/>
      <w:footerReference w:type="default" r:id="rId17"/>
      <w:headerReference w:type="first" r:id="rId18"/>
      <w:footerReference w:type="first" r:id="rId19"/>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9E9D" w14:textId="77777777" w:rsidR="0033380B" w:rsidRDefault="0033380B">
      <w:pPr>
        <w:spacing w:line="240" w:lineRule="auto"/>
      </w:pPr>
      <w:r>
        <w:separator/>
      </w:r>
    </w:p>
  </w:endnote>
  <w:endnote w:type="continuationSeparator" w:id="0">
    <w:p w14:paraId="104C9E9F" w14:textId="77777777" w:rsidR="0033380B" w:rsidRDefault="003338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4B51" w14:textId="77777777" w:rsidR="004433FF" w:rsidRDefault="00443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2AE3" w14:textId="77777777" w:rsidR="004433FF" w:rsidRDefault="00443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36C2" w14:textId="77777777" w:rsidR="004433FF" w:rsidRDefault="00443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9E99" w14:textId="77777777" w:rsidR="0033380B" w:rsidRDefault="0033380B">
      <w:pPr>
        <w:spacing w:line="240" w:lineRule="auto"/>
      </w:pPr>
      <w:r>
        <w:separator/>
      </w:r>
    </w:p>
  </w:footnote>
  <w:footnote w:type="continuationSeparator" w:id="0">
    <w:p w14:paraId="104C9E9B" w14:textId="77777777" w:rsidR="0033380B" w:rsidRDefault="003338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D68E" w14:textId="77777777" w:rsidR="004433FF" w:rsidRDefault="00443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9E95" w14:textId="77777777" w:rsidR="00326354" w:rsidRDefault="0033380B">
    <w:r>
      <w:rPr>
        <w:noProof/>
      </w:rPr>
      <mc:AlternateContent>
        <mc:Choice Requires="wps">
          <w:drawing>
            <wp:anchor distT="0" distB="0" distL="0" distR="0" simplePos="0" relativeHeight="251652608" behindDoc="0" locked="1" layoutInCell="1" allowOverlap="1" wp14:anchorId="104C9E99" wp14:editId="104C9E9A">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4C9EC7" w14:textId="77777777" w:rsidR="00326354" w:rsidRDefault="0033380B">
                          <w:pPr>
                            <w:pStyle w:val="Referentiegegevensbold"/>
                          </w:pPr>
                          <w:r>
                            <w:t>Ministerie van Buitenlandse Zaken</w:t>
                          </w:r>
                        </w:p>
                        <w:p w14:paraId="104C9EC8" w14:textId="77777777" w:rsidR="00326354" w:rsidRDefault="00326354">
                          <w:pPr>
                            <w:pStyle w:val="WitregelW2"/>
                          </w:pPr>
                        </w:p>
                        <w:p w14:paraId="104C9EC9" w14:textId="77777777" w:rsidR="00326354" w:rsidRDefault="0033380B">
                          <w:pPr>
                            <w:pStyle w:val="Referentiegegevensbold"/>
                          </w:pPr>
                          <w:r>
                            <w:t>Onze referentie</w:t>
                          </w:r>
                        </w:p>
                        <w:p w14:paraId="104C9ECA" w14:textId="77777777" w:rsidR="00326354" w:rsidRDefault="0033380B">
                          <w:pPr>
                            <w:pStyle w:val="Referentiegegevens"/>
                          </w:pPr>
                          <w:r>
                            <w:t>BZ2624236</w:t>
                          </w:r>
                        </w:p>
                      </w:txbxContent>
                    </wps:txbx>
                    <wps:bodyPr vert="horz" wrap="square" lIns="0" tIns="0" rIns="0" bIns="0" anchor="t" anchorCtr="0"/>
                  </wps:wsp>
                </a:graphicData>
              </a:graphic>
            </wp:anchor>
          </w:drawing>
        </mc:Choice>
        <mc:Fallback>
          <w:pict>
            <v:shapetype w14:anchorId="104C9E99"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04C9EC7" w14:textId="77777777" w:rsidR="00326354" w:rsidRDefault="0033380B">
                    <w:pPr>
                      <w:pStyle w:val="Referentiegegevensbold"/>
                    </w:pPr>
                    <w:r>
                      <w:t>Ministerie van Buitenlandse Zaken</w:t>
                    </w:r>
                  </w:p>
                  <w:p w14:paraId="104C9EC8" w14:textId="77777777" w:rsidR="00326354" w:rsidRDefault="00326354">
                    <w:pPr>
                      <w:pStyle w:val="WitregelW2"/>
                    </w:pPr>
                  </w:p>
                  <w:p w14:paraId="104C9EC9" w14:textId="77777777" w:rsidR="00326354" w:rsidRDefault="0033380B">
                    <w:pPr>
                      <w:pStyle w:val="Referentiegegevensbold"/>
                    </w:pPr>
                    <w:r>
                      <w:t>Onze referentie</w:t>
                    </w:r>
                  </w:p>
                  <w:p w14:paraId="104C9ECA" w14:textId="77777777" w:rsidR="00326354" w:rsidRDefault="0033380B">
                    <w:pPr>
                      <w:pStyle w:val="Referentiegegevens"/>
                    </w:pPr>
                    <w:r>
                      <w:t>BZ2624236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04C9E9B" wp14:editId="104C9E9C">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04C9ECB" w14:textId="77777777" w:rsidR="00326354" w:rsidRDefault="0033380B">
                          <w:pPr>
                            <w:pStyle w:val="Rubricering"/>
                          </w:pPr>
                          <w:r>
                            <w:t>ONGERUBRICEERD / GEEN MERKING</w:t>
                          </w:r>
                        </w:p>
                      </w:txbxContent>
                    </wps:txbx>
                    <wps:bodyPr vert="horz" wrap="square" lIns="0" tIns="0" rIns="0" bIns="0" anchor="t" anchorCtr="0"/>
                  </wps:wsp>
                </a:graphicData>
              </a:graphic>
            </wp:anchor>
          </w:drawing>
        </mc:Choice>
        <mc:Fallback>
          <w:pict>
            <v:shape w14:anchorId="104C9E9B"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04C9ECB" w14:textId="77777777" w:rsidR="00326354" w:rsidRDefault="0033380B">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04C9E9D" wp14:editId="104C9E9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4C9ED9" w14:textId="77777777" w:rsidR="0033380B" w:rsidRDefault="0033380B"/>
                      </w:txbxContent>
                    </wps:txbx>
                    <wps:bodyPr vert="horz" wrap="square" lIns="0" tIns="0" rIns="0" bIns="0" anchor="t" anchorCtr="0"/>
                  </wps:wsp>
                </a:graphicData>
              </a:graphic>
            </wp:anchor>
          </w:drawing>
        </mc:Choice>
        <mc:Fallback>
          <w:pict>
            <v:shape w14:anchorId="104C9E9D"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04C9ED9" w14:textId="77777777" w:rsidR="0033380B" w:rsidRDefault="0033380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9E97" w14:textId="629E8B26" w:rsidR="00326354" w:rsidRDefault="0033380B" w:rsidP="0074781C">
    <w:pPr>
      <w:spacing w:after="7131" w:line="14" w:lineRule="exact"/>
      <w:ind w:left="-227" w:right="-170"/>
    </w:pPr>
    <w:r>
      <w:rPr>
        <w:noProof/>
      </w:rPr>
      <mc:AlternateContent>
        <mc:Choice Requires="wps">
          <w:drawing>
            <wp:anchor distT="0" distB="0" distL="0" distR="0" simplePos="0" relativeHeight="251655680" behindDoc="0" locked="1" layoutInCell="1" allowOverlap="1" wp14:anchorId="104C9E9F" wp14:editId="104C9EA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04C9ECC" w14:textId="77777777" w:rsidR="0033380B" w:rsidRDefault="0033380B"/>
                      </w:txbxContent>
                    </wps:txbx>
                    <wps:bodyPr vert="horz" wrap="square" lIns="0" tIns="0" rIns="0" bIns="0" anchor="t" anchorCtr="0"/>
                  </wps:wsp>
                </a:graphicData>
              </a:graphic>
            </wp:anchor>
          </w:drawing>
        </mc:Choice>
        <mc:Fallback>
          <w:pict>
            <v:shapetype w14:anchorId="104C9E9F" id="_x0000_t202" coordsize="21600,21600" o:spt="202" path="m,l,21600r21600,l21600,xe">
              <v:stroke joinstyle="miter"/>
              <v:path gradientshapeok="t" o:connecttype="rect"/>
            </v:shapetype>
            <v:shape id="41b10a83-80a4-11ea-b356-6230a4311406" o:spid="_x0000_s1029" type="#_x0000_t202" style="position:absolute;left:0;text-align:left;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04C9ECC" w14:textId="77777777" w:rsidR="0033380B" w:rsidRDefault="0033380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04C9EA1" wp14:editId="4C6C196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4C9EB0" w14:textId="77777777" w:rsidR="00326354" w:rsidRDefault="0033380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14:sizeRelV relativeFrom="margin">
                <wp14:pctHeight>0</wp14:pctHeight>
              </wp14:sizeRelV>
            </wp:anchor>
          </w:drawing>
        </mc:Choice>
        <mc:Fallback>
          <w:pict>
            <v:shape w14:anchorId="104C9EA1" id="41b10c0b-80a4-11ea-b356-6230a4311406" o:spid="_x0000_s1030" type="#_x0000_t202" style="position:absolute;left:0;text-align:left;margin-left:79.35pt;margin-top:153.9pt;width:377pt;height:87.8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04C9EB0" w14:textId="77777777" w:rsidR="00326354" w:rsidRDefault="0033380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04C9EA3" wp14:editId="380B141C">
              <wp:simplePos x="0" y="0"/>
              <wp:positionH relativeFrom="margin">
                <wp:align>left</wp:align>
              </wp:positionH>
              <wp:positionV relativeFrom="page">
                <wp:posOffset>3768725</wp:posOffset>
              </wp:positionV>
              <wp:extent cx="4780915" cy="50038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50038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26354" w14:paraId="104C9EB3" w14:textId="77777777">
                            <w:tc>
                              <w:tcPr>
                                <w:tcW w:w="678" w:type="dxa"/>
                              </w:tcPr>
                              <w:p w14:paraId="104C9EB1" w14:textId="77777777" w:rsidR="00326354" w:rsidRDefault="0033380B">
                                <w:r>
                                  <w:t>Datum</w:t>
                                </w:r>
                              </w:p>
                            </w:tc>
                            <w:tc>
                              <w:tcPr>
                                <w:tcW w:w="6851" w:type="dxa"/>
                              </w:tcPr>
                              <w:p w14:paraId="104C9EB2" w14:textId="648FB5C1" w:rsidR="00326354" w:rsidRDefault="004433FF">
                                <w:r>
                                  <w:t xml:space="preserve">26 </w:t>
                                </w:r>
                                <w:r w:rsidR="0033380B">
                                  <w:t>januari 2026</w:t>
                                </w:r>
                              </w:p>
                            </w:tc>
                          </w:tr>
                          <w:tr w:rsidR="00326354" w14:paraId="104C9EB8" w14:textId="77777777">
                            <w:tc>
                              <w:tcPr>
                                <w:tcW w:w="678" w:type="dxa"/>
                              </w:tcPr>
                              <w:p w14:paraId="104C9EB4" w14:textId="77777777" w:rsidR="00326354" w:rsidRDefault="0033380B">
                                <w:r>
                                  <w:t>Betreft</w:t>
                                </w:r>
                              </w:p>
                              <w:p w14:paraId="104C9EB5" w14:textId="77777777" w:rsidR="00326354" w:rsidRDefault="00326354"/>
                            </w:tc>
                            <w:tc>
                              <w:tcPr>
                                <w:tcW w:w="6851" w:type="dxa"/>
                              </w:tcPr>
                              <w:p w14:paraId="104C9EB7" w14:textId="435DC7B9" w:rsidR="00326354" w:rsidRDefault="00002A7F">
                                <w:r>
                                  <w:t>K</w:t>
                                </w:r>
                                <w:r w:rsidR="0033380B">
                                  <w:t>abinetsreactie op de aangenomen motie</w:t>
                                </w:r>
                                <w:r w:rsidR="00CF1260">
                                  <w:t xml:space="preserve"> over hulp aan Gaza tijdens de winter </w:t>
                                </w:r>
                                <w:r w:rsidR="0033380B">
                                  <w:t>(Kamerstuk 21501-02, nr. 3287)</w:t>
                                </w:r>
                                <w:r w:rsidR="00CF1260">
                                  <w:t>.</w:t>
                                </w:r>
                              </w:p>
                            </w:tc>
                          </w:tr>
                        </w:tbl>
                        <w:p w14:paraId="104C9EB9" w14:textId="77777777" w:rsidR="00326354" w:rsidRDefault="00326354"/>
                        <w:p w14:paraId="104C9EBA" w14:textId="77777777" w:rsidR="00326354" w:rsidRDefault="0032635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4C9EA3" id="41b10c7e-80a4-11ea-b356-6230a4311406" o:spid="_x0000_s1031" type="#_x0000_t202" style="position:absolute;left:0;text-align:left;margin-left:0;margin-top:296.75pt;width:376.45pt;height:39.4pt;z-index:25165772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26354" w14:paraId="104C9EB3" w14:textId="77777777">
                      <w:tc>
                        <w:tcPr>
                          <w:tcW w:w="678" w:type="dxa"/>
                        </w:tcPr>
                        <w:p w14:paraId="104C9EB1" w14:textId="77777777" w:rsidR="00326354" w:rsidRDefault="0033380B">
                          <w:r>
                            <w:t>Datum</w:t>
                          </w:r>
                        </w:p>
                      </w:tc>
                      <w:tc>
                        <w:tcPr>
                          <w:tcW w:w="6851" w:type="dxa"/>
                        </w:tcPr>
                        <w:p w14:paraId="104C9EB2" w14:textId="648FB5C1" w:rsidR="00326354" w:rsidRDefault="004433FF">
                          <w:r>
                            <w:t xml:space="preserve">26 </w:t>
                          </w:r>
                          <w:r w:rsidR="0033380B">
                            <w:t>januari 2026</w:t>
                          </w:r>
                        </w:p>
                      </w:tc>
                    </w:tr>
                    <w:tr w:rsidR="00326354" w14:paraId="104C9EB8" w14:textId="77777777">
                      <w:tc>
                        <w:tcPr>
                          <w:tcW w:w="678" w:type="dxa"/>
                        </w:tcPr>
                        <w:p w14:paraId="104C9EB4" w14:textId="77777777" w:rsidR="00326354" w:rsidRDefault="0033380B">
                          <w:r>
                            <w:t>Betreft</w:t>
                          </w:r>
                        </w:p>
                        <w:p w14:paraId="104C9EB5" w14:textId="77777777" w:rsidR="00326354" w:rsidRDefault="00326354"/>
                      </w:tc>
                      <w:tc>
                        <w:tcPr>
                          <w:tcW w:w="6851" w:type="dxa"/>
                        </w:tcPr>
                        <w:p w14:paraId="104C9EB7" w14:textId="435DC7B9" w:rsidR="00326354" w:rsidRDefault="00002A7F">
                          <w:r>
                            <w:t>K</w:t>
                          </w:r>
                          <w:r w:rsidR="0033380B">
                            <w:t>abinetsreactie op de aangenomen motie</w:t>
                          </w:r>
                          <w:r w:rsidR="00CF1260">
                            <w:t xml:space="preserve"> over hulp aan Gaza tijdens de winter </w:t>
                          </w:r>
                          <w:r w:rsidR="0033380B">
                            <w:t>(Kamerstuk 21501-02, nr. 3287)</w:t>
                          </w:r>
                          <w:r w:rsidR="00CF1260">
                            <w:t>.</w:t>
                          </w:r>
                        </w:p>
                      </w:tc>
                    </w:tr>
                  </w:tbl>
                  <w:p w14:paraId="104C9EB9" w14:textId="77777777" w:rsidR="00326354" w:rsidRDefault="00326354"/>
                  <w:p w14:paraId="104C9EBA" w14:textId="77777777" w:rsidR="00326354" w:rsidRDefault="00326354"/>
                </w:txbxContent>
              </v:textbox>
              <w10:wrap anchorx="margin" anchory="page"/>
              <w10:anchorlock/>
            </v:shape>
          </w:pict>
        </mc:Fallback>
      </mc:AlternateContent>
    </w:r>
    <w:r>
      <w:rPr>
        <w:noProof/>
      </w:rPr>
      <mc:AlternateContent>
        <mc:Choice Requires="wps">
          <w:drawing>
            <wp:anchor distT="0" distB="0" distL="0" distR="0" simplePos="0" relativeHeight="251658752" behindDoc="0" locked="1" layoutInCell="1" allowOverlap="1" wp14:anchorId="104C9EA5" wp14:editId="104C9EA6">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4C9EBB" w14:textId="77777777" w:rsidR="00326354" w:rsidRDefault="0033380B">
                          <w:pPr>
                            <w:pStyle w:val="Referentiegegevensbold"/>
                          </w:pPr>
                          <w:r>
                            <w:t>Ministerie van Buitenlandse Zaken</w:t>
                          </w:r>
                        </w:p>
                        <w:p w14:paraId="104C9EBC" w14:textId="77777777" w:rsidR="00326354" w:rsidRDefault="00326354">
                          <w:pPr>
                            <w:pStyle w:val="WitregelW1"/>
                          </w:pPr>
                        </w:p>
                        <w:p w14:paraId="1234D9E8" w14:textId="77777777" w:rsidR="00002A7F" w:rsidRDefault="00002A7F">
                          <w:pPr>
                            <w:pStyle w:val="Referentiegegevens"/>
                          </w:pPr>
                          <w:r>
                            <w:t>Rijnstraat 8</w:t>
                          </w:r>
                          <w:r>
                            <w:br/>
                            <w:t>2515 XP Den Haag</w:t>
                          </w:r>
                          <w:r>
                            <w:br/>
                            <w:t>Postbus 20061</w:t>
                          </w:r>
                          <w:r>
                            <w:br/>
                            <w:t>Nederland</w:t>
                          </w:r>
                          <w:r>
                            <w:br/>
                          </w:r>
                        </w:p>
                        <w:p w14:paraId="104C9EBE" w14:textId="117A0C41" w:rsidR="00326354" w:rsidRPr="00A84042" w:rsidRDefault="0033380B">
                          <w:pPr>
                            <w:pStyle w:val="Referentiegegevens"/>
                            <w:rPr>
                              <w:lang w:val="de-DE"/>
                            </w:rPr>
                          </w:pPr>
                          <w:r w:rsidRPr="00A84042">
                            <w:rPr>
                              <w:lang w:val="de-DE"/>
                            </w:rPr>
                            <w:t>www.minbuza.nl</w:t>
                          </w:r>
                        </w:p>
                        <w:p w14:paraId="104C9EBF" w14:textId="77777777" w:rsidR="00326354" w:rsidRPr="00A84042" w:rsidRDefault="00326354">
                          <w:pPr>
                            <w:pStyle w:val="WitregelW2"/>
                            <w:rPr>
                              <w:lang w:val="de-DE"/>
                            </w:rPr>
                          </w:pPr>
                        </w:p>
                        <w:p w14:paraId="104C9EC0" w14:textId="77777777" w:rsidR="00326354" w:rsidRPr="00A84042" w:rsidRDefault="0033380B">
                          <w:pPr>
                            <w:pStyle w:val="Referentiegegevensbold"/>
                            <w:rPr>
                              <w:lang w:val="de-DE"/>
                            </w:rPr>
                          </w:pPr>
                          <w:proofErr w:type="spellStart"/>
                          <w:r w:rsidRPr="00A84042">
                            <w:rPr>
                              <w:lang w:val="de-DE"/>
                            </w:rPr>
                            <w:t>Onze</w:t>
                          </w:r>
                          <w:proofErr w:type="spellEnd"/>
                          <w:r w:rsidRPr="00A84042">
                            <w:rPr>
                              <w:lang w:val="de-DE"/>
                            </w:rPr>
                            <w:t xml:space="preserve"> </w:t>
                          </w:r>
                          <w:proofErr w:type="spellStart"/>
                          <w:r w:rsidRPr="00A84042">
                            <w:rPr>
                              <w:lang w:val="de-DE"/>
                            </w:rPr>
                            <w:t>referentie</w:t>
                          </w:r>
                          <w:proofErr w:type="spellEnd"/>
                        </w:p>
                        <w:p w14:paraId="6987C9E0" w14:textId="77777777" w:rsidR="00A84042" w:rsidRPr="00A84042" w:rsidRDefault="00A84042" w:rsidP="00A84042">
                          <w:pPr>
                            <w:pStyle w:val="Referentiegegevens"/>
                            <w:rPr>
                              <w:lang w:val="de-DE"/>
                            </w:rPr>
                          </w:pPr>
                          <w:r w:rsidRPr="00A84042">
                            <w:rPr>
                              <w:lang w:val="de-DE"/>
                            </w:rPr>
                            <w:t>BZ2523652</w:t>
                          </w:r>
                        </w:p>
                        <w:p w14:paraId="104C9EC1" w14:textId="4AFD1126" w:rsidR="00326354" w:rsidRPr="00A84042" w:rsidRDefault="00326354">
                          <w:pPr>
                            <w:pStyle w:val="Referentiegegevens"/>
                            <w:rPr>
                              <w:lang w:val="de-DE"/>
                            </w:rPr>
                          </w:pPr>
                        </w:p>
                        <w:p w14:paraId="104C9EC2" w14:textId="77777777" w:rsidR="00326354" w:rsidRPr="00A84042" w:rsidRDefault="00326354">
                          <w:pPr>
                            <w:pStyle w:val="WitregelW1"/>
                            <w:rPr>
                              <w:lang w:val="de-DE"/>
                            </w:rPr>
                          </w:pPr>
                        </w:p>
                        <w:p w14:paraId="104C9EC3" w14:textId="77777777" w:rsidR="00326354" w:rsidRDefault="0033380B">
                          <w:pPr>
                            <w:pStyle w:val="Referentiegegevensbold"/>
                          </w:pPr>
                          <w:r>
                            <w:t>Bijlage(n)</w:t>
                          </w:r>
                        </w:p>
                        <w:p w14:paraId="104C9EC4" w14:textId="77777777" w:rsidR="00326354" w:rsidRDefault="0033380B">
                          <w:pPr>
                            <w:pStyle w:val="Referentiegegevens"/>
                          </w:pPr>
                          <w:r>
                            <w:t>-</w:t>
                          </w:r>
                        </w:p>
                      </w:txbxContent>
                    </wps:txbx>
                    <wps:bodyPr vert="horz" wrap="square" lIns="0" tIns="0" rIns="0" bIns="0" anchor="t" anchorCtr="0"/>
                  </wps:wsp>
                </a:graphicData>
              </a:graphic>
            </wp:anchor>
          </w:drawing>
        </mc:Choice>
        <mc:Fallback>
          <w:pict>
            <v:shape w14:anchorId="104C9EA5" id="41b10cd4-80a4-11ea-b356-6230a4311406" o:spid="_x0000_s1032" type="#_x0000_t202" style="position:absolute;left:0;text-align:left;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104C9EBB" w14:textId="77777777" w:rsidR="00326354" w:rsidRDefault="0033380B">
                    <w:pPr>
                      <w:pStyle w:val="Referentiegegevensbold"/>
                    </w:pPr>
                    <w:r>
                      <w:t>Ministerie van Buitenlandse Zaken</w:t>
                    </w:r>
                  </w:p>
                  <w:p w14:paraId="104C9EBC" w14:textId="77777777" w:rsidR="00326354" w:rsidRDefault="00326354">
                    <w:pPr>
                      <w:pStyle w:val="WitregelW1"/>
                    </w:pPr>
                  </w:p>
                  <w:p w14:paraId="1234D9E8" w14:textId="77777777" w:rsidR="00002A7F" w:rsidRDefault="00002A7F">
                    <w:pPr>
                      <w:pStyle w:val="Referentiegegevens"/>
                    </w:pPr>
                    <w:r>
                      <w:t>Rijnstraat 8</w:t>
                    </w:r>
                    <w:r>
                      <w:br/>
                      <w:t>2515 XP Den Haag</w:t>
                    </w:r>
                    <w:r>
                      <w:br/>
                      <w:t>Postbus 20061</w:t>
                    </w:r>
                    <w:r>
                      <w:br/>
                      <w:t>Nederland</w:t>
                    </w:r>
                    <w:r>
                      <w:br/>
                    </w:r>
                  </w:p>
                  <w:p w14:paraId="104C9EBE" w14:textId="117A0C41" w:rsidR="00326354" w:rsidRPr="00A84042" w:rsidRDefault="0033380B">
                    <w:pPr>
                      <w:pStyle w:val="Referentiegegevens"/>
                      <w:rPr>
                        <w:lang w:val="de-DE"/>
                      </w:rPr>
                    </w:pPr>
                    <w:r w:rsidRPr="00A84042">
                      <w:rPr>
                        <w:lang w:val="de-DE"/>
                      </w:rPr>
                      <w:t>www.minbuza.nl</w:t>
                    </w:r>
                  </w:p>
                  <w:p w14:paraId="104C9EBF" w14:textId="77777777" w:rsidR="00326354" w:rsidRPr="00A84042" w:rsidRDefault="00326354">
                    <w:pPr>
                      <w:pStyle w:val="WitregelW2"/>
                      <w:rPr>
                        <w:lang w:val="de-DE"/>
                      </w:rPr>
                    </w:pPr>
                  </w:p>
                  <w:p w14:paraId="104C9EC0" w14:textId="77777777" w:rsidR="00326354" w:rsidRPr="00A84042" w:rsidRDefault="0033380B">
                    <w:pPr>
                      <w:pStyle w:val="Referentiegegevensbold"/>
                      <w:rPr>
                        <w:lang w:val="de-DE"/>
                      </w:rPr>
                    </w:pPr>
                    <w:proofErr w:type="spellStart"/>
                    <w:r w:rsidRPr="00A84042">
                      <w:rPr>
                        <w:lang w:val="de-DE"/>
                      </w:rPr>
                      <w:t>Onze</w:t>
                    </w:r>
                    <w:proofErr w:type="spellEnd"/>
                    <w:r w:rsidRPr="00A84042">
                      <w:rPr>
                        <w:lang w:val="de-DE"/>
                      </w:rPr>
                      <w:t xml:space="preserve"> </w:t>
                    </w:r>
                    <w:proofErr w:type="spellStart"/>
                    <w:r w:rsidRPr="00A84042">
                      <w:rPr>
                        <w:lang w:val="de-DE"/>
                      </w:rPr>
                      <w:t>referentie</w:t>
                    </w:r>
                    <w:proofErr w:type="spellEnd"/>
                  </w:p>
                  <w:p w14:paraId="6987C9E0" w14:textId="77777777" w:rsidR="00A84042" w:rsidRPr="00A84042" w:rsidRDefault="00A84042" w:rsidP="00A84042">
                    <w:pPr>
                      <w:pStyle w:val="Referentiegegevens"/>
                      <w:rPr>
                        <w:lang w:val="de-DE"/>
                      </w:rPr>
                    </w:pPr>
                    <w:r w:rsidRPr="00A84042">
                      <w:rPr>
                        <w:lang w:val="de-DE"/>
                      </w:rPr>
                      <w:t>BZ2523652</w:t>
                    </w:r>
                  </w:p>
                  <w:p w14:paraId="104C9EC1" w14:textId="4AFD1126" w:rsidR="00326354" w:rsidRPr="00A84042" w:rsidRDefault="00326354">
                    <w:pPr>
                      <w:pStyle w:val="Referentiegegevens"/>
                      <w:rPr>
                        <w:lang w:val="de-DE"/>
                      </w:rPr>
                    </w:pPr>
                  </w:p>
                  <w:p w14:paraId="104C9EC2" w14:textId="77777777" w:rsidR="00326354" w:rsidRPr="00A84042" w:rsidRDefault="00326354">
                    <w:pPr>
                      <w:pStyle w:val="WitregelW1"/>
                      <w:rPr>
                        <w:lang w:val="de-DE"/>
                      </w:rPr>
                    </w:pPr>
                  </w:p>
                  <w:p w14:paraId="104C9EC3" w14:textId="77777777" w:rsidR="00326354" w:rsidRDefault="0033380B">
                    <w:pPr>
                      <w:pStyle w:val="Referentiegegevensbold"/>
                    </w:pPr>
                    <w:r>
                      <w:t>Bijlage(n)</w:t>
                    </w:r>
                  </w:p>
                  <w:p w14:paraId="104C9EC4" w14:textId="77777777" w:rsidR="00326354" w:rsidRDefault="0033380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04C9EA9" wp14:editId="774D281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4C9ED2" w14:textId="77777777" w:rsidR="0033380B" w:rsidRDefault="0033380B"/>
                      </w:txbxContent>
                    </wps:txbx>
                    <wps:bodyPr vert="horz" wrap="square" lIns="0" tIns="0" rIns="0" bIns="0" anchor="t" anchorCtr="0"/>
                  </wps:wsp>
                </a:graphicData>
              </a:graphic>
            </wp:anchor>
          </w:drawing>
        </mc:Choice>
        <mc:Fallback>
          <w:pict>
            <v:shape w14:anchorId="104C9EA9" id="41b10d73-80a4-11ea-b356-6230a4311406" o:spid="_x0000_s1033" type="#_x0000_t202" style="position:absolute;left:0;text-align:left;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04C9ED2" w14:textId="77777777" w:rsidR="0033380B" w:rsidRDefault="0033380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04C9EAB" wp14:editId="104C9EA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4C9ED4" w14:textId="77777777" w:rsidR="0033380B" w:rsidRDefault="0033380B"/>
                      </w:txbxContent>
                    </wps:txbx>
                    <wps:bodyPr vert="horz" wrap="square" lIns="0" tIns="0" rIns="0" bIns="0" anchor="t" anchorCtr="0"/>
                  </wps:wsp>
                </a:graphicData>
              </a:graphic>
            </wp:anchor>
          </w:drawing>
        </mc:Choice>
        <mc:Fallback>
          <w:pict>
            <v:shape w14:anchorId="104C9EAB" id="41b10dc3-80a4-11ea-b356-6230a4311406" o:spid="_x0000_s1034" type="#_x0000_t202" style="position:absolute;left:0;text-align:left;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04C9ED4" w14:textId="77777777" w:rsidR="0033380B" w:rsidRDefault="0033380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4C9EAD" wp14:editId="104C9EA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4C9EC6" w14:textId="77777777" w:rsidR="00326354" w:rsidRDefault="0033380B">
                          <w:pPr>
                            <w:spacing w:line="240" w:lineRule="auto"/>
                          </w:pPr>
                          <w:r>
                            <w:rPr>
                              <w:noProof/>
                            </w:rPr>
                            <w:drawing>
                              <wp:inline distT="0" distB="0" distL="0" distR="0" wp14:anchorId="104C9ECC" wp14:editId="104C9EC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4C9EAD" id="41b10edc-80a4-11ea-b356-6230a4311406" o:spid="_x0000_s1035" type="#_x0000_t202" style="position:absolute;left:0;text-align:left;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04C9EC6" w14:textId="77777777" w:rsidR="00326354" w:rsidRDefault="0033380B">
                    <w:pPr>
                      <w:spacing w:line="240" w:lineRule="auto"/>
                    </w:pPr>
                    <w:r>
                      <w:rPr>
                        <w:noProof/>
                      </w:rPr>
                      <w:drawing>
                        <wp:inline distT="0" distB="0" distL="0" distR="0" wp14:anchorId="104C9ECC" wp14:editId="104C9EC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E7C4B3"/>
    <w:multiLevelType w:val="multilevel"/>
    <w:tmpl w:val="3848AE2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E3CB713"/>
    <w:multiLevelType w:val="multilevel"/>
    <w:tmpl w:val="216C17A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1D9F69"/>
    <w:multiLevelType w:val="multilevel"/>
    <w:tmpl w:val="36FD523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5A832759"/>
    <w:multiLevelType w:val="multilevel"/>
    <w:tmpl w:val="B658331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E6A3C41"/>
    <w:multiLevelType w:val="multilevel"/>
    <w:tmpl w:val="8C6226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35927474">
    <w:abstractNumId w:val="2"/>
  </w:num>
  <w:num w:numId="2" w16cid:durableId="1233851851">
    <w:abstractNumId w:val="3"/>
  </w:num>
  <w:num w:numId="3" w16cid:durableId="961380069">
    <w:abstractNumId w:val="4"/>
  </w:num>
  <w:num w:numId="4" w16cid:durableId="391734833">
    <w:abstractNumId w:val="0"/>
  </w:num>
  <w:num w:numId="5" w16cid:durableId="995188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54"/>
    <w:rsid w:val="00002A7F"/>
    <w:rsid w:val="000846CE"/>
    <w:rsid w:val="000D214A"/>
    <w:rsid w:val="001079CB"/>
    <w:rsid w:val="00115527"/>
    <w:rsid w:val="00134CCD"/>
    <w:rsid w:val="00136EE8"/>
    <w:rsid w:val="0017516B"/>
    <w:rsid w:val="001839E6"/>
    <w:rsid w:val="00206059"/>
    <w:rsid w:val="0021610A"/>
    <w:rsid w:val="00227EDE"/>
    <w:rsid w:val="00240B1E"/>
    <w:rsid w:val="00241DC9"/>
    <w:rsid w:val="002C2ADB"/>
    <w:rsid w:val="002D0626"/>
    <w:rsid w:val="00326354"/>
    <w:rsid w:val="0032654B"/>
    <w:rsid w:val="0033380B"/>
    <w:rsid w:val="003E0730"/>
    <w:rsid w:val="00412CE3"/>
    <w:rsid w:val="00426C1F"/>
    <w:rsid w:val="004433FF"/>
    <w:rsid w:val="00481989"/>
    <w:rsid w:val="00515961"/>
    <w:rsid w:val="00525C85"/>
    <w:rsid w:val="0054331F"/>
    <w:rsid w:val="005B1297"/>
    <w:rsid w:val="005B1B7D"/>
    <w:rsid w:val="005B2FDA"/>
    <w:rsid w:val="005C16C1"/>
    <w:rsid w:val="0060126F"/>
    <w:rsid w:val="006165C8"/>
    <w:rsid w:val="00631935"/>
    <w:rsid w:val="00631F4E"/>
    <w:rsid w:val="006651E2"/>
    <w:rsid w:val="00690824"/>
    <w:rsid w:val="0074781C"/>
    <w:rsid w:val="007D6CF9"/>
    <w:rsid w:val="007E04B5"/>
    <w:rsid w:val="00825CFA"/>
    <w:rsid w:val="00827E5F"/>
    <w:rsid w:val="008501B1"/>
    <w:rsid w:val="0085384E"/>
    <w:rsid w:val="008C7751"/>
    <w:rsid w:val="0090223D"/>
    <w:rsid w:val="00964701"/>
    <w:rsid w:val="009E516F"/>
    <w:rsid w:val="009F78A6"/>
    <w:rsid w:val="00A132DC"/>
    <w:rsid w:val="00A8168A"/>
    <w:rsid w:val="00A84042"/>
    <w:rsid w:val="00AC2075"/>
    <w:rsid w:val="00AD03BA"/>
    <w:rsid w:val="00AE1D8E"/>
    <w:rsid w:val="00B255C8"/>
    <w:rsid w:val="00B35977"/>
    <w:rsid w:val="00B82510"/>
    <w:rsid w:val="00C84D55"/>
    <w:rsid w:val="00CA59F7"/>
    <w:rsid w:val="00CF1260"/>
    <w:rsid w:val="00CF2A25"/>
    <w:rsid w:val="00D10FA8"/>
    <w:rsid w:val="00D546B8"/>
    <w:rsid w:val="00D55729"/>
    <w:rsid w:val="00D85D90"/>
    <w:rsid w:val="00D915E4"/>
    <w:rsid w:val="00DA2884"/>
    <w:rsid w:val="00DF6213"/>
    <w:rsid w:val="00DF6A18"/>
    <w:rsid w:val="00E2730E"/>
    <w:rsid w:val="00E51A12"/>
    <w:rsid w:val="00F365EB"/>
    <w:rsid w:val="00F83777"/>
    <w:rsid w:val="00F83810"/>
    <w:rsid w:val="00FB4307"/>
    <w:rsid w:val="00FB7B9D"/>
    <w:rsid w:val="00FC3D4A"/>
    <w:rsid w:val="00FF57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04C9E8D"/>
  <w15:docId w15:val="{A9E4322E-6BEF-49E4-84C5-A17250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F1260"/>
    <w:pPr>
      <w:tabs>
        <w:tab w:val="center" w:pos="4513"/>
        <w:tab w:val="right" w:pos="9026"/>
      </w:tabs>
      <w:spacing w:line="240" w:lineRule="auto"/>
    </w:pPr>
  </w:style>
  <w:style w:type="character" w:customStyle="1" w:styleId="HeaderChar">
    <w:name w:val="Header Char"/>
    <w:basedOn w:val="DefaultParagraphFont"/>
    <w:link w:val="Header"/>
    <w:uiPriority w:val="99"/>
    <w:rsid w:val="00CF1260"/>
    <w:rPr>
      <w:rFonts w:ascii="Verdana" w:hAnsi="Verdana"/>
      <w:color w:val="000000"/>
      <w:sz w:val="18"/>
      <w:szCs w:val="18"/>
    </w:rPr>
  </w:style>
  <w:style w:type="paragraph" w:styleId="Footer">
    <w:name w:val="footer"/>
    <w:basedOn w:val="Normal"/>
    <w:link w:val="FooterChar"/>
    <w:uiPriority w:val="99"/>
    <w:unhideWhenUsed/>
    <w:rsid w:val="00CF1260"/>
    <w:pPr>
      <w:tabs>
        <w:tab w:val="center" w:pos="4513"/>
        <w:tab w:val="right" w:pos="9026"/>
      </w:tabs>
      <w:spacing w:line="240" w:lineRule="auto"/>
    </w:pPr>
  </w:style>
  <w:style w:type="character" w:customStyle="1" w:styleId="FooterChar">
    <w:name w:val="Footer Char"/>
    <w:basedOn w:val="DefaultParagraphFont"/>
    <w:link w:val="Footer"/>
    <w:uiPriority w:val="99"/>
    <w:rsid w:val="00CF1260"/>
    <w:rPr>
      <w:rFonts w:ascii="Verdana" w:hAnsi="Verdana"/>
      <w:color w:val="000000"/>
      <w:sz w:val="18"/>
      <w:szCs w:val="18"/>
    </w:rPr>
  </w:style>
  <w:style w:type="character" w:styleId="CommentReference">
    <w:name w:val="annotation reference"/>
    <w:basedOn w:val="DefaultParagraphFont"/>
    <w:uiPriority w:val="99"/>
    <w:semiHidden/>
    <w:unhideWhenUsed/>
    <w:rsid w:val="002C2ADB"/>
    <w:rPr>
      <w:sz w:val="16"/>
      <w:szCs w:val="16"/>
    </w:rPr>
  </w:style>
  <w:style w:type="paragraph" w:styleId="CommentText">
    <w:name w:val="annotation text"/>
    <w:basedOn w:val="Normal"/>
    <w:link w:val="CommentTextChar"/>
    <w:uiPriority w:val="99"/>
    <w:unhideWhenUsed/>
    <w:rsid w:val="002C2ADB"/>
    <w:pPr>
      <w:spacing w:line="240" w:lineRule="auto"/>
    </w:pPr>
    <w:rPr>
      <w:sz w:val="20"/>
      <w:szCs w:val="20"/>
    </w:rPr>
  </w:style>
  <w:style w:type="character" w:customStyle="1" w:styleId="CommentTextChar">
    <w:name w:val="Comment Text Char"/>
    <w:basedOn w:val="DefaultParagraphFont"/>
    <w:link w:val="CommentText"/>
    <w:uiPriority w:val="99"/>
    <w:rsid w:val="002C2ADB"/>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8235">
      <w:bodyDiv w:val="1"/>
      <w:marLeft w:val="0"/>
      <w:marRight w:val="0"/>
      <w:marTop w:val="0"/>
      <w:marBottom w:val="0"/>
      <w:divBdr>
        <w:top w:val="none" w:sz="0" w:space="0" w:color="auto"/>
        <w:left w:val="none" w:sz="0" w:space="0" w:color="auto"/>
        <w:bottom w:val="none" w:sz="0" w:space="0" w:color="auto"/>
        <w:right w:val="none" w:sz="0" w:space="0" w:color="auto"/>
      </w:divBdr>
    </w:div>
    <w:div w:id="1363820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265</ap:Words>
  <ap:Characters>1463</ap:Characters>
  <ap:DocSecurity>0</ap:DocSecurity>
  <ap:Lines>12</ap:Lines>
  <ap:Paragraphs>3</ap:Paragraphs>
  <ap:ScaleCrop>false</ap:ScaleCrop>
  <ap:HeadingPairs>
    <vt:vector baseType="variant" size="2">
      <vt:variant>
        <vt:lpstr>Title</vt:lpstr>
      </vt:variant>
      <vt:variant>
        <vt:i4>1</vt:i4>
      </vt:variant>
    </vt:vector>
  </ap:HeadingPairs>
  <ap:TitlesOfParts>
    <vt:vector baseType="lpstr" size="1">
      <vt:lpstr>Kamerbrief kabinetsreactie op de aangenomen motie van Baarle (Kamerstuk 21501-02, nr. 3287)</vt:lpstr>
    </vt:vector>
  </ap:TitlesOfParts>
  <ap:LinksUpToDate>false</ap:LinksUpToDate>
  <ap:CharactersWithSpaces>1725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2026-01-21T12:46:00.0000000Z</lastPrinted>
  <dcterms:created xsi:type="dcterms:W3CDTF">2026-01-26T12:19:00.0000000Z</dcterms:created>
  <dcterms:modified xsi:type="dcterms:W3CDTF">2026-01-26T12:19:00.0000000Z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cc4b55a5ee91473b87ec338540cdae54">
    <vt:lpwstr>Not applicable|ec01d90b-9d0f-4785-8785-e1ea615196bf</vt:lpwstr>
  </property>
  <property fmtid="{D5CDD505-2E9C-101B-9397-08002B2CF9AE}" pid="4" name="TaxCatchAll">
    <vt:lpwstr>5;#NO MARKING;#4;#UNCLASSIFIED (U);#150;#Organization and management general;#2;#Not applicable;#3;#Not applicable</vt:lpwstr>
  </property>
  <property fmtid="{D5CDD505-2E9C-101B-9397-08002B2CF9AE}" pid="5" name="bb20b5f81c9f47a48f8188e85aec1253">
    <vt:lpwstr>Organization and management general|0de1cc90-a8d1-4553-a3b7-516b6498b343</vt:lpwstr>
  </property>
  <property fmtid="{D5CDD505-2E9C-101B-9397-08002B2CF9AE}" pid="6" name="f7af940f06314dc78018242c25682d67">
    <vt:lpwstr>NO MARKING|0a4eb9ae-69eb-4d9e-b573-43ab99ef8592</vt:lpwstr>
  </property>
  <property fmtid="{D5CDD505-2E9C-101B-9397-08002B2CF9AE}" pid="7" name="BZDossierTemplate">
    <vt:lpwstr>ReguliereKamerbrief</vt:lpwstr>
  </property>
  <property fmtid="{D5CDD505-2E9C-101B-9397-08002B2CF9AE}" pid="8" name="e35afc56668347c3aef24194d1ed59ea">
    <vt:lpwstr>Not applicable|0049e722-bfb1-4a3f-9d08-af7366a9af40</vt:lpwstr>
  </property>
  <property fmtid="{D5CDD505-2E9C-101B-9397-08002B2CF9AE}" pid="9" name="d1b77f58b5724360bd683b4bf0d30054">
    <vt:lpwstr>UNCLASSIFIED (U)|284e6a62-15ab-4017-be27-a1e965f4e940</vt:lpwstr>
  </property>
  <property fmtid="{D5CDD505-2E9C-101B-9397-08002B2CF9AE}" pid="10" name="_dlc_DocIdItemGuid">
    <vt:lpwstr>c4d2b81a-6777-40cb-8b0b-3b37c2707007</vt:lpwstr>
  </property>
  <property fmtid="{D5CDD505-2E9C-101B-9397-08002B2CF9AE}" pid="11" name="BZForumOrganisation">
    <vt:lpwstr>2;#Not applicable|0049e722-bfb1-4a3f-9d08-af7366a9af40</vt:lpwstr>
  </property>
  <property fmtid="{D5CDD505-2E9C-101B-9397-08002B2CF9AE}" pid="12" name="gc2efd3bfea04f7f8169be07009f5536">
    <vt:lpwstr/>
  </property>
  <property fmtid="{D5CDD505-2E9C-101B-9397-08002B2CF9AE}" pid="13" name="BZTheme">
    <vt:lpwstr>1;#Not applicable|ec01d90b-9d0f-4785-8785-e1ea615196bf</vt:lpwstr>
  </property>
  <property fmtid="{D5CDD505-2E9C-101B-9397-08002B2CF9AE}" pid="14" name="BZDossierSendTo">
    <vt:lpwstr/>
  </property>
  <property fmtid="{D5CDD505-2E9C-101B-9397-08002B2CF9AE}" pid="15" name="BZDossierResponsibleDepartment">
    <vt:lpwstr/>
  </property>
  <property fmtid="{D5CDD505-2E9C-101B-9397-08002B2CF9AE}" pid="16" name="BZCountryState">
    <vt:lpwstr>112;#United Kingdom|80b18d6d-575e-4fa0-af2e-e3a5dbb5598d</vt:lpwstr>
  </property>
  <property fmtid="{D5CDD505-2E9C-101B-9397-08002B2CF9AE}" pid="17" name="BZDossierProcessLocation">
    <vt:lpwstr/>
  </property>
  <property fmtid="{D5CDD505-2E9C-101B-9397-08002B2CF9AE}" pid="18" name="BZDossierGovernmentOfficial">
    <vt:lpwstr/>
  </property>
  <property fmtid="{D5CDD505-2E9C-101B-9397-08002B2CF9AE}" pid="19" name="BZMarking">
    <vt:lpwstr>5;#NO MARKING|0a4eb9ae-69eb-4d9e-b573-43ab99ef8592</vt:lpwstr>
  </property>
  <property fmtid="{D5CDD505-2E9C-101B-9397-08002B2CF9AE}" pid="20" name="f2fb2a8e39404f1ab554e4e4a49d2918">
    <vt:lpwstr/>
  </property>
  <property fmtid="{D5CDD505-2E9C-101B-9397-08002B2CF9AE}" pid="21" name="BZDossierPublishingWOOCategory">
    <vt:lpwstr/>
  </property>
  <property fmtid="{D5CDD505-2E9C-101B-9397-08002B2CF9AE}" pid="22" name="i42ef48d5fa942a0ad0d60e44f201751">
    <vt:lpwstr/>
  </property>
  <property fmtid="{D5CDD505-2E9C-101B-9397-08002B2CF9AE}" pid="23" name="BZClassification">
    <vt:lpwstr>4;#UNCLASSIFIED (U)|284e6a62-15ab-4017-be27-a1e965f4e940</vt:lpwstr>
  </property>
  <property fmtid="{D5CDD505-2E9C-101B-9397-08002B2CF9AE}" pid="24" name="f8e003236e1c4ac2ab9051d5d8789bbb">
    <vt:lpwstr/>
  </property>
  <property fmtid="{D5CDD505-2E9C-101B-9397-08002B2CF9AE}" pid="25" name="p29721a54a5c4bbe9786e930fc91e270">
    <vt:lpwstr/>
  </property>
  <property fmtid="{D5CDD505-2E9C-101B-9397-08002B2CF9AE}" pid="26" name="ed9282a3f18446ec8c17c7829edf82dd">
    <vt:lpwstr/>
  </property>
  <property fmtid="{D5CDD505-2E9C-101B-9397-08002B2CF9AE}" pid="27" name="e256f556a7b748329ab47889947c7d40">
    <vt:lpwstr/>
  </property>
  <property fmtid="{D5CDD505-2E9C-101B-9397-08002B2CF9AE}" pid="28" name="BZDossierProcessType">
    <vt:lpwstr/>
  </property>
  <property fmtid="{D5CDD505-2E9C-101B-9397-08002B2CF9AE}" pid="29" name="URL">
    <vt:lpwstr>https://247.plaza.buzaservices.nl/subject/PV-RK2025022026/BZ2624236/Reguliere%20kamerbrief%20-%20Kamerbrief%20kabinetsreactie%20op%20de%20aangenomen%20motie%20van%20Baarle%20(Kamerstuk%2021501-02, nr. 3287).docx</vt:lpwstr>
  </property>
  <property fmtid="{D5CDD505-2E9C-101B-9397-08002B2CF9AE}" pid="30" name="BZDossierBudgetManager">
    <vt:lpwstr/>
  </property>
  <property fmtid="{D5CDD505-2E9C-101B-9397-08002B2CF9AE}" pid="31" name="_docset_NoMedatataSyncRequired">
    <vt:lpwstr>False</vt:lpwstr>
  </property>
</Properties>
</file>