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0BA0" w:rsidP="00130BA0" w:rsidRDefault="00130BA0" w14:paraId="61F10878" w14:textId="139C9500">
      <w:pPr>
        <w:pStyle w:val="standaard-tekst"/>
      </w:pPr>
      <w:r>
        <w:t>AH 957</w:t>
      </w:r>
    </w:p>
    <w:p w:rsidR="00130BA0" w:rsidP="00130BA0" w:rsidRDefault="00130BA0" w14:paraId="7B7CA6C8" w14:textId="77777777">
      <w:pPr>
        <w:pStyle w:val="standaard-tekst"/>
      </w:pPr>
    </w:p>
    <w:p w:rsidR="00130BA0" w:rsidP="00130BA0" w:rsidRDefault="00130BA0" w14:paraId="31BB2403" w14:textId="3154997D">
      <w:pPr>
        <w:pStyle w:val="standaard-tekst"/>
      </w:pPr>
      <w:r>
        <w:t>2025Z22029</w:t>
      </w:r>
    </w:p>
    <w:p w:rsidRPr="00130BA0" w:rsidR="00130BA0" w:rsidP="00130BA0" w:rsidRDefault="00130BA0" w14:paraId="796874F3" w14:textId="28C3BC30">
      <w:pPr>
        <w:rPr>
          <w:rFonts w:ascii="Arial" w:hAnsi="Arial" w:cs="Arial"/>
          <w:color w:val="000000"/>
          <w:sz w:val="24"/>
          <w:szCs w:val="24"/>
        </w:rPr>
      </w:pPr>
      <w:r w:rsidRPr="00533806">
        <w:rPr>
          <w:sz w:val="24"/>
          <w:szCs w:val="24"/>
        </w:rPr>
        <w:t xml:space="preserve">Antwoord van minister </w:t>
      </w:r>
      <w:r>
        <w:rPr>
          <w:sz w:val="24"/>
          <w:szCs w:val="24"/>
        </w:rPr>
        <w:t>Moes</w:t>
      </w:r>
      <w:r w:rsidRPr="00533806">
        <w:rPr>
          <w:sz w:val="24"/>
          <w:szCs w:val="24"/>
        </w:rPr>
        <w:t xml:space="preserve"> (Onderwijs, Cultuur en Wetenschap)</w:t>
      </w:r>
      <w:r>
        <w:rPr>
          <w:sz w:val="24"/>
          <w:szCs w:val="24"/>
        </w:rPr>
        <w:t xml:space="preserve">, mede namens de </w:t>
      </w:r>
      <w:r w:rsidRPr="007D78AD">
        <w:rPr>
          <w:rFonts w:ascii="Times New Roman" w:hAnsi="Times New Roman"/>
          <w:sz w:val="24"/>
        </w:rPr>
        <w:t>minister van Justitie en Veiligheid</w:t>
      </w:r>
      <w:r>
        <w:rPr>
          <w:rFonts w:ascii="Arial" w:hAnsi="Arial" w:cs="Arial"/>
          <w:color w:val="000000"/>
          <w:sz w:val="24"/>
          <w:szCs w:val="24"/>
        </w:rPr>
        <w:t xml:space="preserve"> </w:t>
      </w:r>
      <w:r w:rsidRPr="00533806">
        <w:rPr>
          <w:sz w:val="24"/>
          <w:szCs w:val="24"/>
        </w:rPr>
        <w:t>(ontvangen</w:t>
      </w:r>
      <w:r>
        <w:rPr>
          <w:sz w:val="24"/>
          <w:szCs w:val="24"/>
        </w:rPr>
        <w:t xml:space="preserve"> 26 januari 2026)</w:t>
      </w:r>
    </w:p>
    <w:p w:rsidR="00130BA0" w:rsidP="00130BA0" w:rsidRDefault="00130BA0" w14:paraId="78EA667A" w14:textId="77777777">
      <w:pPr>
        <w:pStyle w:val="standaard-tekst"/>
      </w:pPr>
    </w:p>
    <w:p w:rsidRPr="00130BA0" w:rsidR="00130BA0" w:rsidP="00130BA0" w:rsidRDefault="00130BA0" w14:paraId="2F24BFD8" w14:textId="7247FCB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866</w:t>
      </w:r>
    </w:p>
    <w:p w:rsidRPr="007C1C1A" w:rsidR="00130BA0" w:rsidP="00130BA0" w:rsidRDefault="00130BA0" w14:paraId="76DEBDBB" w14:textId="77777777">
      <w:pPr>
        <w:rPr>
          <w:szCs w:val="18"/>
        </w:rPr>
      </w:pPr>
      <w:r>
        <w:rPr>
          <w:szCs w:val="18"/>
        </w:rPr>
        <w:t>Vraag 1</w:t>
      </w:r>
      <w:r>
        <w:rPr>
          <w:szCs w:val="18"/>
        </w:rPr>
        <w:br/>
      </w:r>
      <w:r w:rsidRPr="007C1C1A">
        <w:rPr>
          <w:szCs w:val="18"/>
        </w:rPr>
        <w:t>Heeft u kennisgenomen van de berichten dat in de nacht van vrijdag 12 tot zaterdag 13 december vernielingen zijn aangebracht aan drie monumentale panden van de Universiteit van Utrecht, die met rode verf zijn besmeurd?</w:t>
      </w:r>
    </w:p>
    <w:p w:rsidRPr="007C1C1A" w:rsidR="00130BA0" w:rsidP="00130BA0" w:rsidRDefault="00130BA0" w14:paraId="5A219C7A" w14:textId="77777777">
      <w:pPr>
        <w:rPr>
          <w:szCs w:val="18"/>
        </w:rPr>
      </w:pPr>
    </w:p>
    <w:p w:rsidRPr="007C1C1A" w:rsidR="00130BA0" w:rsidP="00130BA0" w:rsidRDefault="00130BA0" w14:paraId="567CE3BD" w14:textId="77777777">
      <w:pPr>
        <w:rPr>
          <w:szCs w:val="18"/>
        </w:rPr>
      </w:pPr>
      <w:r>
        <w:rPr>
          <w:szCs w:val="18"/>
        </w:rPr>
        <w:t>Antwoord 1</w:t>
      </w:r>
      <w:r>
        <w:rPr>
          <w:szCs w:val="18"/>
        </w:rPr>
        <w:br/>
      </w:r>
      <w:r w:rsidRPr="007C1C1A">
        <w:rPr>
          <w:szCs w:val="18"/>
        </w:rPr>
        <w:t>Ja.</w:t>
      </w:r>
      <w:r w:rsidRPr="007C1C1A">
        <w:rPr>
          <w:szCs w:val="18"/>
        </w:rPr>
        <w:br/>
      </w:r>
    </w:p>
    <w:p w:rsidRPr="007C1C1A" w:rsidR="00130BA0" w:rsidP="00130BA0" w:rsidRDefault="00130BA0" w14:paraId="1039A753" w14:textId="77777777">
      <w:pPr>
        <w:rPr>
          <w:szCs w:val="18"/>
        </w:rPr>
      </w:pPr>
      <w:r>
        <w:rPr>
          <w:szCs w:val="18"/>
        </w:rPr>
        <w:t>Vraag 2</w:t>
      </w:r>
      <w:r>
        <w:rPr>
          <w:szCs w:val="18"/>
        </w:rPr>
        <w:br/>
      </w:r>
      <w:r w:rsidRPr="007C1C1A">
        <w:rPr>
          <w:szCs w:val="18"/>
        </w:rPr>
        <w:t>Heeft u kennis genomen van het feit dat extremisten deze actie op instagram hebben opgeëist door “Palestine Action” en daarbij hebben gedreigd dat de universiteit banden met Israëlische universiteiten moet verbreken of de daders nog veel meer schade gaan veroorzaken (“or we will be back and double the damage”)? [1]  </w:t>
      </w:r>
    </w:p>
    <w:p w:rsidRPr="007C1C1A" w:rsidR="00130BA0" w:rsidP="00130BA0" w:rsidRDefault="00130BA0" w14:paraId="0ED4D094" w14:textId="77777777">
      <w:pPr>
        <w:rPr>
          <w:szCs w:val="18"/>
        </w:rPr>
      </w:pPr>
    </w:p>
    <w:p w:rsidRPr="007C1C1A" w:rsidR="00130BA0" w:rsidP="00130BA0" w:rsidRDefault="00130BA0" w14:paraId="155284CD" w14:textId="77777777">
      <w:pPr>
        <w:rPr>
          <w:szCs w:val="18"/>
        </w:rPr>
      </w:pPr>
      <w:r>
        <w:rPr>
          <w:szCs w:val="18"/>
        </w:rPr>
        <w:t>Antwoord 2</w:t>
      </w:r>
      <w:r>
        <w:rPr>
          <w:szCs w:val="18"/>
        </w:rPr>
        <w:br/>
      </w:r>
      <w:r w:rsidRPr="007C1C1A">
        <w:rPr>
          <w:szCs w:val="18"/>
        </w:rPr>
        <w:t xml:space="preserve">Ja. </w:t>
      </w:r>
      <w:r w:rsidRPr="007C1C1A">
        <w:rPr>
          <w:szCs w:val="18"/>
        </w:rPr>
        <w:br/>
      </w:r>
    </w:p>
    <w:p w:rsidRPr="007C1C1A" w:rsidR="00130BA0" w:rsidP="00130BA0" w:rsidRDefault="00130BA0" w14:paraId="19BD6772" w14:textId="77777777">
      <w:pPr>
        <w:rPr>
          <w:szCs w:val="18"/>
        </w:rPr>
      </w:pPr>
      <w:r>
        <w:rPr>
          <w:szCs w:val="18"/>
        </w:rPr>
        <w:t>Vraag 3</w:t>
      </w:r>
      <w:r>
        <w:rPr>
          <w:szCs w:val="18"/>
        </w:rPr>
        <w:br/>
      </w:r>
      <w:r w:rsidRPr="007C1C1A">
        <w:rPr>
          <w:szCs w:val="18"/>
        </w:rPr>
        <w:t xml:space="preserve">Hoe beoordeelt u het feit dat de </w:t>
      </w:r>
      <w:r>
        <w:rPr>
          <w:szCs w:val="18"/>
        </w:rPr>
        <w:t>U</w:t>
      </w:r>
      <w:r w:rsidRPr="007C1C1A">
        <w:rPr>
          <w:szCs w:val="18"/>
        </w:rPr>
        <w:t>niversiteit Utrecht op deze manier wordt gechanteerd en wat gaat u doen om Nederlandse universiteiten beter te vrijwaren van dergelijke antidemocratische, extremistische en antisemitische agressie?</w:t>
      </w:r>
    </w:p>
    <w:p w:rsidRPr="007C1C1A" w:rsidR="00130BA0" w:rsidP="00130BA0" w:rsidRDefault="00130BA0" w14:paraId="12363205" w14:textId="77777777">
      <w:pPr>
        <w:rPr>
          <w:szCs w:val="18"/>
        </w:rPr>
      </w:pPr>
    </w:p>
    <w:p w:rsidR="00130BA0" w:rsidP="00130BA0" w:rsidRDefault="00130BA0" w14:paraId="4429A6BC" w14:textId="77777777">
      <w:pPr>
        <w:rPr>
          <w:szCs w:val="18"/>
        </w:rPr>
      </w:pPr>
      <w:r>
        <w:rPr>
          <w:szCs w:val="18"/>
        </w:rPr>
        <w:t>Antwoord 3</w:t>
      </w:r>
      <w:r>
        <w:rPr>
          <w:szCs w:val="18"/>
        </w:rPr>
        <w:br/>
      </w:r>
      <w:r w:rsidRPr="007C1C1A">
        <w:rPr>
          <w:szCs w:val="18"/>
        </w:rPr>
        <w:t>Het spreekt voor zich dat de minister van Justitie en Veiligheid (hierna: J</w:t>
      </w:r>
      <w:r>
        <w:rPr>
          <w:szCs w:val="18"/>
        </w:rPr>
        <w:t>en</w:t>
      </w:r>
      <w:r w:rsidRPr="007C1C1A">
        <w:rPr>
          <w:szCs w:val="18"/>
        </w:rPr>
        <w:t xml:space="preserve">V) en ik iedere vorm van agressie en geweld of dreiging </w:t>
      </w:r>
      <w:r>
        <w:rPr>
          <w:szCs w:val="18"/>
        </w:rPr>
        <w:t xml:space="preserve">daarmee </w:t>
      </w:r>
      <w:r w:rsidRPr="007C1C1A">
        <w:rPr>
          <w:szCs w:val="18"/>
        </w:rPr>
        <w:t>van de hand wij</w:t>
      </w:r>
      <w:r>
        <w:rPr>
          <w:szCs w:val="18"/>
        </w:rPr>
        <w:t>zen</w:t>
      </w:r>
      <w:r w:rsidRPr="007C1C1A">
        <w:rPr>
          <w:szCs w:val="18"/>
        </w:rPr>
        <w:t xml:space="preserve">. </w:t>
      </w:r>
      <w:r>
        <w:rPr>
          <w:szCs w:val="18"/>
        </w:rPr>
        <w:t>I</w:t>
      </w:r>
      <w:r w:rsidRPr="007C1C1A">
        <w:rPr>
          <w:szCs w:val="18"/>
        </w:rPr>
        <w:t xml:space="preserve">nstellingsbesturen </w:t>
      </w:r>
      <w:r>
        <w:rPr>
          <w:szCs w:val="18"/>
        </w:rPr>
        <w:t xml:space="preserve">van universiteiten en hogescholen </w:t>
      </w:r>
      <w:r w:rsidRPr="007C1C1A">
        <w:rPr>
          <w:szCs w:val="18"/>
        </w:rPr>
        <w:t xml:space="preserve">hebben de belangrijke maar ook ingewikkelde taak om zowel de academische vrijheid, de vrijheid van meningsuiting als de veiligheid op de campus te waarborgen. </w:t>
      </w:r>
      <w:r>
        <w:rPr>
          <w:szCs w:val="18"/>
        </w:rPr>
        <w:t xml:space="preserve">Daarnaast hebben zij </w:t>
      </w:r>
      <w:r>
        <w:rPr>
          <w:szCs w:val="18"/>
        </w:rPr>
        <w:lastRenderedPageBreak/>
        <w:t>in hun Richtlijn protesten universiteiten en hogescholen</w:t>
      </w:r>
      <w:r>
        <w:rPr>
          <w:rStyle w:val="Voetnootmarkering"/>
          <w:szCs w:val="18"/>
        </w:rPr>
        <w:footnoteReference w:id="1"/>
      </w:r>
      <w:r>
        <w:rPr>
          <w:szCs w:val="18"/>
        </w:rPr>
        <w:t xml:space="preserve"> aangegeven het recht om te demonstreren te ondersteunen. </w:t>
      </w:r>
      <w:r w:rsidRPr="007C1C1A">
        <w:rPr>
          <w:szCs w:val="18"/>
        </w:rPr>
        <w:t>Ik zie dat zij zich hier dagelijks</w:t>
      </w:r>
      <w:r>
        <w:rPr>
          <w:szCs w:val="18"/>
        </w:rPr>
        <w:t xml:space="preserve"> </w:t>
      </w:r>
      <w:r w:rsidRPr="007C1C1A">
        <w:rPr>
          <w:szCs w:val="18"/>
        </w:rPr>
        <w:t xml:space="preserve">voor inspannen. </w:t>
      </w:r>
    </w:p>
    <w:p w:rsidR="00130BA0" w:rsidP="00130BA0" w:rsidRDefault="00130BA0" w14:paraId="0CEE47A0" w14:textId="77777777">
      <w:pPr>
        <w:rPr>
          <w:szCs w:val="18"/>
        </w:rPr>
      </w:pPr>
      <w:r>
        <w:rPr>
          <w:szCs w:val="18"/>
        </w:rPr>
        <w:t>Er worden verschillende acties ondernomen om de veiligheid op universiteiten en hogescholen te verbeteren. Ik heb uw Kamer onlangs per brief uitgebreid geïnformeerd over de sociale en fysieke veiligheid op universiteiten en hogescholen en de maatregelen die in dit kader worden ingezet.</w:t>
      </w:r>
      <w:r>
        <w:rPr>
          <w:rStyle w:val="Voetnootmarkering"/>
          <w:szCs w:val="18"/>
        </w:rPr>
        <w:footnoteReference w:id="2"/>
      </w:r>
      <w:r>
        <w:rPr>
          <w:szCs w:val="18"/>
        </w:rPr>
        <w:t xml:space="preserve"> Zo spreken de managers Integrale Veiligheid van universiteiten elkaar wekelijks om een dreigingsbeeld te maken door actuele situaties te bespreken en ervaringen, kennis en </w:t>
      </w:r>
      <w:r>
        <w:rPr>
          <w:i/>
          <w:iCs/>
          <w:szCs w:val="18"/>
        </w:rPr>
        <w:t xml:space="preserve">good practices </w:t>
      </w:r>
      <w:r>
        <w:rPr>
          <w:szCs w:val="18"/>
        </w:rPr>
        <w:t>te delen. Ook werkt de Taskforce Antisemitismebestrijding momenteel aan gerichte voorstellen om de veiligheid van Joodse studenten te verbeteren. De Taskforce zal dit advies in februari publiceren. Naar aanleiding van dit advies ga ik na of er extra maatregelen nodig zijn om de veiligheid van Joodse studenten te borgen.</w:t>
      </w:r>
    </w:p>
    <w:p w:rsidRPr="007C1C1A" w:rsidR="00130BA0" w:rsidP="00130BA0" w:rsidRDefault="00130BA0" w14:paraId="2C3E89FC" w14:textId="77777777">
      <w:pPr>
        <w:rPr>
          <w:szCs w:val="18"/>
        </w:rPr>
      </w:pPr>
      <w:r w:rsidRPr="007C1C1A">
        <w:rPr>
          <w:szCs w:val="18"/>
        </w:rPr>
        <w:t xml:space="preserve">Indien sprake is van strafbare feiten zijn de politie en het </w:t>
      </w:r>
      <w:r>
        <w:rPr>
          <w:szCs w:val="18"/>
        </w:rPr>
        <w:t>O</w:t>
      </w:r>
      <w:r w:rsidRPr="007C1C1A">
        <w:rPr>
          <w:szCs w:val="18"/>
        </w:rPr>
        <w:t xml:space="preserve">penbaar </w:t>
      </w:r>
      <w:r>
        <w:rPr>
          <w:szCs w:val="18"/>
        </w:rPr>
        <w:t>M</w:t>
      </w:r>
      <w:r w:rsidRPr="007C1C1A">
        <w:rPr>
          <w:szCs w:val="18"/>
        </w:rPr>
        <w:t>inisterie</w:t>
      </w:r>
      <w:r>
        <w:rPr>
          <w:szCs w:val="18"/>
        </w:rPr>
        <w:t xml:space="preserve"> (OM)</w:t>
      </w:r>
      <w:r w:rsidRPr="007C1C1A">
        <w:rPr>
          <w:szCs w:val="18"/>
        </w:rPr>
        <w:t xml:space="preserve"> </w:t>
      </w:r>
      <w:r>
        <w:rPr>
          <w:szCs w:val="18"/>
        </w:rPr>
        <w:t xml:space="preserve">verantwoordelijk </w:t>
      </w:r>
      <w:r w:rsidRPr="007C1C1A">
        <w:rPr>
          <w:szCs w:val="18"/>
        </w:rPr>
        <w:t xml:space="preserve">voor de opsporing en vervolging daarvan.  </w:t>
      </w:r>
    </w:p>
    <w:p w:rsidRPr="007C1C1A" w:rsidR="00130BA0" w:rsidP="00130BA0" w:rsidRDefault="00130BA0" w14:paraId="76405F9C" w14:textId="77777777">
      <w:pPr>
        <w:ind w:left="360"/>
        <w:rPr>
          <w:szCs w:val="18"/>
        </w:rPr>
      </w:pPr>
      <w:r w:rsidRPr="007C1C1A">
        <w:rPr>
          <w:szCs w:val="18"/>
        </w:rPr>
        <w:t xml:space="preserve"> </w:t>
      </w:r>
    </w:p>
    <w:p w:rsidRPr="007C1C1A" w:rsidR="00130BA0" w:rsidP="00130BA0" w:rsidRDefault="00130BA0" w14:paraId="1EA0E66D" w14:textId="77777777">
      <w:pPr>
        <w:rPr>
          <w:szCs w:val="18"/>
        </w:rPr>
      </w:pPr>
      <w:r>
        <w:rPr>
          <w:szCs w:val="18"/>
        </w:rPr>
        <w:t>Vraag 4</w:t>
      </w:r>
      <w:r>
        <w:rPr>
          <w:szCs w:val="18"/>
        </w:rPr>
        <w:br/>
      </w:r>
      <w:r w:rsidRPr="007C1C1A">
        <w:rPr>
          <w:szCs w:val="18"/>
        </w:rPr>
        <w:t>Bent u het eens met de stelling dat universiteiten of andere organisaties onder geen enkele voorwaarde mogen buigen of toegeven aan dergelijke dreigementen?</w:t>
      </w:r>
    </w:p>
    <w:p w:rsidRPr="007C1C1A" w:rsidR="00130BA0" w:rsidP="00130BA0" w:rsidRDefault="00130BA0" w14:paraId="1DB495BA" w14:textId="77777777">
      <w:pPr>
        <w:rPr>
          <w:szCs w:val="18"/>
        </w:rPr>
      </w:pPr>
    </w:p>
    <w:p w:rsidRPr="007C1C1A" w:rsidR="00130BA0" w:rsidP="00130BA0" w:rsidRDefault="00130BA0" w14:paraId="33E0C7E7" w14:textId="77777777">
      <w:pPr>
        <w:rPr>
          <w:szCs w:val="18"/>
        </w:rPr>
      </w:pPr>
      <w:r>
        <w:rPr>
          <w:szCs w:val="18"/>
        </w:rPr>
        <w:t>Antwoord 4</w:t>
      </w:r>
      <w:r>
        <w:rPr>
          <w:szCs w:val="18"/>
        </w:rPr>
        <w:br/>
        <w:t>Het is</w:t>
      </w:r>
      <w:r w:rsidRPr="007C1C1A">
        <w:rPr>
          <w:szCs w:val="18"/>
        </w:rPr>
        <w:t xml:space="preserve"> van groot belang dat instellingen altijd de vrijheid voelen om zelfstandig en weloverwogen </w:t>
      </w:r>
      <w:r>
        <w:rPr>
          <w:szCs w:val="18"/>
        </w:rPr>
        <w:t xml:space="preserve">de afweging </w:t>
      </w:r>
      <w:r w:rsidRPr="007C1C1A">
        <w:rPr>
          <w:szCs w:val="18"/>
        </w:rPr>
        <w:t>te maken</w:t>
      </w:r>
      <w:r>
        <w:rPr>
          <w:szCs w:val="18"/>
        </w:rPr>
        <w:t xml:space="preserve"> met </w:t>
      </w:r>
      <w:r w:rsidRPr="007C1C1A">
        <w:rPr>
          <w:szCs w:val="18"/>
        </w:rPr>
        <w:t>welke instellingen of organisaties, zowel nationaal als internationaal</w:t>
      </w:r>
      <w:r>
        <w:rPr>
          <w:szCs w:val="18"/>
        </w:rPr>
        <w:t xml:space="preserve">, zij willen samenwerken of zij de </w:t>
      </w:r>
      <w:r w:rsidRPr="007C1C1A">
        <w:rPr>
          <w:szCs w:val="18"/>
        </w:rPr>
        <w:t>samenwerking</w:t>
      </w:r>
      <w:r>
        <w:rPr>
          <w:szCs w:val="18"/>
        </w:rPr>
        <w:t xml:space="preserve"> willen beëindigen. Dit kan zijn</w:t>
      </w:r>
      <w:r w:rsidRPr="007C1C1A">
        <w:rPr>
          <w:szCs w:val="18"/>
        </w:rPr>
        <w:t xml:space="preserve"> om verschillende redenen en gebaseerd op verschillende criteria</w:t>
      </w:r>
      <w:r>
        <w:rPr>
          <w:szCs w:val="18"/>
        </w:rPr>
        <w:t xml:space="preserve">, maar </w:t>
      </w:r>
      <w:r w:rsidRPr="007C1C1A">
        <w:rPr>
          <w:szCs w:val="18"/>
        </w:rPr>
        <w:t xml:space="preserve">altijd in lijn met wet- en regelgeving. </w:t>
      </w:r>
    </w:p>
    <w:p w:rsidR="00130BA0" w:rsidP="00130BA0" w:rsidRDefault="00130BA0" w14:paraId="5161BFC2" w14:textId="77777777">
      <w:pPr>
        <w:rPr>
          <w:szCs w:val="18"/>
        </w:rPr>
      </w:pPr>
    </w:p>
    <w:p w:rsidRPr="007C1C1A" w:rsidR="00130BA0" w:rsidP="00130BA0" w:rsidRDefault="00130BA0" w14:paraId="2E066353" w14:textId="77777777">
      <w:pPr>
        <w:rPr>
          <w:szCs w:val="18"/>
        </w:rPr>
      </w:pPr>
      <w:r>
        <w:rPr>
          <w:szCs w:val="18"/>
        </w:rPr>
        <w:t>Vraag 5</w:t>
      </w:r>
      <w:r>
        <w:rPr>
          <w:szCs w:val="18"/>
        </w:rPr>
        <w:br/>
      </w:r>
      <w:r w:rsidRPr="007C1C1A">
        <w:rPr>
          <w:szCs w:val="18"/>
        </w:rPr>
        <w:t>Vindt u het acceptabel dat op sociale media dergelijke dreigementen worden geuit in een poging om de universiteit te chanteren en vindt u dat deze oproepen dienen te worden verwijderd? Graag een toelichting.</w:t>
      </w:r>
    </w:p>
    <w:p w:rsidRPr="007C1C1A" w:rsidR="00130BA0" w:rsidP="00130BA0" w:rsidRDefault="00130BA0" w14:paraId="461D2591" w14:textId="77777777">
      <w:pPr>
        <w:ind w:left="360"/>
        <w:rPr>
          <w:szCs w:val="18"/>
        </w:rPr>
      </w:pPr>
    </w:p>
    <w:p w:rsidRPr="007C1C1A" w:rsidR="00130BA0" w:rsidP="00130BA0" w:rsidRDefault="00130BA0" w14:paraId="67371147" w14:textId="77777777">
      <w:pPr>
        <w:rPr>
          <w:szCs w:val="18"/>
        </w:rPr>
      </w:pPr>
      <w:r>
        <w:rPr>
          <w:szCs w:val="18"/>
        </w:rPr>
        <w:t>Antwoord 5</w:t>
      </w:r>
      <w:r>
        <w:rPr>
          <w:szCs w:val="18"/>
        </w:rPr>
        <w:br/>
      </w:r>
      <w:r w:rsidRPr="007C1C1A">
        <w:rPr>
          <w:szCs w:val="18"/>
        </w:rPr>
        <w:t xml:space="preserve">Indien er sprake is van bedreiging is dat nooit acceptabel. Als het gaat om strafbare bedreiging (artikel 285 </w:t>
      </w:r>
      <w:r>
        <w:rPr>
          <w:szCs w:val="18"/>
        </w:rPr>
        <w:t xml:space="preserve">van het Wetboek van </w:t>
      </w:r>
      <w:r w:rsidRPr="007C1C1A">
        <w:rPr>
          <w:szCs w:val="18"/>
        </w:rPr>
        <w:t>S</w:t>
      </w:r>
      <w:r>
        <w:rPr>
          <w:szCs w:val="18"/>
        </w:rPr>
        <w:t>t</w:t>
      </w:r>
      <w:r w:rsidRPr="007C1C1A">
        <w:rPr>
          <w:szCs w:val="18"/>
        </w:rPr>
        <w:t>r</w:t>
      </w:r>
      <w:r>
        <w:rPr>
          <w:szCs w:val="18"/>
        </w:rPr>
        <w:t>afrecht</w:t>
      </w:r>
      <w:r w:rsidRPr="007C1C1A">
        <w:rPr>
          <w:szCs w:val="18"/>
        </w:rPr>
        <w:t>) kan dat gemeld worden bij het betreffende online platform om deze te laten verwijderen. Online platformen</w:t>
      </w:r>
      <w:r>
        <w:rPr>
          <w:szCs w:val="18"/>
        </w:rPr>
        <w:t>,</w:t>
      </w:r>
      <w:r w:rsidRPr="007C1C1A">
        <w:rPr>
          <w:szCs w:val="18"/>
        </w:rPr>
        <w:t xml:space="preserve"> zoals social media kanalen</w:t>
      </w:r>
      <w:r>
        <w:rPr>
          <w:szCs w:val="18"/>
        </w:rPr>
        <w:t>,</w:t>
      </w:r>
      <w:r w:rsidRPr="007C1C1A">
        <w:rPr>
          <w:szCs w:val="18"/>
        </w:rPr>
        <w:t xml:space="preserve"> dienen zich te houden aan de </w:t>
      </w:r>
      <w:r w:rsidRPr="007C1C1A">
        <w:rPr>
          <w:szCs w:val="18"/>
        </w:rPr>
        <w:lastRenderedPageBreak/>
        <w:t>Digitaledienstenverordening (DSA). Zo verduidelijkt de</w:t>
      </w:r>
      <w:r>
        <w:rPr>
          <w:szCs w:val="18"/>
        </w:rPr>
        <w:t>ze verordening</w:t>
      </w:r>
      <w:r w:rsidRPr="007C1C1A">
        <w:rPr>
          <w:szCs w:val="18"/>
        </w:rPr>
        <w:t xml:space="preserve"> in artikel 16, derde lid, dat een melding van illegale inhoud conform de vereisten van dat artikel leidt tot zogenaamde “daadwerkelijke kennis of bekendheid” van die illegale inhoud bij een hostingbedrijf of online platform. Zodra dat het geval is</w:t>
      </w:r>
      <w:r>
        <w:rPr>
          <w:szCs w:val="18"/>
        </w:rPr>
        <w:t>,</w:t>
      </w:r>
      <w:r w:rsidRPr="007C1C1A">
        <w:rPr>
          <w:szCs w:val="18"/>
        </w:rPr>
        <w:t xml:space="preserve"> moeten zij </w:t>
      </w:r>
      <w:r>
        <w:rPr>
          <w:szCs w:val="18"/>
        </w:rPr>
        <w:t>onmiddellijk</w:t>
      </w:r>
      <w:r w:rsidRPr="007C1C1A">
        <w:rPr>
          <w:szCs w:val="18"/>
        </w:rPr>
        <w:t xml:space="preserve"> handelen om die illegale inhoud te verwijderen of de toegang daartoe onmogelijk te maken. Doen ze dat niet</w:t>
      </w:r>
      <w:r>
        <w:rPr>
          <w:szCs w:val="18"/>
        </w:rPr>
        <w:t>,</w:t>
      </w:r>
      <w:r w:rsidRPr="007C1C1A">
        <w:rPr>
          <w:szCs w:val="18"/>
        </w:rPr>
        <w:t xml:space="preserve"> dan kunnen ze geen beroep doen op de vrijwaring van aansprakelijkheid uit artikel 6 van de verordening en zelfstandig aansprakelijk worden gesteld voor die illegale inhoud.</w:t>
      </w:r>
    </w:p>
    <w:p w:rsidR="00130BA0" w:rsidP="00130BA0" w:rsidRDefault="00130BA0" w14:paraId="469EB652" w14:textId="77777777">
      <w:pPr>
        <w:rPr>
          <w:szCs w:val="18"/>
        </w:rPr>
      </w:pPr>
      <w:r w:rsidRPr="007C1C1A">
        <w:rPr>
          <w:szCs w:val="18"/>
        </w:rPr>
        <w:t>Daarnaast kan de officier van justitie op basis van artikel 125p van het Wetboek van Strafvordering, na toestemming van de rechter-commissaris, een aanbieder van een communicatiedienst bevelen om content ontoegankelijk te maken wanneer deze strafbare inhoud bevat.</w:t>
      </w:r>
    </w:p>
    <w:p w:rsidRPr="007C1C1A" w:rsidR="00130BA0" w:rsidP="00130BA0" w:rsidRDefault="00130BA0" w14:paraId="51C54659" w14:textId="77777777">
      <w:pPr>
        <w:rPr>
          <w:szCs w:val="18"/>
        </w:rPr>
      </w:pPr>
      <w:r>
        <w:rPr>
          <w:szCs w:val="18"/>
        </w:rPr>
        <w:t>Vraag 6</w:t>
      </w:r>
      <w:r>
        <w:rPr>
          <w:szCs w:val="18"/>
        </w:rPr>
        <w:br/>
      </w:r>
      <w:r w:rsidRPr="007C1C1A">
        <w:rPr>
          <w:szCs w:val="18"/>
        </w:rPr>
        <w:t>Dezelfde organisatie, Palestine Action, die nu dreigt met meer vernielingen, heeft eerder vernielingen geclaimd en in het verleden opgeroepen om de terroristen en moordenaars van 7 oktober te eren; welke stappen worden tegen deze organisatie ondernomen?</w:t>
      </w:r>
    </w:p>
    <w:p w:rsidRPr="007C1C1A" w:rsidR="00130BA0" w:rsidP="00130BA0" w:rsidRDefault="00130BA0" w14:paraId="1828A704" w14:textId="77777777">
      <w:pPr>
        <w:rPr>
          <w:szCs w:val="18"/>
        </w:rPr>
      </w:pPr>
      <w:r>
        <w:rPr>
          <w:szCs w:val="18"/>
        </w:rPr>
        <w:t>Antwoord 6</w:t>
      </w:r>
      <w:r>
        <w:rPr>
          <w:szCs w:val="18"/>
        </w:rPr>
        <w:br/>
      </w:r>
      <w:r w:rsidRPr="007C1C1A">
        <w:rPr>
          <w:szCs w:val="18"/>
        </w:rPr>
        <w:t>Zoals de minister van J</w:t>
      </w:r>
      <w:r>
        <w:rPr>
          <w:szCs w:val="18"/>
        </w:rPr>
        <w:t>en</w:t>
      </w:r>
      <w:r w:rsidRPr="007C1C1A">
        <w:rPr>
          <w:szCs w:val="18"/>
        </w:rPr>
        <w:t>V eerder aan uw Kamer communiceerde naar aanleiding van schriftelijke vragen van het lid Diederik van Dijk (SGP)</w:t>
      </w:r>
      <w:r w:rsidRPr="007C1C1A">
        <w:rPr>
          <w:rStyle w:val="Voetnootmarkering"/>
          <w:szCs w:val="18"/>
        </w:rPr>
        <w:footnoteReference w:id="3"/>
      </w:r>
      <w:r w:rsidRPr="007C1C1A">
        <w:rPr>
          <w:szCs w:val="18"/>
        </w:rPr>
        <w:t xml:space="preserve">, biedt het demonstratierecht onder geen beding een vrijbrief voor personen en organisaties om de wet te overtreden; vernielen is nooit een acceptabele vorm van je mening uiten. Demonstreren moet gebeuren binnen de grenzen van de wet. Het gebruik van geweld en het opruien daartoe is strafbaar. Dit geldt ook voor acties waarbij vernieling plaatsvindt. </w:t>
      </w:r>
    </w:p>
    <w:p w:rsidRPr="007C1C1A" w:rsidR="00130BA0" w:rsidP="00130BA0" w:rsidRDefault="00130BA0" w14:paraId="6A9C0065" w14:textId="77777777">
      <w:pPr>
        <w:ind w:left="360"/>
        <w:rPr>
          <w:szCs w:val="18"/>
        </w:rPr>
      </w:pPr>
    </w:p>
    <w:p w:rsidRPr="007C1C1A" w:rsidR="00130BA0" w:rsidP="00130BA0" w:rsidRDefault="00130BA0" w14:paraId="7DC80884" w14:textId="77777777">
      <w:pPr>
        <w:rPr>
          <w:szCs w:val="18"/>
        </w:rPr>
      </w:pPr>
      <w:r w:rsidRPr="007C1C1A">
        <w:rPr>
          <w:szCs w:val="18"/>
        </w:rPr>
        <w:t>Het waar mogelijk faciliteren van demonstraties en de beoordeling wat wel en niet nodig en mogelijk is aan (preventieve) maatregelen</w:t>
      </w:r>
      <w:r>
        <w:rPr>
          <w:szCs w:val="18"/>
        </w:rPr>
        <w:t>,</w:t>
      </w:r>
      <w:r w:rsidRPr="007C1C1A">
        <w:rPr>
          <w:szCs w:val="18"/>
        </w:rPr>
        <w:t xml:space="preserve"> is aan de burgemeester. Hierover vindt afstemming plaats in de lokale driehoek. Het is een lokale aangelegenheid en de burgemeester legt daarover verantwoording af aan de gemeenteraad. Het is dan ook niet aan de minister van J</w:t>
      </w:r>
      <w:r>
        <w:rPr>
          <w:szCs w:val="18"/>
        </w:rPr>
        <w:t>en</w:t>
      </w:r>
      <w:r w:rsidRPr="007C1C1A">
        <w:rPr>
          <w:szCs w:val="18"/>
        </w:rPr>
        <w:t xml:space="preserve">V of aan mij om in deze beoordeling te treden of om daarop vooruit te lopen. Daarnaast is het aan het </w:t>
      </w:r>
      <w:r>
        <w:rPr>
          <w:szCs w:val="18"/>
        </w:rPr>
        <w:t>OM</w:t>
      </w:r>
      <w:r w:rsidRPr="007C1C1A">
        <w:rPr>
          <w:szCs w:val="18"/>
        </w:rPr>
        <w:t xml:space="preserve"> en uiteindelijk de rechter om te bepalen of er in een bepaald geval sprake is van een strafbaar feit.</w:t>
      </w:r>
      <w:r w:rsidRPr="007C1C1A">
        <w:rPr>
          <w:szCs w:val="18"/>
        </w:rPr>
        <w:br/>
      </w:r>
    </w:p>
    <w:p w:rsidRPr="007C1C1A" w:rsidR="00130BA0" w:rsidP="00130BA0" w:rsidRDefault="00130BA0" w14:paraId="7DFBAA62" w14:textId="77777777">
      <w:pPr>
        <w:rPr>
          <w:szCs w:val="18"/>
        </w:rPr>
      </w:pPr>
      <w:bookmarkStart w:name="_Hlk218600198" w:id="0"/>
      <w:r>
        <w:rPr>
          <w:szCs w:val="18"/>
        </w:rPr>
        <w:t>Vraag 7</w:t>
      </w:r>
      <w:r>
        <w:rPr>
          <w:szCs w:val="18"/>
        </w:rPr>
        <w:br/>
      </w:r>
      <w:r w:rsidRPr="007C1C1A">
        <w:rPr>
          <w:szCs w:val="18"/>
        </w:rPr>
        <w:t xml:space="preserve">Bent u het eens met de stelling dat het dringend noodzakelijk is om alles op alles te zetten om een einde te maken aan de vernielingen, intimidatie en chantage van </w:t>
      </w:r>
      <w:r w:rsidRPr="007C1C1A">
        <w:rPr>
          <w:szCs w:val="18"/>
        </w:rPr>
        <w:lastRenderedPageBreak/>
        <w:t>pro-Palestijnse extremisten, en dus om het volledige arsenaal van de rechtsstaat in te zetten van politie en justitie om de daders op te sporen, te vervolgen en zwaar te bestraffen? Graag een toelichting.</w:t>
      </w:r>
    </w:p>
    <w:bookmarkEnd w:id="0"/>
    <w:p w:rsidRPr="007C1C1A" w:rsidR="00130BA0" w:rsidP="00130BA0" w:rsidRDefault="00130BA0" w14:paraId="3AC46A50" w14:textId="77777777">
      <w:pPr>
        <w:ind w:left="360"/>
        <w:rPr>
          <w:szCs w:val="18"/>
        </w:rPr>
      </w:pPr>
    </w:p>
    <w:p w:rsidRPr="007C1C1A" w:rsidR="00130BA0" w:rsidP="00130BA0" w:rsidRDefault="00130BA0" w14:paraId="1C2F4A85" w14:textId="77777777">
      <w:pPr>
        <w:rPr>
          <w:szCs w:val="18"/>
        </w:rPr>
      </w:pPr>
      <w:bookmarkStart w:name="_Hlk218600211" w:id="1"/>
      <w:r>
        <w:rPr>
          <w:szCs w:val="18"/>
        </w:rPr>
        <w:t>Vraag 8</w:t>
      </w:r>
      <w:r>
        <w:rPr>
          <w:szCs w:val="18"/>
        </w:rPr>
        <w:br/>
      </w:r>
      <w:r w:rsidRPr="007C1C1A">
        <w:rPr>
          <w:szCs w:val="18"/>
        </w:rPr>
        <w:t>Bent u het eens met de stelling dat vervolging van de daders een zeer hoge prioriteit verdient en op welke manier wordt deze prioriteit opgepakt door de bevoegde instanties? Graag een toelichting.</w:t>
      </w:r>
    </w:p>
    <w:bookmarkEnd w:id="1"/>
    <w:p w:rsidRPr="007C1C1A" w:rsidR="00130BA0" w:rsidP="00130BA0" w:rsidRDefault="00130BA0" w14:paraId="5D4A806B" w14:textId="77777777">
      <w:pPr>
        <w:rPr>
          <w:szCs w:val="18"/>
        </w:rPr>
      </w:pPr>
    </w:p>
    <w:p w:rsidRPr="007C1C1A" w:rsidR="00130BA0" w:rsidP="00130BA0" w:rsidRDefault="00130BA0" w14:paraId="0E2D7A3E" w14:textId="77777777">
      <w:pPr>
        <w:rPr>
          <w:szCs w:val="18"/>
        </w:rPr>
      </w:pPr>
      <w:r w:rsidRPr="007C1C1A">
        <w:rPr>
          <w:szCs w:val="18"/>
        </w:rPr>
        <w:t xml:space="preserve">Antwoord op vragen 7 en 8 </w:t>
      </w:r>
    </w:p>
    <w:p w:rsidRPr="007C1C1A" w:rsidR="00130BA0" w:rsidP="00130BA0" w:rsidRDefault="00130BA0" w14:paraId="01B7492F" w14:textId="77777777">
      <w:pPr>
        <w:rPr>
          <w:szCs w:val="18"/>
        </w:rPr>
      </w:pPr>
      <w:r w:rsidRPr="007C1C1A">
        <w:rPr>
          <w:szCs w:val="18"/>
        </w:rPr>
        <w:t>Binnen onze democratische rechtsstaat is het een groot goed dat eenieder de vrijheid heeft en voelt om zijn mening te laten horen, ook door middel van een demonstratie of protest. Dit grondrecht is echter niet onbegrensd</w:t>
      </w:r>
      <w:r>
        <w:rPr>
          <w:szCs w:val="18"/>
        </w:rPr>
        <w:t>. W</w:t>
      </w:r>
      <w:r w:rsidRPr="007C1C1A">
        <w:rPr>
          <w:szCs w:val="18"/>
        </w:rPr>
        <w:t xml:space="preserve">aar strafbare feiten worden gepleegd, vormt </w:t>
      </w:r>
      <w:r>
        <w:rPr>
          <w:szCs w:val="18"/>
        </w:rPr>
        <w:t>het strafrecht</w:t>
      </w:r>
      <w:r w:rsidRPr="007C1C1A">
        <w:rPr>
          <w:szCs w:val="18"/>
        </w:rPr>
        <w:t xml:space="preserve"> een duidelijke grens. Het plegen van misdrijven, zoals bedreiging, geweld en openlijke geweldpleging heeft niks te maken met het recht om te demonstreren en hiervoor vindt in beginsel strafvervolging plaats. </w:t>
      </w:r>
      <w:r w:rsidRPr="007E1067">
        <w:rPr>
          <w:szCs w:val="18"/>
        </w:rPr>
        <w:t xml:space="preserve">Opsporing en vervolging van dit soort misdrijven vindt plaats onder het gezag van het </w:t>
      </w:r>
      <w:r>
        <w:rPr>
          <w:szCs w:val="18"/>
        </w:rPr>
        <w:t>OM</w:t>
      </w:r>
      <w:r w:rsidRPr="007E1067">
        <w:rPr>
          <w:szCs w:val="18"/>
        </w:rPr>
        <w:t>. Het is aan de opsporingsdiensten hoe in concrete gevallen middelen en capaciteit worden ingezet – daar he</w:t>
      </w:r>
      <w:r w:rsidRPr="00C265AF">
        <w:rPr>
          <w:szCs w:val="18"/>
        </w:rPr>
        <w:t>bben</w:t>
      </w:r>
      <w:r>
        <w:rPr>
          <w:szCs w:val="18"/>
        </w:rPr>
        <w:t xml:space="preserve"> </w:t>
      </w:r>
      <w:r w:rsidRPr="00C265AF">
        <w:rPr>
          <w:szCs w:val="18"/>
        </w:rPr>
        <w:t xml:space="preserve">zowel de minister van JenV als ik zich niet in te </w:t>
      </w:r>
      <w:r>
        <w:rPr>
          <w:szCs w:val="18"/>
        </w:rPr>
        <w:t xml:space="preserve">mengen. </w:t>
      </w:r>
      <w:r w:rsidRPr="007E1067">
        <w:rPr>
          <w:szCs w:val="18"/>
        </w:rPr>
        <w:t>Aangerichte schade wordt zo mogelijk verhaald op de dader(s); hierover heeft de minister van J</w:t>
      </w:r>
      <w:r>
        <w:rPr>
          <w:szCs w:val="18"/>
        </w:rPr>
        <w:t>en</w:t>
      </w:r>
      <w:r w:rsidRPr="007E1067">
        <w:rPr>
          <w:szCs w:val="18"/>
        </w:rPr>
        <w:t>V eerder richting uw Kamer gecommuniceerd.</w:t>
      </w:r>
      <w:r w:rsidRPr="007E1067">
        <w:rPr>
          <w:rStyle w:val="Voetnootmarkering"/>
          <w:szCs w:val="18"/>
        </w:rPr>
        <w:footnoteReference w:id="4"/>
      </w:r>
    </w:p>
    <w:p w:rsidRPr="007C1C1A" w:rsidR="00130BA0" w:rsidP="00130BA0" w:rsidRDefault="00130BA0" w14:paraId="6F7F4D70" w14:textId="77777777">
      <w:pPr>
        <w:rPr>
          <w:szCs w:val="18"/>
        </w:rPr>
      </w:pPr>
    </w:p>
    <w:p w:rsidRPr="007C1C1A" w:rsidR="00130BA0" w:rsidP="00130BA0" w:rsidRDefault="00130BA0" w14:paraId="01CAB8D4" w14:textId="77777777">
      <w:pPr>
        <w:rPr>
          <w:szCs w:val="18"/>
        </w:rPr>
      </w:pPr>
      <w:r>
        <w:rPr>
          <w:szCs w:val="18"/>
        </w:rPr>
        <w:t>Vraag 9</w:t>
      </w:r>
      <w:r>
        <w:rPr>
          <w:szCs w:val="18"/>
        </w:rPr>
        <w:br/>
      </w:r>
      <w:r w:rsidRPr="007C1C1A">
        <w:rPr>
          <w:szCs w:val="18"/>
        </w:rPr>
        <w:t>Eerder werd het Paleis op de Dam eveneens door tuig met rode verf besmeurd, en op dat gebouw staan meerdere camera’s gericht; zijn deze beelden uitgelezen? Hoe loopt het onderzoek naar de daders? Hoe loopt het onderzoek naar de bekladding met rode verf van het Koninklijk Instituut voor de Tropen?</w:t>
      </w:r>
    </w:p>
    <w:p w:rsidRPr="007C1C1A" w:rsidR="00130BA0" w:rsidP="00130BA0" w:rsidRDefault="00130BA0" w14:paraId="5921603A" w14:textId="77777777">
      <w:pPr>
        <w:pStyle w:val="Lijstalinea"/>
        <w:rPr>
          <w:rFonts w:ascii="Verdana" w:hAnsi="Verdana"/>
          <w:sz w:val="18"/>
          <w:szCs w:val="18"/>
        </w:rPr>
      </w:pPr>
    </w:p>
    <w:p w:rsidRPr="007C1C1A" w:rsidR="00130BA0" w:rsidP="00130BA0" w:rsidRDefault="00130BA0" w14:paraId="70756849" w14:textId="77777777">
      <w:pPr>
        <w:rPr>
          <w:szCs w:val="18"/>
        </w:rPr>
      </w:pPr>
      <w:r>
        <w:rPr>
          <w:szCs w:val="18"/>
        </w:rPr>
        <w:t>Antwoord 9</w:t>
      </w:r>
      <w:r>
        <w:rPr>
          <w:szCs w:val="18"/>
        </w:rPr>
        <w:br/>
      </w:r>
      <w:r w:rsidRPr="00700B1F">
        <w:rPr>
          <w:szCs w:val="18"/>
        </w:rPr>
        <w:t xml:space="preserve">Naar beide incidenten is onderzoek gedaan. Uit die onderzoeken zijn geen mogelijke verdachten naar voren gekomen. Om die reden zijn de onderzoeken beëindigd. </w:t>
      </w:r>
      <w:r w:rsidRPr="007C1C1A">
        <w:rPr>
          <w:szCs w:val="18"/>
        </w:rPr>
        <w:br/>
      </w:r>
    </w:p>
    <w:p w:rsidRPr="007C1C1A" w:rsidR="00130BA0" w:rsidP="00130BA0" w:rsidRDefault="00130BA0" w14:paraId="632EB9D8" w14:textId="77777777">
      <w:pPr>
        <w:rPr>
          <w:szCs w:val="18"/>
        </w:rPr>
      </w:pPr>
      <w:r>
        <w:rPr>
          <w:szCs w:val="18"/>
        </w:rPr>
        <w:t>Vraag 10</w:t>
      </w:r>
      <w:r>
        <w:rPr>
          <w:szCs w:val="18"/>
        </w:rPr>
        <w:br/>
      </w:r>
      <w:r w:rsidRPr="007C1C1A">
        <w:rPr>
          <w:szCs w:val="18"/>
        </w:rPr>
        <w:t xml:space="preserve">Bent u het eens met de stelling dat inmiddels een patroon is ontstaan van bekladding en vernieling door pro-Palestina extremisten van monumentale </w:t>
      </w:r>
      <w:r w:rsidRPr="007C1C1A">
        <w:rPr>
          <w:szCs w:val="18"/>
        </w:rPr>
        <w:lastRenderedPageBreak/>
        <w:t>panden? Kunt u een overzicht geven van dergelijke vernielingen en bekladdingen door pro-Palestijnse activisten sinds 7 oktober 2023, met een schatting van de schade?</w:t>
      </w:r>
    </w:p>
    <w:p w:rsidRPr="007C1C1A" w:rsidR="00130BA0" w:rsidP="00130BA0" w:rsidRDefault="00130BA0" w14:paraId="129C8118" w14:textId="77777777">
      <w:pPr>
        <w:rPr>
          <w:szCs w:val="18"/>
        </w:rPr>
      </w:pPr>
    </w:p>
    <w:p w:rsidRPr="007C1C1A" w:rsidR="00130BA0" w:rsidP="00130BA0" w:rsidRDefault="00130BA0" w14:paraId="19111F3B" w14:textId="77777777">
      <w:pPr>
        <w:rPr>
          <w:szCs w:val="18"/>
        </w:rPr>
      </w:pPr>
      <w:r>
        <w:rPr>
          <w:szCs w:val="18"/>
        </w:rPr>
        <w:t>Antwoord 10</w:t>
      </w:r>
      <w:r>
        <w:rPr>
          <w:szCs w:val="18"/>
        </w:rPr>
        <w:br/>
      </w:r>
      <w:r w:rsidRPr="007C1C1A">
        <w:rPr>
          <w:szCs w:val="18"/>
        </w:rPr>
        <w:t xml:space="preserve">Een dergelijk overzicht is niet te genereren. De registratie door politie en OM van enkel strafbare feiten, maakt het niet mogelijk deze te koppelen aan specifieke acties en/of organisaties. </w:t>
      </w:r>
      <w:r w:rsidRPr="007C1C1A">
        <w:rPr>
          <w:szCs w:val="18"/>
        </w:rPr>
        <w:br/>
      </w:r>
    </w:p>
    <w:p w:rsidR="00130BA0" w:rsidP="00130BA0" w:rsidRDefault="00130BA0" w14:paraId="40E7E609" w14:textId="77777777">
      <w:pPr>
        <w:rPr>
          <w:szCs w:val="18"/>
        </w:rPr>
      </w:pPr>
      <w:r>
        <w:rPr>
          <w:szCs w:val="18"/>
        </w:rPr>
        <w:t>Vraag 11</w:t>
      </w:r>
      <w:r>
        <w:rPr>
          <w:szCs w:val="18"/>
        </w:rPr>
        <w:br/>
      </w:r>
      <w:r w:rsidRPr="007C1C1A">
        <w:rPr>
          <w:szCs w:val="18"/>
        </w:rPr>
        <w:t>Hoeveel pro-Palestijnse activisten zijn opgenomen in een persoonsgerichte anti-radicaliseringsaanpak?</w:t>
      </w:r>
    </w:p>
    <w:p w:rsidR="00130BA0" w:rsidP="00130BA0" w:rsidRDefault="00130BA0" w14:paraId="1B70CBAD" w14:textId="77777777">
      <w:pPr>
        <w:rPr>
          <w:szCs w:val="18"/>
        </w:rPr>
      </w:pPr>
    </w:p>
    <w:p w:rsidRPr="007C1C1A" w:rsidR="00130BA0" w:rsidP="00130BA0" w:rsidRDefault="00130BA0" w14:paraId="51426E9C" w14:textId="77777777">
      <w:pPr>
        <w:rPr>
          <w:szCs w:val="18"/>
        </w:rPr>
      </w:pPr>
      <w:r>
        <w:rPr>
          <w:szCs w:val="18"/>
        </w:rPr>
        <w:t>Antwoord 11</w:t>
      </w:r>
      <w:r>
        <w:rPr>
          <w:szCs w:val="18"/>
        </w:rPr>
        <w:br/>
      </w:r>
      <w:r w:rsidRPr="007C1C1A">
        <w:rPr>
          <w:szCs w:val="18"/>
        </w:rPr>
        <w:t>In de lokale persoonsgerichte aanpak tegen radicalisering worden personen besproken die een (potentieel) gevaar vormen voor de (nationale) veiligheid</w:t>
      </w:r>
      <w:r>
        <w:rPr>
          <w:szCs w:val="18"/>
        </w:rPr>
        <w:t>,</w:t>
      </w:r>
      <w:r w:rsidRPr="007C1C1A">
        <w:rPr>
          <w:szCs w:val="18"/>
        </w:rPr>
        <w:t xml:space="preserve"> doordat zij vanuit hun ideologische overtuigingen (indirect) geweld legitimeren of de bereidheid hebben om activiteiten te verrichten die de democratische rechtsorde ondermijnen. Activisme valt niet onder de reikwijdte van de persoonsgerichte aanpak radicalisering. Het besluit over het al dan niet opnemen van een persoon in de persoonsgerichte aanpak radicalisering ligt bij de lokale weegploeg. Deze bestaat uit de betreffende gemeente, politie en het OM. In artikel 5, derde lid, van de Wet gegevensverwerking persoonsgerichte aanpak radicalisering en terroristische activiteiten is opgenomen</w:t>
      </w:r>
      <w:r>
        <w:rPr>
          <w:szCs w:val="18"/>
        </w:rPr>
        <w:t>,</w:t>
      </w:r>
      <w:r w:rsidRPr="007C1C1A">
        <w:rPr>
          <w:szCs w:val="18"/>
        </w:rPr>
        <w:t xml:space="preserve"> dat de weging plaatsvindt aan de hand van objectieve criteria, die luiden: de mate waarin betrokkene bereid is geweld toe te passen of te propageren, de mate waarin betrokkene vasthoudt aan extremistische denkbeelden, zijn/haar sociale relaties, de mate van identificatie met een extremistische groep of ideologie en zijn/haar zelfredzaamheid. </w:t>
      </w:r>
      <w:r>
        <w:rPr>
          <w:szCs w:val="18"/>
        </w:rPr>
        <w:t>Aangezien</w:t>
      </w:r>
      <w:r w:rsidRPr="007C1C1A">
        <w:rPr>
          <w:szCs w:val="18"/>
        </w:rPr>
        <w:t xml:space="preserve"> de weging lokaal wordt uitgevoerd, zijn de ideologische motieven van personen die zijn opgenomen in de aanpak enkel op lokaal niveau bekend. </w:t>
      </w:r>
    </w:p>
    <w:p w:rsidR="00130BA0" w:rsidP="00130BA0" w:rsidRDefault="00130BA0" w14:paraId="7C9A2A70" w14:textId="77777777">
      <w:pPr>
        <w:ind w:left="-360"/>
        <w:rPr>
          <w:szCs w:val="18"/>
        </w:rPr>
      </w:pPr>
      <w:r w:rsidRPr="007C1C1A">
        <w:rPr>
          <w:szCs w:val="18"/>
        </w:rPr>
        <w:tab/>
      </w:r>
    </w:p>
    <w:p w:rsidR="00130BA0" w:rsidP="00130BA0" w:rsidRDefault="00130BA0" w14:paraId="415B0DBD" w14:textId="77777777">
      <w:pPr>
        <w:rPr>
          <w:szCs w:val="18"/>
        </w:rPr>
      </w:pPr>
      <w:r>
        <w:rPr>
          <w:szCs w:val="18"/>
        </w:rPr>
        <w:t>Vraag 12</w:t>
      </w:r>
      <w:r>
        <w:rPr>
          <w:szCs w:val="18"/>
        </w:rPr>
        <w:br/>
      </w:r>
      <w:r w:rsidRPr="007C1C1A">
        <w:rPr>
          <w:szCs w:val="18"/>
        </w:rPr>
        <w:t>Bent u van mening dat het zaak is om universiteiten extra ondersteuning te bieden om hun gebouwen te beveiligen zolang extremistische clubs dreigen met vernieling en deze ook ten uitvoer brengen? Welke stappen zet u om hier een einde aan te maken?</w:t>
      </w:r>
    </w:p>
    <w:p w:rsidR="00130BA0" w:rsidP="00130BA0" w:rsidRDefault="00130BA0" w14:paraId="5D2AD9A9" w14:textId="77777777">
      <w:pPr>
        <w:ind w:left="-360"/>
        <w:rPr>
          <w:szCs w:val="18"/>
        </w:rPr>
      </w:pPr>
    </w:p>
    <w:p w:rsidRPr="007C1C1A" w:rsidR="00130BA0" w:rsidP="00130BA0" w:rsidRDefault="00130BA0" w14:paraId="4FED059B" w14:textId="77777777">
      <w:pPr>
        <w:rPr>
          <w:szCs w:val="18"/>
        </w:rPr>
      </w:pPr>
      <w:r>
        <w:rPr>
          <w:szCs w:val="18"/>
        </w:rPr>
        <w:t>Antwoord 12</w:t>
      </w:r>
      <w:r>
        <w:rPr>
          <w:szCs w:val="18"/>
        </w:rPr>
        <w:br/>
      </w:r>
      <w:r w:rsidRPr="007C1C1A">
        <w:rPr>
          <w:szCs w:val="18"/>
        </w:rPr>
        <w:t xml:space="preserve">Instellingsbesturen zijn verantwoordelijk voor het borgen van de veiligheid op hun </w:t>
      </w:r>
      <w:r w:rsidRPr="007C1C1A">
        <w:rPr>
          <w:szCs w:val="18"/>
        </w:rPr>
        <w:lastRenderedPageBreak/>
        <w:t xml:space="preserve">instelling. Zij spannen zich dagelijks in om een gedegen invulling te geven aan deze verantwoordelijkheid. Om instellingen te ondersteunen in de belangrijke verantwoordelijkheid die zij hebben, ga ik met de instellingen aan de slag met de evaluatie van het subsidieprogramma ‘Integrale Veiligheid’ 2016-2023. </w:t>
      </w:r>
      <w:r w:rsidRPr="00247801">
        <w:rPr>
          <w:szCs w:val="18"/>
        </w:rPr>
        <w:t>Het onderzoek besteedt enerzijds aandacht aan de wijze waarop instellingen hun veiligheidsbeleid hebben ingericht. Anderzijds richt dit onderzoek zich nadrukkelijk op de coördinatie van het veiligheidsbeleid in de sector en de rol van uniformering en samenwerking bij het versterken van de veiligheid op de instellingen</w:t>
      </w:r>
      <w:r>
        <w:rPr>
          <w:szCs w:val="18"/>
        </w:rPr>
        <w:t xml:space="preserve">. </w:t>
      </w:r>
      <w:r w:rsidRPr="007C1C1A">
        <w:rPr>
          <w:szCs w:val="18"/>
        </w:rPr>
        <w:t>Dit onderzoek zal inventariseren welke ervaringen, lessen en opbrengsten dit programma in de instellingen heeft opgeleverd die in de toekomst benut kunnen worden</w:t>
      </w:r>
      <w:r>
        <w:rPr>
          <w:szCs w:val="18"/>
        </w:rPr>
        <w:t>. Momenteel ben ik</w:t>
      </w:r>
      <w:r w:rsidRPr="007C1C1A">
        <w:rPr>
          <w:szCs w:val="18"/>
        </w:rPr>
        <w:t xml:space="preserve"> in gesprek met de instellingen over de opzet en aanpak van dit onderzoek. Naar verwachting kan ik uw Kamer in het najaar van 2026 informeren over de uitkomsten en uw Kamer mijn reactie daarop geven.</w:t>
      </w:r>
      <w:r>
        <w:rPr>
          <w:szCs w:val="18"/>
        </w:rPr>
        <w:br/>
      </w:r>
      <w:r>
        <w:rPr>
          <w:szCs w:val="18"/>
        </w:rPr>
        <w:br/>
        <w:t>Ik hecht er aan om, z</w:t>
      </w:r>
      <w:r w:rsidRPr="007C1C1A">
        <w:rPr>
          <w:szCs w:val="18"/>
        </w:rPr>
        <w:t xml:space="preserve">oals </w:t>
      </w:r>
      <w:r>
        <w:rPr>
          <w:szCs w:val="18"/>
        </w:rPr>
        <w:t>ook</w:t>
      </w:r>
      <w:r w:rsidRPr="007C1C1A">
        <w:rPr>
          <w:szCs w:val="18"/>
        </w:rPr>
        <w:t xml:space="preserve"> vermeld in mijn Kamerbrief d.d. 18 december</w:t>
      </w:r>
      <w:r w:rsidRPr="007C1C1A">
        <w:rPr>
          <w:rStyle w:val="Voetnootmarkering"/>
          <w:szCs w:val="18"/>
        </w:rPr>
        <w:footnoteReference w:id="5"/>
      </w:r>
      <w:r w:rsidRPr="007C1C1A">
        <w:rPr>
          <w:szCs w:val="18"/>
        </w:rPr>
        <w:t xml:space="preserve">, </w:t>
      </w:r>
      <w:r>
        <w:rPr>
          <w:szCs w:val="18"/>
        </w:rPr>
        <w:t xml:space="preserve">ook hier </w:t>
      </w:r>
      <w:r w:rsidRPr="007C1C1A">
        <w:rPr>
          <w:szCs w:val="18"/>
        </w:rPr>
        <w:t xml:space="preserve">te </w:t>
      </w:r>
      <w:r>
        <w:rPr>
          <w:szCs w:val="18"/>
        </w:rPr>
        <w:t>benadrukken</w:t>
      </w:r>
      <w:r w:rsidRPr="007C1C1A">
        <w:rPr>
          <w:szCs w:val="18"/>
        </w:rPr>
        <w:t xml:space="preserve"> dat ik het belangrijk vind dat de verantwoordelijkheid voor de veiligheid</w:t>
      </w:r>
      <w:r>
        <w:rPr>
          <w:szCs w:val="18"/>
        </w:rPr>
        <w:t>,</w:t>
      </w:r>
      <w:r w:rsidRPr="007C1C1A">
        <w:rPr>
          <w:szCs w:val="18"/>
        </w:rPr>
        <w:t xml:space="preserve"> </w:t>
      </w:r>
      <w:r>
        <w:rPr>
          <w:szCs w:val="18"/>
        </w:rPr>
        <w:t>waar</w:t>
      </w:r>
      <w:r w:rsidRPr="007C1C1A">
        <w:rPr>
          <w:szCs w:val="18"/>
        </w:rPr>
        <w:t xml:space="preserve"> mogelijk</w:t>
      </w:r>
      <w:r>
        <w:rPr>
          <w:szCs w:val="18"/>
        </w:rPr>
        <w:t>,</w:t>
      </w:r>
      <w:r w:rsidRPr="007C1C1A">
        <w:rPr>
          <w:szCs w:val="18"/>
        </w:rPr>
        <w:t xml:space="preserve"> lokaal wordt genomen. Instellingen werken nauw samen met de politie en lokale driehoek. Zij kunnen de situatie ter plekke het beste inschatten en besluiten hoe hiermee om te gaan, waarbij het lokale gezag gaat over de inzet van de politie. Hierover kan ik </w:t>
      </w:r>
      <w:r>
        <w:rPr>
          <w:szCs w:val="18"/>
        </w:rPr>
        <w:t>uw Kamer</w:t>
      </w:r>
      <w:r w:rsidRPr="007C1C1A">
        <w:rPr>
          <w:szCs w:val="18"/>
        </w:rPr>
        <w:t xml:space="preserve"> melden dat de</w:t>
      </w:r>
      <w:r>
        <w:rPr>
          <w:szCs w:val="18"/>
        </w:rPr>
        <w:t xml:space="preserve"> hogeronderwijsinstellingen op initiatief van Universiteiten van Nederland (UNL) met de</w:t>
      </w:r>
      <w:r w:rsidRPr="007C1C1A">
        <w:rPr>
          <w:szCs w:val="18"/>
        </w:rPr>
        <w:t xml:space="preserve"> politie momenteel procesafspraken maken over hun onderlinge samenwerking. Deze afspraken zijn onderdeel van de inspanningen die instellingen en politie verrichten om de demonstraties op campussen in goede banen te leiden en om ongeregeldheden te voorkomen. </w:t>
      </w:r>
    </w:p>
    <w:p w:rsidRPr="007C1C1A" w:rsidR="00130BA0" w:rsidP="00130BA0" w:rsidRDefault="00130BA0" w14:paraId="52FCE3A6" w14:textId="77777777">
      <w:pPr>
        <w:ind w:left="360"/>
        <w:rPr>
          <w:szCs w:val="18"/>
        </w:rPr>
      </w:pPr>
    </w:p>
    <w:p w:rsidRPr="007C1C1A" w:rsidR="00130BA0" w:rsidP="00130BA0" w:rsidRDefault="00130BA0" w14:paraId="4AB63710" w14:textId="77777777">
      <w:pPr>
        <w:ind w:left="360"/>
        <w:rPr>
          <w:szCs w:val="18"/>
        </w:rPr>
      </w:pPr>
      <w:r w:rsidRPr="007C1C1A">
        <w:rPr>
          <w:szCs w:val="18"/>
        </w:rPr>
        <w:br/>
      </w:r>
    </w:p>
    <w:p w:rsidRPr="007C1C1A" w:rsidR="00130BA0" w:rsidP="00130BA0" w:rsidRDefault="00130BA0" w14:paraId="4B6B3FE5" w14:textId="77777777">
      <w:pPr>
        <w:rPr>
          <w:szCs w:val="18"/>
        </w:rPr>
      </w:pPr>
      <w:r w:rsidRPr="007C1C1A">
        <w:rPr>
          <w:szCs w:val="18"/>
        </w:rPr>
        <w:t>[1] Instagram, 13 december 2025 (https://www.instagram.com/reel/DSMgtvqjfQ9/)</w:t>
      </w:r>
      <w:r w:rsidRPr="007C1C1A">
        <w:rPr>
          <w:szCs w:val="18"/>
        </w:rPr>
        <w:br/>
      </w:r>
    </w:p>
    <w:p w:rsidR="00130BA0" w:rsidP="00130BA0" w:rsidRDefault="00130BA0" w14:paraId="6C7F2149" w14:textId="77777777">
      <w:r>
        <w:t> </w:t>
      </w:r>
      <w:r>
        <w:br/>
      </w:r>
    </w:p>
    <w:p w:rsidRPr="00820DDA" w:rsidR="00130BA0" w:rsidP="00130BA0" w:rsidRDefault="00130BA0" w14:paraId="642CD957" w14:textId="77777777">
      <w:pPr>
        <w:pStyle w:val="standaard-tekst"/>
      </w:pPr>
    </w:p>
    <w:p w:rsidR="00676DA9" w:rsidRDefault="00676DA9" w14:paraId="279AC722" w14:textId="77777777"/>
    <w:sectPr w:rsidR="00676DA9" w:rsidSect="00130BA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93C7" w14:textId="77777777" w:rsidR="00130BA0" w:rsidRDefault="00130BA0" w:rsidP="00130BA0">
      <w:pPr>
        <w:spacing w:after="0" w:line="240" w:lineRule="auto"/>
      </w:pPr>
      <w:r>
        <w:separator/>
      </w:r>
    </w:p>
  </w:endnote>
  <w:endnote w:type="continuationSeparator" w:id="0">
    <w:p w14:paraId="390FB6FD" w14:textId="77777777" w:rsidR="00130BA0" w:rsidRDefault="00130BA0" w:rsidP="0013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CDCD" w14:textId="77777777" w:rsidR="00130BA0" w:rsidRPr="00130BA0" w:rsidRDefault="00130BA0" w:rsidP="00130B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BF15" w14:textId="77777777" w:rsidR="00130BA0" w:rsidRPr="00130BA0" w:rsidRDefault="00130BA0" w:rsidP="00130B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B8F1" w14:textId="77777777" w:rsidR="00130BA0" w:rsidRPr="00130BA0" w:rsidRDefault="00130BA0" w:rsidP="00130B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3E60" w14:textId="77777777" w:rsidR="00130BA0" w:rsidRDefault="00130BA0" w:rsidP="00130BA0">
      <w:pPr>
        <w:spacing w:after="0" w:line="240" w:lineRule="auto"/>
      </w:pPr>
      <w:r>
        <w:separator/>
      </w:r>
    </w:p>
  </w:footnote>
  <w:footnote w:type="continuationSeparator" w:id="0">
    <w:p w14:paraId="6A34EAE7" w14:textId="77777777" w:rsidR="00130BA0" w:rsidRDefault="00130BA0" w:rsidP="00130BA0">
      <w:pPr>
        <w:spacing w:after="0" w:line="240" w:lineRule="auto"/>
      </w:pPr>
      <w:r>
        <w:continuationSeparator/>
      </w:r>
    </w:p>
  </w:footnote>
  <w:footnote w:id="1">
    <w:p w14:paraId="26679A89" w14:textId="77777777" w:rsidR="00130BA0" w:rsidRPr="00784EB7" w:rsidRDefault="00130BA0" w:rsidP="00130BA0">
      <w:pPr>
        <w:pStyle w:val="Voetnoottekst"/>
        <w:rPr>
          <w:sz w:val="16"/>
          <w:szCs w:val="16"/>
        </w:rPr>
      </w:pPr>
      <w:r w:rsidRPr="00784EB7">
        <w:rPr>
          <w:rStyle w:val="Voetnootmarkering"/>
          <w:sz w:val="16"/>
          <w:szCs w:val="16"/>
        </w:rPr>
        <w:footnoteRef/>
      </w:r>
      <w:r>
        <w:rPr>
          <w:sz w:val="16"/>
          <w:szCs w:val="16"/>
        </w:rPr>
        <w:t xml:space="preserve"> </w:t>
      </w:r>
      <w:hyperlink r:id="rId1" w:history="1">
        <w:r w:rsidRPr="00784EB7">
          <w:rPr>
            <w:rStyle w:val="Hyperlink"/>
            <w:sz w:val="16"/>
            <w:szCs w:val="16"/>
          </w:rPr>
          <w:t>Richtlijn protesten universiteiten en hogescholen</w:t>
        </w:r>
      </w:hyperlink>
    </w:p>
  </w:footnote>
  <w:footnote w:id="2">
    <w:p w14:paraId="6FA04CF0" w14:textId="77777777" w:rsidR="00130BA0" w:rsidRDefault="00130BA0" w:rsidP="00130BA0">
      <w:pPr>
        <w:pStyle w:val="Voetnoottekst"/>
      </w:pPr>
      <w:r>
        <w:rPr>
          <w:rStyle w:val="Voetnootmarkering"/>
        </w:rPr>
        <w:footnoteRef/>
      </w:r>
      <w:r>
        <w:t xml:space="preserve"> </w:t>
      </w:r>
      <w:r w:rsidRPr="00C265AF">
        <w:rPr>
          <w:sz w:val="16"/>
          <w:szCs w:val="16"/>
        </w:rPr>
        <w:t>Kamerstukken II</w:t>
      </w:r>
      <w:r>
        <w:rPr>
          <w:sz w:val="16"/>
          <w:szCs w:val="16"/>
        </w:rPr>
        <w:t>,</w:t>
      </w:r>
      <w:r w:rsidRPr="007C1C1A">
        <w:rPr>
          <w:i/>
          <w:iCs/>
          <w:sz w:val="16"/>
          <w:szCs w:val="16"/>
        </w:rPr>
        <w:t xml:space="preserve"> </w:t>
      </w:r>
      <w:r w:rsidRPr="00C265AF">
        <w:rPr>
          <w:sz w:val="16"/>
          <w:szCs w:val="16"/>
        </w:rPr>
        <w:t>202</w:t>
      </w:r>
      <w:r>
        <w:rPr>
          <w:sz w:val="16"/>
          <w:szCs w:val="16"/>
        </w:rPr>
        <w:t>5</w:t>
      </w:r>
      <w:r w:rsidRPr="00C265AF">
        <w:rPr>
          <w:sz w:val="16"/>
          <w:szCs w:val="16"/>
        </w:rPr>
        <w:t>/2</w:t>
      </w:r>
      <w:r>
        <w:rPr>
          <w:sz w:val="16"/>
          <w:szCs w:val="16"/>
        </w:rPr>
        <w:t>6</w:t>
      </w:r>
      <w:r w:rsidRPr="00C265AF">
        <w:rPr>
          <w:sz w:val="16"/>
          <w:szCs w:val="16"/>
        </w:rPr>
        <w:t>,</w:t>
      </w:r>
      <w:r>
        <w:rPr>
          <w:i/>
          <w:iCs/>
          <w:sz w:val="16"/>
          <w:szCs w:val="16"/>
        </w:rPr>
        <w:t xml:space="preserve"> </w:t>
      </w:r>
      <w:r w:rsidRPr="0068358D">
        <w:rPr>
          <w:sz w:val="16"/>
          <w:szCs w:val="16"/>
        </w:rPr>
        <w:t>29</w:t>
      </w:r>
      <w:r>
        <w:rPr>
          <w:sz w:val="16"/>
          <w:szCs w:val="16"/>
        </w:rPr>
        <w:t>.</w:t>
      </w:r>
      <w:r w:rsidRPr="0068358D">
        <w:rPr>
          <w:sz w:val="16"/>
          <w:szCs w:val="16"/>
        </w:rPr>
        <w:t>240, nr. 179</w:t>
      </w:r>
      <w:r>
        <w:rPr>
          <w:sz w:val="16"/>
          <w:szCs w:val="16"/>
        </w:rPr>
        <w:t>.</w:t>
      </w:r>
    </w:p>
  </w:footnote>
  <w:footnote w:id="3">
    <w:p w14:paraId="73B484DA" w14:textId="77777777" w:rsidR="00130BA0" w:rsidRPr="007C1C1A" w:rsidRDefault="00130BA0" w:rsidP="00130BA0">
      <w:pPr>
        <w:pStyle w:val="Voetnoottekst"/>
        <w:rPr>
          <w:sz w:val="16"/>
          <w:szCs w:val="16"/>
        </w:rPr>
      </w:pPr>
      <w:r w:rsidRPr="007C1C1A">
        <w:rPr>
          <w:rStyle w:val="Voetnootmarkering"/>
          <w:sz w:val="16"/>
          <w:szCs w:val="16"/>
        </w:rPr>
        <w:footnoteRef/>
      </w:r>
      <w:r w:rsidRPr="007C1C1A">
        <w:rPr>
          <w:sz w:val="16"/>
          <w:szCs w:val="16"/>
        </w:rPr>
        <w:t xml:space="preserve"> </w:t>
      </w:r>
      <w:r w:rsidRPr="00C265AF">
        <w:rPr>
          <w:sz w:val="16"/>
          <w:szCs w:val="16"/>
        </w:rPr>
        <w:t>Aanhangsel Handelingen II</w:t>
      </w:r>
      <w:r>
        <w:rPr>
          <w:sz w:val="16"/>
          <w:szCs w:val="16"/>
        </w:rPr>
        <w:t>,</w:t>
      </w:r>
      <w:r w:rsidRPr="007C1C1A">
        <w:rPr>
          <w:sz w:val="16"/>
          <w:szCs w:val="16"/>
        </w:rPr>
        <w:t xml:space="preserve"> 2025/26, nr. 498, in het bijzonder het antwoord op vragen 10 en 11.  </w:t>
      </w:r>
    </w:p>
  </w:footnote>
  <w:footnote w:id="4">
    <w:p w14:paraId="6F598E29" w14:textId="77777777" w:rsidR="00130BA0" w:rsidRPr="00BC4714" w:rsidRDefault="00130BA0" w:rsidP="00130BA0">
      <w:pPr>
        <w:pStyle w:val="Voetnoottekst"/>
      </w:pPr>
      <w:r w:rsidRPr="007C1C1A">
        <w:rPr>
          <w:rStyle w:val="Voetnootmarkering"/>
          <w:sz w:val="16"/>
          <w:szCs w:val="16"/>
        </w:rPr>
        <w:footnoteRef/>
      </w:r>
      <w:r w:rsidRPr="007C1C1A">
        <w:rPr>
          <w:sz w:val="16"/>
          <w:szCs w:val="16"/>
        </w:rPr>
        <w:t xml:space="preserve"> </w:t>
      </w:r>
      <w:r w:rsidRPr="00C265AF">
        <w:rPr>
          <w:sz w:val="16"/>
          <w:szCs w:val="16"/>
        </w:rPr>
        <w:t>Kamerstukken II</w:t>
      </w:r>
      <w:r>
        <w:rPr>
          <w:sz w:val="16"/>
          <w:szCs w:val="16"/>
        </w:rPr>
        <w:t>,</w:t>
      </w:r>
      <w:r w:rsidRPr="00C265AF">
        <w:rPr>
          <w:sz w:val="16"/>
          <w:szCs w:val="16"/>
        </w:rPr>
        <w:t xml:space="preserve"> </w:t>
      </w:r>
      <w:r w:rsidRPr="007C1C1A">
        <w:rPr>
          <w:sz w:val="16"/>
          <w:szCs w:val="16"/>
        </w:rPr>
        <w:t>2024/25, 29</w:t>
      </w:r>
      <w:r>
        <w:rPr>
          <w:sz w:val="16"/>
          <w:szCs w:val="16"/>
        </w:rPr>
        <w:t>.</w:t>
      </w:r>
      <w:r w:rsidRPr="007C1C1A">
        <w:rPr>
          <w:sz w:val="16"/>
          <w:szCs w:val="16"/>
        </w:rPr>
        <w:t>240, nr. 174.</w:t>
      </w:r>
      <w:r>
        <w:t xml:space="preserve"> </w:t>
      </w:r>
    </w:p>
  </w:footnote>
  <w:footnote w:id="5">
    <w:p w14:paraId="59AFBB8C" w14:textId="77777777" w:rsidR="00130BA0" w:rsidRDefault="00130BA0" w:rsidP="00130BA0">
      <w:pPr>
        <w:pStyle w:val="Voetnoottekst"/>
      </w:pPr>
      <w:r>
        <w:rPr>
          <w:rStyle w:val="Voetnootmarkering"/>
        </w:rPr>
        <w:footnoteRef/>
      </w:r>
      <w:r w:rsidRPr="007C1C1A">
        <w:rPr>
          <w:i/>
          <w:iCs/>
        </w:rPr>
        <w:t xml:space="preserve"> </w:t>
      </w:r>
      <w:r w:rsidRPr="00C265AF">
        <w:rPr>
          <w:sz w:val="16"/>
          <w:szCs w:val="16"/>
        </w:rPr>
        <w:t>Kamerstukken II</w:t>
      </w:r>
      <w:r>
        <w:rPr>
          <w:sz w:val="16"/>
          <w:szCs w:val="16"/>
        </w:rPr>
        <w:t>,</w:t>
      </w:r>
      <w:r w:rsidRPr="007C1C1A">
        <w:rPr>
          <w:i/>
          <w:iCs/>
          <w:sz w:val="16"/>
          <w:szCs w:val="16"/>
        </w:rPr>
        <w:t xml:space="preserve"> </w:t>
      </w:r>
      <w:r w:rsidRPr="00C265AF">
        <w:rPr>
          <w:sz w:val="16"/>
          <w:szCs w:val="16"/>
        </w:rPr>
        <w:t>202</w:t>
      </w:r>
      <w:r>
        <w:rPr>
          <w:sz w:val="16"/>
          <w:szCs w:val="16"/>
        </w:rPr>
        <w:t>5</w:t>
      </w:r>
      <w:r w:rsidRPr="00C265AF">
        <w:rPr>
          <w:sz w:val="16"/>
          <w:szCs w:val="16"/>
        </w:rPr>
        <w:t>/2</w:t>
      </w:r>
      <w:r>
        <w:rPr>
          <w:sz w:val="16"/>
          <w:szCs w:val="16"/>
        </w:rPr>
        <w:t>6</w:t>
      </w:r>
      <w:r w:rsidRPr="00C265AF">
        <w:rPr>
          <w:sz w:val="16"/>
          <w:szCs w:val="16"/>
        </w:rPr>
        <w:t>,</w:t>
      </w:r>
      <w:r>
        <w:rPr>
          <w:i/>
          <w:iCs/>
          <w:sz w:val="16"/>
          <w:szCs w:val="16"/>
        </w:rPr>
        <w:t xml:space="preserve"> </w:t>
      </w:r>
      <w:r w:rsidRPr="0068358D">
        <w:rPr>
          <w:sz w:val="16"/>
          <w:szCs w:val="16"/>
        </w:rPr>
        <w:t>29</w:t>
      </w:r>
      <w:r>
        <w:rPr>
          <w:sz w:val="16"/>
          <w:szCs w:val="16"/>
        </w:rPr>
        <w:t>.</w:t>
      </w:r>
      <w:r w:rsidRPr="0068358D">
        <w:rPr>
          <w:sz w:val="16"/>
          <w:szCs w:val="16"/>
        </w:rPr>
        <w:t>240, nr. 179</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AD92" w14:textId="77777777" w:rsidR="00130BA0" w:rsidRPr="00130BA0" w:rsidRDefault="00130BA0" w:rsidP="00130B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3F19" w14:textId="77777777" w:rsidR="00130BA0" w:rsidRPr="00130BA0" w:rsidRDefault="00130BA0" w:rsidP="00130B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B0D5" w14:textId="77777777" w:rsidR="00130BA0" w:rsidRPr="00130BA0" w:rsidRDefault="00130BA0" w:rsidP="00130B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A0"/>
    <w:rsid w:val="00130BA0"/>
    <w:rsid w:val="00676DA9"/>
    <w:rsid w:val="00D330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ABB4"/>
  <w15:chartTrackingRefBased/>
  <w15:docId w15:val="{73302798-0CA6-45DB-A4AC-AB61178B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0B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30B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30B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30B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30B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30B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0B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0B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0B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0B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30B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30B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30B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30B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30B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0B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0B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0BA0"/>
    <w:rPr>
      <w:rFonts w:eastAsiaTheme="majorEastAsia" w:cstheme="majorBidi"/>
      <w:color w:val="272727" w:themeColor="text1" w:themeTint="D8"/>
    </w:rPr>
  </w:style>
  <w:style w:type="paragraph" w:styleId="Titel">
    <w:name w:val="Title"/>
    <w:basedOn w:val="Standaard"/>
    <w:next w:val="Standaard"/>
    <w:link w:val="TitelChar"/>
    <w:uiPriority w:val="10"/>
    <w:qFormat/>
    <w:rsid w:val="00130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0B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0B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0B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0B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0BA0"/>
    <w:rPr>
      <w:i/>
      <w:iCs/>
      <w:color w:val="404040" w:themeColor="text1" w:themeTint="BF"/>
    </w:rPr>
  </w:style>
  <w:style w:type="paragraph" w:styleId="Lijstalinea">
    <w:name w:val="List Paragraph"/>
    <w:basedOn w:val="Standaard"/>
    <w:uiPriority w:val="34"/>
    <w:qFormat/>
    <w:rsid w:val="00130BA0"/>
    <w:pPr>
      <w:ind w:left="720"/>
      <w:contextualSpacing/>
    </w:pPr>
  </w:style>
  <w:style w:type="character" w:styleId="Intensievebenadrukking">
    <w:name w:val="Intense Emphasis"/>
    <w:basedOn w:val="Standaardalinea-lettertype"/>
    <w:uiPriority w:val="21"/>
    <w:qFormat/>
    <w:rsid w:val="00130BA0"/>
    <w:rPr>
      <w:i/>
      <w:iCs/>
      <w:color w:val="2F5496" w:themeColor="accent1" w:themeShade="BF"/>
    </w:rPr>
  </w:style>
  <w:style w:type="paragraph" w:styleId="Duidelijkcitaat">
    <w:name w:val="Intense Quote"/>
    <w:basedOn w:val="Standaard"/>
    <w:next w:val="Standaard"/>
    <w:link w:val="DuidelijkcitaatChar"/>
    <w:uiPriority w:val="30"/>
    <w:qFormat/>
    <w:rsid w:val="00130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30BA0"/>
    <w:rPr>
      <w:i/>
      <w:iCs/>
      <w:color w:val="2F5496" w:themeColor="accent1" w:themeShade="BF"/>
    </w:rPr>
  </w:style>
  <w:style w:type="character" w:styleId="Intensieveverwijzing">
    <w:name w:val="Intense Reference"/>
    <w:basedOn w:val="Standaardalinea-lettertype"/>
    <w:uiPriority w:val="32"/>
    <w:qFormat/>
    <w:rsid w:val="00130BA0"/>
    <w:rPr>
      <w:b/>
      <w:bCs/>
      <w:smallCaps/>
      <w:color w:val="2F5496" w:themeColor="accent1" w:themeShade="BF"/>
      <w:spacing w:val="5"/>
    </w:rPr>
  </w:style>
  <w:style w:type="paragraph" w:styleId="Koptekst">
    <w:name w:val="header"/>
    <w:basedOn w:val="Standaard"/>
    <w:link w:val="KoptekstChar"/>
    <w:rsid w:val="00130B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30BA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30B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30BA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30BA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30BA0"/>
    <w:rPr>
      <w:rFonts w:ascii="Verdana" w:hAnsi="Verdana"/>
      <w:noProof/>
      <w:sz w:val="13"/>
      <w:szCs w:val="24"/>
      <w:lang w:eastAsia="nl-NL"/>
    </w:rPr>
  </w:style>
  <w:style w:type="paragraph" w:customStyle="1" w:styleId="Huisstijl-Gegeven">
    <w:name w:val="Huisstijl-Gegeven"/>
    <w:basedOn w:val="Standaard"/>
    <w:link w:val="Huisstijl-GegevenCharChar"/>
    <w:rsid w:val="00130BA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30BA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130BA0"/>
    <w:rPr>
      <w:color w:val="0000FF"/>
      <w:u w:val="single"/>
    </w:rPr>
  </w:style>
  <w:style w:type="character" w:customStyle="1" w:styleId="Huisstijl-AdresChar">
    <w:name w:val="Huisstijl-Adres Char"/>
    <w:link w:val="Huisstijl-Adres"/>
    <w:locked/>
    <w:rsid w:val="00130BA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30BA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130BA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130BA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30BA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130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iversiteitenvannederland.nl/files/publications/Richtlijn%20protesten%20%20UNL%20%26%20VH_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1851</ap:Words>
  <ap:Characters>10183</ap:Characters>
  <ap:DocSecurity>0</ap:DocSecurity>
  <ap:Lines>84</ap:Lines>
  <ap:Paragraphs>24</ap:Paragraphs>
  <ap:ScaleCrop>false</ap:ScaleCrop>
  <ap:LinksUpToDate>false</ap:LinksUpToDate>
  <ap:CharactersWithSpaces>12010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2026-01-27T08:31:00.0000000Z</dcterms:created>
  <dcterms:modified xsi:type="dcterms:W3CDTF">2026-01-27T08:32:00.0000000Z</dcterms:modified>
  <version/>
  <category/>
</coreProperties>
</file>